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B3C63A">
      <w:pPr>
        <w:spacing w:line="800" w:lineRule="exact"/>
        <w:ind w:left="-92" w:leftChars="-85" w:hanging="180" w:hangingChars="64"/>
        <w:rPr>
          <w:rFonts w:hint="default" w:ascii="宋体" w:hAnsi="宋体" w:eastAsia="宋体"/>
          <w:b/>
          <w:sz w:val="28"/>
          <w:szCs w:val="28"/>
          <w:lang w:val="en-US" w:eastAsia="zh-CN"/>
        </w:rPr>
      </w:pPr>
      <w:r>
        <w:rPr>
          <w:rFonts w:hint="eastAsia" w:ascii="宋体" w:hAnsi="宋体" w:eastAsia="宋体"/>
          <w:b/>
          <w:sz w:val="28"/>
          <w:szCs w:val="28"/>
        </w:rPr>
        <w:t>附件</w:t>
      </w:r>
      <w:r>
        <w:rPr>
          <w:rFonts w:hint="eastAsia" w:ascii="宋体" w:hAnsi="宋体" w:eastAsia="宋体"/>
          <w:b/>
          <w:sz w:val="28"/>
          <w:szCs w:val="28"/>
          <w:lang w:val="en-US" w:eastAsia="zh-CN"/>
        </w:rPr>
        <w:t>4</w:t>
      </w:r>
    </w:p>
    <w:p w14:paraId="261B22F1">
      <w:pPr>
        <w:spacing w:line="740" w:lineRule="exact"/>
        <w:jc w:val="center"/>
        <w:rPr>
          <w:rFonts w:hint="eastAsia" w:ascii="方正小标宋_GBK" w:hAnsi="宋体" w:eastAsia="方正小标宋_GBK"/>
          <w:b/>
          <w:sz w:val="44"/>
          <w:szCs w:val="44"/>
          <w:lang w:eastAsia="zh-CN"/>
        </w:rPr>
      </w:pPr>
      <w:r>
        <w:rPr>
          <w:rFonts w:hint="eastAsia" w:ascii="方正小标宋_GBK" w:hAnsi="宋体" w:eastAsia="方正小标宋_GBK"/>
          <w:b/>
          <w:sz w:val="44"/>
          <w:szCs w:val="44"/>
          <w:lang w:eastAsia="zh-CN"/>
        </w:rPr>
        <w:t>中山市市政工程</w:t>
      </w:r>
    </w:p>
    <w:p w14:paraId="363CB615">
      <w:pPr>
        <w:spacing w:line="740" w:lineRule="exact"/>
        <w:jc w:val="center"/>
        <w:rPr>
          <w:rFonts w:hint="eastAsia" w:ascii="方正小标宋_GBK" w:hAnsi="宋体" w:eastAsia="方正小标宋_GBK"/>
          <w:b/>
          <w:sz w:val="44"/>
          <w:szCs w:val="44"/>
        </w:rPr>
      </w:pPr>
      <w:r>
        <w:rPr>
          <w:rFonts w:hint="eastAsia" w:ascii="方正小标宋_GBK" w:hAnsi="宋体" w:eastAsia="方正小标宋_GBK"/>
          <w:b/>
          <w:sz w:val="44"/>
          <w:szCs w:val="44"/>
          <w:lang w:eastAsia="zh-CN"/>
        </w:rPr>
        <w:t>安全</w:t>
      </w:r>
      <w:r>
        <w:rPr>
          <w:rFonts w:hint="eastAsia" w:ascii="方正小标宋_GBK" w:hAnsi="宋体" w:eastAsia="方正小标宋_GBK"/>
          <w:b/>
          <w:sz w:val="44"/>
          <w:szCs w:val="44"/>
          <w:lang w:val="en-US" w:eastAsia="zh-CN"/>
        </w:rPr>
        <w:t>生产</w:t>
      </w:r>
      <w:r>
        <w:rPr>
          <w:rFonts w:hint="eastAsia" w:ascii="方正小标宋_GBK" w:hAnsi="宋体" w:eastAsia="方正小标宋_GBK"/>
          <w:b/>
          <w:sz w:val="44"/>
          <w:szCs w:val="44"/>
          <w:lang w:eastAsia="zh-CN"/>
        </w:rPr>
        <w:t>文明施工水平评价</w:t>
      </w:r>
      <w:r>
        <w:rPr>
          <w:rFonts w:hint="eastAsia" w:ascii="方正小标宋_GBK" w:hAnsi="宋体" w:eastAsia="方正小标宋_GBK"/>
          <w:b/>
          <w:sz w:val="44"/>
          <w:szCs w:val="44"/>
        </w:rPr>
        <w:t>检查自评分表</w:t>
      </w:r>
    </w:p>
    <w:p w14:paraId="19C65E5C">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cs="宋体"/>
          <w:b/>
          <w:bCs/>
          <w:color w:val="auto"/>
          <w:sz w:val="36"/>
          <w:szCs w:val="36"/>
          <w:highlight w:val="none"/>
          <w:lang w:val="en-US" w:eastAsia="zh-CN"/>
        </w:rPr>
      </w:pPr>
      <w:bookmarkStart w:id="120" w:name="_GoBack"/>
      <w:r>
        <w:rPr>
          <w:rFonts w:hint="eastAsia" w:ascii="宋体" w:hAnsi="宋体" w:cs="宋体"/>
          <w:b/>
          <w:bCs/>
          <w:color w:val="auto"/>
          <w:sz w:val="36"/>
          <w:szCs w:val="36"/>
          <w:highlight w:val="none"/>
          <w:lang w:eastAsia="zh-CN"/>
        </w:rPr>
        <w:sym w:font="Wingdings" w:char="00A8"/>
      </w:r>
      <w:r>
        <w:rPr>
          <w:rFonts w:hint="eastAsia" w:ascii="宋体" w:hAnsi="宋体" w:cs="宋体"/>
          <w:b/>
          <w:bCs/>
          <w:color w:val="auto"/>
          <w:sz w:val="36"/>
          <w:szCs w:val="36"/>
          <w:highlight w:val="none"/>
          <w:lang w:eastAsia="zh-CN"/>
        </w:rPr>
        <w:t>初评</w:t>
      </w:r>
      <w:r>
        <w:rPr>
          <w:rFonts w:hint="eastAsia" w:ascii="宋体" w:hAnsi="宋体" w:cs="宋体"/>
          <w:b/>
          <w:bCs/>
          <w:color w:val="auto"/>
          <w:sz w:val="36"/>
          <w:szCs w:val="36"/>
          <w:highlight w:val="none"/>
          <w:lang w:val="en-US" w:eastAsia="zh-CN"/>
        </w:rPr>
        <w:t xml:space="preserve">      </w:t>
      </w:r>
      <w:r>
        <w:rPr>
          <w:rFonts w:hint="eastAsia" w:ascii="宋体" w:hAnsi="宋体" w:cs="宋体"/>
          <w:b/>
          <w:bCs/>
          <w:color w:val="auto"/>
          <w:sz w:val="36"/>
          <w:szCs w:val="36"/>
          <w:highlight w:val="none"/>
          <w:lang w:val="en-US" w:eastAsia="zh-CN"/>
        </w:rPr>
        <w:sym w:font="Wingdings" w:char="00A8"/>
      </w:r>
      <w:r>
        <w:rPr>
          <w:rFonts w:hint="eastAsia" w:ascii="宋体" w:hAnsi="宋体" w:cs="宋体"/>
          <w:b/>
          <w:bCs/>
          <w:color w:val="auto"/>
          <w:sz w:val="36"/>
          <w:szCs w:val="36"/>
          <w:highlight w:val="none"/>
          <w:lang w:val="en-US" w:eastAsia="zh-CN"/>
        </w:rPr>
        <w:t>复评</w:t>
      </w:r>
    </w:p>
    <w:bookmarkEnd w:id="120"/>
    <w:p w14:paraId="6FC5F8DF">
      <w:pPr>
        <w:pStyle w:val="2"/>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rPr>
      </w:pPr>
    </w:p>
    <w:p w14:paraId="1967C263">
      <w:pPr>
        <w:bidi w:val="0"/>
        <w:ind w:firstLine="643" w:firstLineChars="200"/>
        <w:rPr>
          <w:b/>
          <w:bCs/>
        </w:rPr>
      </w:pPr>
      <w:r>
        <w:rPr>
          <w:rFonts w:hint="eastAsia"/>
          <w:b/>
          <w:bCs/>
        </w:rPr>
        <w:t xml:space="preserve">形象进度： 申报进度（ </w:t>
      </w:r>
      <w:r>
        <w:rPr>
          <w:b/>
          <w:bCs/>
        </w:rPr>
        <w:t xml:space="preserve">   </w:t>
      </w:r>
      <w:r>
        <w:rPr>
          <w:rFonts w:hint="eastAsia"/>
          <w:b/>
          <w:bCs/>
        </w:rPr>
        <w:t>% ）</w:t>
      </w:r>
    </w:p>
    <w:p w14:paraId="7812AA4A">
      <w:pPr>
        <w:spacing w:line="820" w:lineRule="exact"/>
        <w:ind w:firstLine="562" w:firstLineChars="200"/>
        <w:rPr>
          <w:rFonts w:ascii="宋体" w:hAnsi="宋体" w:eastAsia="宋体"/>
          <w:b/>
          <w:sz w:val="28"/>
          <w:szCs w:val="28"/>
          <w:u w:val="single"/>
        </w:rPr>
      </w:pPr>
      <w:r>
        <w:rPr>
          <w:rFonts w:hint="eastAsia" w:ascii="宋体" w:hAnsi="宋体" w:eastAsia="宋体"/>
          <w:b/>
          <w:sz w:val="28"/>
          <w:szCs w:val="28"/>
        </w:rPr>
        <w:t>工程名称：</w:t>
      </w:r>
      <w:r>
        <w:rPr>
          <w:rFonts w:hint="eastAsia" w:ascii="宋体" w:hAnsi="宋体" w:eastAsia="宋体"/>
          <w:b/>
          <w:sz w:val="28"/>
          <w:szCs w:val="28"/>
          <w:u w:val="single"/>
        </w:rPr>
        <w:t xml:space="preserve">                                  </w:t>
      </w:r>
      <w:r>
        <w:rPr>
          <w:rFonts w:hint="eastAsia" w:ascii="宋体" w:hAnsi="宋体" w:eastAsia="宋体"/>
          <w:b/>
          <w:sz w:val="28"/>
          <w:szCs w:val="28"/>
        </w:rPr>
        <w:t>（全称）</w:t>
      </w:r>
    </w:p>
    <w:p w14:paraId="5A3B3951">
      <w:pPr>
        <w:spacing w:line="820" w:lineRule="exact"/>
        <w:ind w:firstLine="562" w:firstLineChars="200"/>
        <w:rPr>
          <w:rFonts w:ascii="宋体" w:hAnsi="宋体" w:eastAsia="宋体"/>
          <w:b/>
          <w:sz w:val="28"/>
          <w:szCs w:val="28"/>
          <w:u w:val="single"/>
        </w:rPr>
      </w:pPr>
      <w:r>
        <w:rPr>
          <w:rFonts w:hint="eastAsia" w:ascii="宋体" w:hAnsi="宋体" w:eastAsia="宋体"/>
          <w:b/>
          <w:sz w:val="28"/>
          <w:szCs w:val="28"/>
        </w:rPr>
        <w:t>工程地区：</w:t>
      </w:r>
      <w:r>
        <w:rPr>
          <w:rFonts w:hint="eastAsia" w:ascii="宋体" w:hAnsi="宋体" w:eastAsia="宋体"/>
          <w:b/>
          <w:sz w:val="28"/>
          <w:szCs w:val="28"/>
          <w:u w:val="single"/>
        </w:rPr>
        <w:t xml:space="preserve">                     </w:t>
      </w:r>
      <w:r>
        <w:rPr>
          <w:rFonts w:ascii="宋体" w:hAnsi="宋体" w:eastAsia="宋体"/>
          <w:b/>
          <w:sz w:val="28"/>
          <w:szCs w:val="28"/>
          <w:u w:val="single"/>
        </w:rPr>
        <w:t xml:space="preserve">             </w:t>
      </w:r>
    </w:p>
    <w:p w14:paraId="15036FDE">
      <w:pPr>
        <w:spacing w:line="820" w:lineRule="exact"/>
        <w:ind w:firstLine="562" w:firstLineChars="200"/>
        <w:rPr>
          <w:rFonts w:ascii="宋体" w:hAnsi="宋体" w:eastAsia="宋体"/>
          <w:b/>
          <w:sz w:val="28"/>
          <w:szCs w:val="28"/>
        </w:rPr>
      </w:pPr>
      <w:r>
        <w:rPr>
          <w:rFonts w:hint="eastAsia" w:ascii="宋体" w:hAnsi="宋体" w:eastAsia="宋体"/>
          <w:b/>
          <w:sz w:val="28"/>
          <w:szCs w:val="28"/>
        </w:rPr>
        <w:t>施工单位：</w:t>
      </w:r>
      <w:r>
        <w:rPr>
          <w:rFonts w:hint="eastAsia" w:ascii="宋体" w:hAnsi="宋体" w:eastAsia="宋体"/>
          <w:b/>
          <w:sz w:val="28"/>
          <w:szCs w:val="28"/>
          <w:u w:val="single"/>
        </w:rPr>
        <w:t xml:space="preserve">                               </w:t>
      </w:r>
      <w:r>
        <w:rPr>
          <w:rFonts w:ascii="宋体" w:hAnsi="宋体" w:eastAsia="宋体"/>
          <w:b/>
          <w:sz w:val="28"/>
          <w:szCs w:val="28"/>
          <w:u w:val="single"/>
        </w:rPr>
        <w:t xml:space="preserve">  </w:t>
      </w:r>
      <w:r>
        <w:rPr>
          <w:rFonts w:hint="eastAsia" w:ascii="宋体" w:hAnsi="宋体" w:eastAsia="宋体"/>
          <w:b/>
          <w:sz w:val="28"/>
          <w:szCs w:val="28"/>
          <w:u w:val="single"/>
        </w:rPr>
        <w:t xml:space="preserve"> </w:t>
      </w:r>
    </w:p>
    <w:p w14:paraId="4453C8CD">
      <w:pPr>
        <w:spacing w:line="820" w:lineRule="exact"/>
        <w:ind w:firstLine="562" w:firstLineChars="200"/>
        <w:rPr>
          <w:rFonts w:ascii="宋体" w:hAnsi="宋体" w:eastAsia="宋体"/>
          <w:b/>
          <w:sz w:val="28"/>
          <w:szCs w:val="28"/>
          <w:u w:val="single"/>
        </w:rPr>
      </w:pPr>
      <w:r>
        <w:rPr>
          <w:rFonts w:hint="eastAsia" w:ascii="宋体" w:hAnsi="宋体" w:eastAsia="宋体"/>
          <w:b/>
          <w:sz w:val="28"/>
          <w:szCs w:val="28"/>
        </w:rPr>
        <w:t>参建单位：</w:t>
      </w:r>
      <w:r>
        <w:rPr>
          <w:rFonts w:hint="eastAsia" w:ascii="宋体" w:hAnsi="宋体" w:eastAsia="宋体"/>
          <w:b/>
          <w:sz w:val="28"/>
          <w:szCs w:val="28"/>
          <w:u w:val="single"/>
        </w:rPr>
        <w:t xml:space="preserve">                                  </w:t>
      </w:r>
    </w:p>
    <w:p w14:paraId="133C628B">
      <w:pPr>
        <w:spacing w:line="820" w:lineRule="exact"/>
        <w:ind w:firstLine="562" w:firstLineChars="200"/>
        <w:rPr>
          <w:rFonts w:ascii="宋体" w:hAnsi="宋体" w:eastAsia="宋体"/>
          <w:b/>
          <w:sz w:val="28"/>
          <w:szCs w:val="28"/>
        </w:rPr>
      </w:pPr>
      <w:r>
        <w:rPr>
          <w:rFonts w:hint="eastAsia" w:ascii="宋体" w:hAnsi="宋体" w:eastAsia="宋体"/>
          <w:b/>
          <w:sz w:val="28"/>
          <w:szCs w:val="28"/>
        </w:rPr>
        <w:t>监理单位：</w:t>
      </w:r>
      <w:r>
        <w:rPr>
          <w:rFonts w:hint="eastAsia" w:ascii="宋体" w:hAnsi="宋体" w:eastAsia="宋体"/>
          <w:b/>
          <w:sz w:val="28"/>
          <w:szCs w:val="28"/>
          <w:u w:val="single"/>
        </w:rPr>
        <w:t xml:space="preserve">                                  </w:t>
      </w:r>
    </w:p>
    <w:p w14:paraId="47BF5F00">
      <w:pPr>
        <w:spacing w:line="820" w:lineRule="exact"/>
        <w:ind w:firstLine="562" w:firstLineChars="200"/>
        <w:rPr>
          <w:rFonts w:ascii="宋体" w:hAnsi="宋体" w:eastAsia="宋体"/>
          <w:b/>
          <w:sz w:val="28"/>
          <w:szCs w:val="28"/>
        </w:rPr>
      </w:pPr>
      <w:r>
        <w:rPr>
          <w:rFonts w:hint="eastAsia" w:ascii="宋体" w:hAnsi="宋体" w:eastAsia="宋体"/>
          <w:b/>
          <w:sz w:val="28"/>
          <w:szCs w:val="28"/>
        </w:rPr>
        <w:t>开工日期：</w:t>
      </w:r>
      <w:r>
        <w:rPr>
          <w:rFonts w:hint="eastAsia" w:ascii="宋体" w:hAnsi="宋体" w:eastAsia="宋体"/>
          <w:b/>
          <w:sz w:val="28"/>
          <w:szCs w:val="28"/>
          <w:u w:val="single"/>
        </w:rPr>
        <w:t xml:space="preserve">             </w:t>
      </w:r>
      <w:r>
        <w:rPr>
          <w:rFonts w:hint="eastAsia" w:ascii="宋体" w:hAnsi="宋体" w:eastAsia="宋体"/>
          <w:b/>
          <w:sz w:val="28"/>
          <w:szCs w:val="28"/>
        </w:rPr>
        <w:t>年</w:t>
      </w:r>
      <w:r>
        <w:rPr>
          <w:rFonts w:hint="eastAsia" w:ascii="宋体" w:hAnsi="宋体" w:eastAsia="宋体"/>
          <w:b/>
          <w:sz w:val="28"/>
          <w:szCs w:val="28"/>
          <w:u w:val="single"/>
        </w:rPr>
        <w:t xml:space="preserve">       </w:t>
      </w:r>
      <w:r>
        <w:rPr>
          <w:rFonts w:hint="eastAsia" w:ascii="宋体" w:hAnsi="宋体" w:eastAsia="宋体"/>
          <w:b/>
          <w:sz w:val="28"/>
          <w:szCs w:val="28"/>
        </w:rPr>
        <w:t>月</w:t>
      </w:r>
      <w:r>
        <w:rPr>
          <w:rFonts w:hint="eastAsia" w:ascii="宋体" w:hAnsi="宋体" w:eastAsia="宋体"/>
          <w:b/>
          <w:sz w:val="28"/>
          <w:szCs w:val="28"/>
          <w:u w:val="single"/>
        </w:rPr>
        <w:t xml:space="preserve">        </w:t>
      </w:r>
      <w:r>
        <w:rPr>
          <w:rFonts w:hint="eastAsia" w:ascii="宋体" w:hAnsi="宋体" w:eastAsia="宋体"/>
          <w:b/>
          <w:sz w:val="28"/>
          <w:szCs w:val="28"/>
        </w:rPr>
        <w:t>日</w:t>
      </w:r>
    </w:p>
    <w:p w14:paraId="71B03FBB">
      <w:pPr>
        <w:spacing w:line="820" w:lineRule="exact"/>
        <w:ind w:firstLine="562" w:firstLineChars="200"/>
        <w:rPr>
          <w:rFonts w:ascii="宋体" w:hAnsi="宋体" w:eastAsia="宋体"/>
          <w:b/>
          <w:sz w:val="28"/>
          <w:szCs w:val="28"/>
        </w:rPr>
      </w:pPr>
      <w:r>
        <w:rPr>
          <w:rFonts w:hint="eastAsia" w:ascii="宋体" w:hAnsi="宋体" w:eastAsia="宋体"/>
          <w:b/>
          <w:sz w:val="28"/>
          <w:szCs w:val="28"/>
        </w:rPr>
        <w:t>竣工日期：</w:t>
      </w:r>
      <w:r>
        <w:rPr>
          <w:rFonts w:hint="eastAsia" w:ascii="宋体" w:hAnsi="宋体" w:eastAsia="宋体"/>
          <w:b/>
          <w:sz w:val="28"/>
          <w:szCs w:val="28"/>
          <w:u w:val="single"/>
        </w:rPr>
        <w:t xml:space="preserve">             </w:t>
      </w:r>
      <w:r>
        <w:rPr>
          <w:rFonts w:hint="eastAsia" w:ascii="宋体" w:hAnsi="宋体" w:eastAsia="宋体"/>
          <w:b/>
          <w:sz w:val="28"/>
          <w:szCs w:val="28"/>
        </w:rPr>
        <w:t>年</w:t>
      </w:r>
      <w:r>
        <w:rPr>
          <w:rFonts w:hint="eastAsia" w:ascii="宋体" w:hAnsi="宋体" w:eastAsia="宋体"/>
          <w:b/>
          <w:sz w:val="28"/>
          <w:szCs w:val="28"/>
          <w:u w:val="single"/>
        </w:rPr>
        <w:t xml:space="preserve">       </w:t>
      </w:r>
      <w:r>
        <w:rPr>
          <w:rFonts w:hint="eastAsia" w:ascii="宋体" w:hAnsi="宋体" w:eastAsia="宋体"/>
          <w:b/>
          <w:sz w:val="28"/>
          <w:szCs w:val="28"/>
        </w:rPr>
        <w:t>月</w:t>
      </w:r>
      <w:r>
        <w:rPr>
          <w:rFonts w:hint="eastAsia" w:ascii="宋体" w:hAnsi="宋体" w:eastAsia="宋体"/>
          <w:b/>
          <w:sz w:val="28"/>
          <w:szCs w:val="28"/>
          <w:u w:val="single"/>
        </w:rPr>
        <w:t xml:space="preserve">        </w:t>
      </w:r>
      <w:r>
        <w:rPr>
          <w:rFonts w:hint="eastAsia" w:ascii="宋体" w:hAnsi="宋体" w:eastAsia="宋体"/>
          <w:b/>
          <w:sz w:val="28"/>
          <w:szCs w:val="28"/>
        </w:rPr>
        <w:t>日</w:t>
      </w:r>
    </w:p>
    <w:p w14:paraId="5C96A710">
      <w:pPr>
        <w:spacing w:line="820" w:lineRule="exact"/>
        <w:ind w:firstLine="562" w:firstLineChars="200"/>
        <w:rPr>
          <w:rFonts w:ascii="宋体" w:hAnsi="宋体" w:eastAsia="宋体"/>
          <w:b/>
          <w:sz w:val="28"/>
          <w:szCs w:val="28"/>
          <w:u w:val="single"/>
        </w:rPr>
      </w:pPr>
      <w:r>
        <w:rPr>
          <w:rFonts w:hint="eastAsia" w:ascii="宋体" w:hAnsi="宋体" w:eastAsia="宋体"/>
          <w:b/>
          <w:sz w:val="28"/>
          <w:szCs w:val="28"/>
        </w:rPr>
        <w:t>项目经理：</w:t>
      </w:r>
      <w:r>
        <w:rPr>
          <w:rFonts w:hint="eastAsia" w:ascii="宋体" w:hAnsi="宋体" w:eastAsia="宋体"/>
          <w:b/>
          <w:sz w:val="28"/>
          <w:szCs w:val="28"/>
          <w:u w:val="single"/>
        </w:rPr>
        <w:t xml:space="preserve">                 </w:t>
      </w:r>
      <w:r>
        <w:rPr>
          <w:rFonts w:hint="eastAsia" w:ascii="宋体" w:hAnsi="宋体" w:eastAsia="宋体"/>
          <w:b/>
          <w:sz w:val="28"/>
          <w:szCs w:val="28"/>
        </w:rPr>
        <w:t>安全生产考核合格证书：</w:t>
      </w:r>
      <w:r>
        <w:rPr>
          <w:rFonts w:hint="eastAsia" w:ascii="宋体" w:hAnsi="宋体" w:eastAsia="宋体"/>
          <w:b/>
          <w:sz w:val="28"/>
          <w:szCs w:val="28"/>
          <w:u w:val="single"/>
        </w:rPr>
        <w:t xml:space="preserve">        </w:t>
      </w:r>
      <w:r>
        <w:rPr>
          <w:rFonts w:hint="eastAsia" w:ascii="宋体" w:hAnsi="宋体" w:eastAsia="宋体"/>
          <w:b/>
          <w:sz w:val="28"/>
          <w:szCs w:val="28"/>
          <w:u w:val="single"/>
          <w:lang w:val="en-US" w:eastAsia="zh-CN"/>
        </w:rPr>
        <w:t xml:space="preserve">      </w:t>
      </w:r>
      <w:r>
        <w:rPr>
          <w:rFonts w:hint="eastAsia" w:ascii="宋体" w:hAnsi="宋体" w:eastAsia="宋体"/>
          <w:b/>
          <w:sz w:val="28"/>
          <w:szCs w:val="28"/>
          <w:u w:val="single"/>
        </w:rPr>
        <w:t xml:space="preserve"> </w:t>
      </w:r>
    </w:p>
    <w:p w14:paraId="18A6E7BB">
      <w:pPr>
        <w:spacing w:line="820" w:lineRule="exact"/>
        <w:ind w:firstLine="562" w:firstLineChars="200"/>
        <w:rPr>
          <w:rFonts w:ascii="宋体" w:hAnsi="宋体" w:eastAsia="宋体"/>
          <w:b/>
          <w:sz w:val="28"/>
          <w:szCs w:val="28"/>
          <w:u w:val="single"/>
        </w:rPr>
      </w:pPr>
      <w:r>
        <w:rPr>
          <w:rFonts w:hint="eastAsia" w:ascii="宋体" w:hAnsi="宋体" w:eastAsia="宋体"/>
          <w:b/>
          <w:sz w:val="28"/>
          <w:szCs w:val="28"/>
        </w:rPr>
        <w:t>参建单位项目经理：</w:t>
      </w:r>
      <w:r>
        <w:rPr>
          <w:rFonts w:hint="eastAsia" w:ascii="宋体" w:hAnsi="宋体" w:eastAsia="宋体"/>
          <w:b/>
          <w:sz w:val="28"/>
          <w:szCs w:val="28"/>
          <w:u w:val="single"/>
        </w:rPr>
        <w:t xml:space="preserve">         </w:t>
      </w:r>
      <w:r>
        <w:rPr>
          <w:rFonts w:hint="eastAsia" w:ascii="宋体" w:hAnsi="宋体" w:eastAsia="宋体"/>
          <w:b/>
          <w:sz w:val="28"/>
          <w:szCs w:val="28"/>
          <w:u w:val="none"/>
          <w:lang w:val="en-US" w:eastAsia="zh-CN"/>
        </w:rPr>
        <w:t>安</w:t>
      </w:r>
      <w:r>
        <w:rPr>
          <w:rFonts w:hint="eastAsia" w:ascii="宋体" w:hAnsi="宋体" w:eastAsia="宋体"/>
          <w:b/>
          <w:sz w:val="28"/>
          <w:szCs w:val="28"/>
        </w:rPr>
        <w:t>全生产考核合格证书：</w:t>
      </w:r>
      <w:r>
        <w:rPr>
          <w:rFonts w:hint="eastAsia" w:ascii="宋体" w:hAnsi="宋体" w:eastAsia="宋体"/>
          <w:b/>
          <w:sz w:val="28"/>
          <w:szCs w:val="28"/>
          <w:u w:val="single"/>
        </w:rPr>
        <w:t xml:space="preserve">         </w:t>
      </w:r>
      <w:r>
        <w:rPr>
          <w:rFonts w:hint="eastAsia" w:ascii="宋体" w:hAnsi="宋体" w:eastAsia="宋体"/>
          <w:b/>
          <w:sz w:val="28"/>
          <w:szCs w:val="28"/>
          <w:u w:val="single"/>
          <w:lang w:val="en-US" w:eastAsia="zh-CN"/>
        </w:rPr>
        <w:t xml:space="preserve">    </w:t>
      </w:r>
      <w:r>
        <w:rPr>
          <w:rFonts w:hint="eastAsia" w:ascii="宋体" w:hAnsi="宋体" w:eastAsia="宋体"/>
          <w:b/>
          <w:sz w:val="28"/>
          <w:szCs w:val="28"/>
          <w:u w:val="single"/>
        </w:rPr>
        <w:t xml:space="preserve">  </w:t>
      </w:r>
    </w:p>
    <w:p w14:paraId="27E26C89">
      <w:pPr>
        <w:spacing w:line="820" w:lineRule="exact"/>
        <w:ind w:firstLine="562" w:firstLineChars="200"/>
        <w:rPr>
          <w:rFonts w:ascii="宋体" w:hAnsi="宋体" w:eastAsia="宋体"/>
          <w:b/>
          <w:sz w:val="28"/>
          <w:szCs w:val="28"/>
          <w:u w:val="single"/>
        </w:rPr>
      </w:pPr>
      <w:r>
        <w:rPr>
          <w:rFonts w:hint="eastAsia" w:ascii="宋体" w:hAnsi="宋体" w:eastAsia="宋体"/>
          <w:b/>
          <w:sz w:val="28"/>
          <w:szCs w:val="28"/>
        </w:rPr>
        <w:t>总监理工程师：</w:t>
      </w:r>
      <w:r>
        <w:rPr>
          <w:rFonts w:hint="eastAsia" w:ascii="宋体" w:hAnsi="宋体" w:eastAsia="宋体"/>
          <w:b/>
          <w:sz w:val="28"/>
          <w:szCs w:val="28"/>
          <w:u w:val="single"/>
        </w:rPr>
        <w:t xml:space="preserve">             </w:t>
      </w:r>
      <w:r>
        <w:rPr>
          <w:rFonts w:hint="eastAsia" w:ascii="宋体" w:hAnsi="宋体" w:eastAsia="宋体"/>
          <w:b/>
          <w:sz w:val="28"/>
          <w:szCs w:val="28"/>
        </w:rPr>
        <w:t>执业证书号：</w:t>
      </w:r>
      <w:r>
        <w:rPr>
          <w:rFonts w:hint="eastAsia" w:ascii="宋体" w:hAnsi="宋体" w:eastAsia="宋体"/>
          <w:b/>
          <w:sz w:val="28"/>
          <w:szCs w:val="28"/>
          <w:u w:val="single"/>
        </w:rPr>
        <w:t xml:space="preserve">               </w:t>
      </w:r>
      <w:r>
        <w:rPr>
          <w:rFonts w:hint="eastAsia" w:ascii="宋体" w:hAnsi="宋体" w:eastAsia="宋体"/>
          <w:b/>
          <w:sz w:val="28"/>
          <w:szCs w:val="28"/>
          <w:u w:val="single"/>
          <w:lang w:val="en-US" w:eastAsia="zh-CN"/>
        </w:rPr>
        <w:t xml:space="preserve">    </w:t>
      </w:r>
      <w:r>
        <w:rPr>
          <w:rFonts w:hint="eastAsia" w:ascii="宋体" w:hAnsi="宋体" w:eastAsia="宋体"/>
          <w:b/>
          <w:sz w:val="28"/>
          <w:szCs w:val="28"/>
          <w:u w:val="single"/>
        </w:rPr>
        <w:t xml:space="preserve">    </w:t>
      </w:r>
    </w:p>
    <w:p w14:paraId="272F3892">
      <w:pPr>
        <w:spacing w:line="820" w:lineRule="exact"/>
        <w:ind w:firstLine="562" w:firstLineChars="200"/>
        <w:rPr>
          <w:rFonts w:ascii="宋体" w:hAnsi="宋体" w:eastAsia="宋体"/>
          <w:b/>
          <w:sz w:val="28"/>
          <w:szCs w:val="28"/>
          <w:u w:val="single"/>
        </w:rPr>
      </w:pPr>
      <w:r>
        <w:rPr>
          <w:rFonts w:hint="eastAsia" w:ascii="宋体" w:hAnsi="宋体" w:eastAsia="宋体"/>
          <w:b/>
          <w:sz w:val="28"/>
          <w:szCs w:val="28"/>
        </w:rPr>
        <w:t>与协会联系负责人：</w:t>
      </w:r>
      <w:r>
        <w:rPr>
          <w:rFonts w:hint="eastAsia" w:ascii="宋体" w:hAnsi="宋体" w:eastAsia="宋体"/>
          <w:b/>
          <w:sz w:val="28"/>
          <w:szCs w:val="28"/>
          <w:u w:val="single"/>
        </w:rPr>
        <w:t xml:space="preserve">             </w:t>
      </w:r>
      <w:r>
        <w:rPr>
          <w:rFonts w:hint="eastAsia" w:ascii="宋体" w:hAnsi="宋体" w:eastAsia="宋体"/>
          <w:b/>
          <w:sz w:val="28"/>
          <w:szCs w:val="28"/>
        </w:rPr>
        <w:t>电话</w:t>
      </w:r>
      <w:r>
        <w:rPr>
          <w:rFonts w:hint="eastAsia" w:ascii="宋体" w:hAnsi="宋体" w:eastAsia="宋体"/>
          <w:b/>
          <w:sz w:val="28"/>
          <w:szCs w:val="28"/>
          <w:u w:val="single"/>
        </w:rPr>
        <w:t xml:space="preserve">           </w:t>
      </w:r>
      <w:r>
        <w:rPr>
          <w:rFonts w:ascii="宋体" w:hAnsi="宋体" w:eastAsia="宋体"/>
          <w:b/>
          <w:sz w:val="28"/>
          <w:szCs w:val="28"/>
          <w:u w:val="single"/>
        </w:rPr>
        <w:t xml:space="preserve">             </w:t>
      </w:r>
      <w:r>
        <w:rPr>
          <w:rFonts w:hint="eastAsia" w:ascii="宋体" w:hAnsi="宋体" w:eastAsia="宋体"/>
          <w:b/>
          <w:sz w:val="28"/>
          <w:szCs w:val="28"/>
          <w:u w:val="single"/>
        </w:rPr>
        <w:t xml:space="preserve">   </w:t>
      </w:r>
    </w:p>
    <w:p w14:paraId="39C5230A">
      <w:pPr>
        <w:spacing w:line="740" w:lineRule="exact"/>
        <w:jc w:val="center"/>
        <w:rPr>
          <w:rFonts w:ascii="方正小标宋_GBK" w:hAnsi="宋体" w:eastAsia="方正小标宋_GBK"/>
          <w:szCs w:val="32"/>
        </w:rPr>
      </w:pPr>
      <w:r>
        <w:rPr>
          <w:rFonts w:hint="eastAsia" w:ascii="方正小标宋_GBK" w:hAnsi="宋体" w:eastAsia="方正小标宋_GBK"/>
          <w:szCs w:val="32"/>
          <w:lang w:val="en-US" w:eastAsia="zh-CN"/>
        </w:rPr>
        <w:t>中山市</w:t>
      </w:r>
      <w:r>
        <w:rPr>
          <w:rFonts w:hint="eastAsia" w:ascii="方正小标宋_GBK" w:hAnsi="宋体" w:eastAsia="方正小标宋_GBK"/>
          <w:szCs w:val="32"/>
        </w:rPr>
        <w:t>市政行业协会制</w:t>
      </w:r>
    </w:p>
    <w:p w14:paraId="48106CE5">
      <w:pPr>
        <w:spacing w:line="360" w:lineRule="auto"/>
        <w:jc w:val="center"/>
        <w:rPr>
          <w:rFonts w:ascii="宋体" w:hAnsi="宋体" w:eastAsia="宋体"/>
          <w:b/>
          <w:sz w:val="24"/>
          <w:szCs w:val="24"/>
        </w:rPr>
        <w:sectPr>
          <w:footerReference r:id="rId3" w:type="default"/>
          <w:pgSz w:w="11906" w:h="16838"/>
          <w:pgMar w:top="956" w:right="1416" w:bottom="842" w:left="1276" w:header="851" w:footer="992" w:gutter="0"/>
          <w:cols w:space="720" w:num="1"/>
          <w:docGrid w:type="lines" w:linePitch="435" w:charSpace="0"/>
        </w:sectPr>
      </w:pPr>
    </w:p>
    <w:p w14:paraId="3A0AE5F0">
      <w:pPr>
        <w:pStyle w:val="17"/>
        <w:rPr>
          <w:rFonts w:ascii="方正小标宋_GBK" w:eastAsia="方正小标宋_GBK"/>
          <w:b w:val="0"/>
          <w:bCs w:val="0"/>
          <w:spacing w:val="40"/>
          <w:sz w:val="40"/>
          <w:szCs w:val="40"/>
        </w:rPr>
      </w:pPr>
      <w:bookmarkStart w:id="0" w:name="_Hlk39653723"/>
      <w:r>
        <w:rPr>
          <w:rFonts w:hint="eastAsia" w:ascii="方正小标宋_GBK" w:eastAsia="方正小标宋_GBK"/>
          <w:b w:val="0"/>
          <w:bCs w:val="0"/>
          <w:spacing w:val="40"/>
          <w:sz w:val="40"/>
          <w:szCs w:val="40"/>
        </w:rPr>
        <w:t>填表须知</w:t>
      </w:r>
    </w:p>
    <w:p w14:paraId="2F9124C6">
      <w:pPr>
        <w:numPr>
          <w:ilvl w:val="0"/>
          <w:numId w:val="1"/>
        </w:numPr>
        <w:spacing w:line="480" w:lineRule="auto"/>
        <w:rPr>
          <w:lang w:val="zh-CN"/>
        </w:rPr>
      </w:pPr>
      <w:r>
        <w:rPr>
          <w:rFonts w:hint="eastAsia"/>
          <w:lang w:val="zh-CN"/>
        </w:rPr>
        <w:t>请据实填写《附录</w:t>
      </w:r>
      <w:r>
        <w:rPr>
          <w:rFonts w:hint="eastAsia"/>
          <w:lang w:val="en-US" w:eastAsia="zh-CN"/>
        </w:rPr>
        <w:t>4</w:t>
      </w:r>
      <w:r>
        <w:rPr>
          <w:lang w:val="zh-CN"/>
        </w:rPr>
        <w:t>-A</w:t>
      </w:r>
      <w:r>
        <w:rPr>
          <w:rFonts w:hint="eastAsia"/>
          <w:lang w:val="zh-CN"/>
        </w:rPr>
        <w:t>市政工程施工安全检查评分汇总表》与《附录</w:t>
      </w:r>
      <w:r>
        <w:rPr>
          <w:rFonts w:hint="eastAsia"/>
          <w:lang w:val="en-US" w:eastAsia="zh-CN"/>
        </w:rPr>
        <w:t>4</w:t>
      </w:r>
      <w:r>
        <w:rPr>
          <w:lang w:val="zh-CN"/>
        </w:rPr>
        <w:t>-</w:t>
      </w:r>
      <w:r>
        <w:rPr>
          <w:rFonts w:hint="eastAsia"/>
          <w:lang w:val="zh-CN"/>
        </w:rPr>
        <w:t>B市政工程施工安全分项检查评分表》。</w:t>
      </w:r>
    </w:p>
    <w:p w14:paraId="55AAE200">
      <w:pPr>
        <w:numPr>
          <w:ilvl w:val="0"/>
          <w:numId w:val="1"/>
        </w:numPr>
        <w:spacing w:line="480" w:lineRule="auto"/>
        <w:rPr>
          <w:lang w:val="zh-CN"/>
        </w:rPr>
      </w:pPr>
      <w:r>
        <w:rPr>
          <w:rFonts w:hint="eastAsia"/>
          <w:lang w:val="zh-CN"/>
        </w:rPr>
        <w:t>附录</w:t>
      </w:r>
      <w:r>
        <w:rPr>
          <w:rFonts w:hint="eastAsia"/>
          <w:lang w:val="en-US" w:eastAsia="zh-CN"/>
        </w:rPr>
        <w:t>4</w:t>
      </w:r>
      <w:r>
        <w:rPr>
          <w:lang w:val="zh-CN"/>
        </w:rPr>
        <w:t>-B</w:t>
      </w:r>
      <w:r>
        <w:rPr>
          <w:rFonts w:hint="eastAsia"/>
          <w:lang w:val="zh-CN"/>
        </w:rPr>
        <w:t>中项目全程未涉及的项目，请在目录清单中注明</w:t>
      </w:r>
      <w:r>
        <w:rPr>
          <w:rFonts w:hint="eastAsia"/>
          <w:b/>
          <w:bCs/>
          <w:u w:val="single"/>
          <w:lang w:val="zh-CN"/>
        </w:rPr>
        <w:t>未涉及</w:t>
      </w:r>
      <w:r>
        <w:rPr>
          <w:rFonts w:hint="eastAsia"/>
          <w:lang w:val="zh-CN"/>
        </w:rPr>
        <w:t>并自行将对应表格删除。</w:t>
      </w:r>
    </w:p>
    <w:p w14:paraId="626E04B4">
      <w:pPr>
        <w:numPr>
          <w:ilvl w:val="0"/>
          <w:numId w:val="1"/>
        </w:numPr>
        <w:spacing w:line="480" w:lineRule="auto"/>
        <w:rPr>
          <w:lang w:val="zh-CN"/>
        </w:rPr>
      </w:pPr>
      <w:r>
        <w:rPr>
          <w:rFonts w:hint="eastAsia"/>
          <w:lang w:val="zh-CN"/>
        </w:rPr>
        <w:t>附录</w:t>
      </w:r>
      <w:r>
        <w:rPr>
          <w:rFonts w:hint="eastAsia"/>
          <w:lang w:val="en-US" w:eastAsia="zh-CN"/>
        </w:rPr>
        <w:t>4</w:t>
      </w:r>
      <w:r>
        <w:rPr>
          <w:rFonts w:hint="eastAsia"/>
          <w:lang w:val="zh-CN"/>
        </w:rPr>
        <w:t>固定格式不得更改。</w:t>
      </w:r>
    </w:p>
    <w:p w14:paraId="24928C45">
      <w:pPr>
        <w:numPr>
          <w:ilvl w:val="0"/>
          <w:numId w:val="1"/>
        </w:numPr>
        <w:spacing w:line="480" w:lineRule="auto"/>
        <w:rPr>
          <w:lang w:val="zh-CN"/>
        </w:rPr>
      </w:pPr>
      <w:r>
        <w:rPr>
          <w:rFonts w:hint="eastAsia"/>
          <w:lang w:val="zh-CN"/>
        </w:rPr>
        <w:t>自评分表</w:t>
      </w:r>
      <w:r>
        <w:rPr>
          <w:rFonts w:hint="eastAsia"/>
          <w:lang w:val="en-US" w:eastAsia="zh-CN"/>
        </w:rPr>
        <w:t>按要求对现场组织检查，并逐项打分量化，不得随意填写，并签署意见</w:t>
      </w:r>
      <w:r>
        <w:rPr>
          <w:rFonts w:hint="eastAsia"/>
          <w:lang w:val="zh-CN"/>
        </w:rPr>
        <w:t>。</w:t>
      </w:r>
    </w:p>
    <w:p w14:paraId="6E12741E">
      <w:pPr>
        <w:numPr>
          <w:ilvl w:val="0"/>
          <w:numId w:val="1"/>
        </w:numPr>
        <w:spacing w:line="480" w:lineRule="auto"/>
        <w:rPr>
          <w:lang w:val="zh-CN"/>
        </w:rPr>
      </w:pPr>
      <w:r>
        <w:rPr>
          <w:rFonts w:hint="eastAsia"/>
          <w:lang w:val="zh-CN"/>
        </w:rPr>
        <w:t>申请现场检查表时，应组织完成自检评分（</w:t>
      </w:r>
      <w:r>
        <w:rPr>
          <w:rFonts w:hint="eastAsia"/>
          <w:lang w:val="en-US" w:eastAsia="zh-CN"/>
        </w:rPr>
        <w:t>请手写</w:t>
      </w:r>
      <w:r>
        <w:rPr>
          <w:rFonts w:hint="eastAsia"/>
          <w:lang w:val="zh-CN"/>
        </w:rPr>
        <w:t>），评审时备查。</w:t>
      </w:r>
    </w:p>
    <w:p w14:paraId="136FAAF0">
      <w:pPr>
        <w:numPr>
          <w:ilvl w:val="0"/>
          <w:numId w:val="1"/>
        </w:numPr>
        <w:spacing w:line="480" w:lineRule="auto"/>
        <w:rPr>
          <w:rFonts w:hint="eastAsia"/>
          <w:color w:val="auto"/>
          <w:lang w:val="zh-CN"/>
        </w:rPr>
      </w:pPr>
      <w:r>
        <w:rPr>
          <w:rFonts w:hint="eastAsia"/>
          <w:color w:val="auto"/>
          <w:lang w:val="zh-CN"/>
        </w:rPr>
        <w:t>申请现场检查表和自评分表扫描件（需签名、盖章的必须完善）发至邮箱：zsszxh@126.com。</w:t>
      </w:r>
    </w:p>
    <w:p w14:paraId="36002993">
      <w:pPr>
        <w:numPr>
          <w:ilvl w:val="0"/>
          <w:numId w:val="1"/>
        </w:numPr>
        <w:spacing w:line="480" w:lineRule="auto"/>
        <w:rPr>
          <w:color w:val="auto"/>
          <w:lang w:val="zh-CN"/>
        </w:rPr>
      </w:pPr>
      <w:r>
        <w:rPr>
          <w:rFonts w:hint="eastAsia"/>
          <w:color w:val="auto"/>
          <w:lang w:val="zh-CN"/>
        </w:rPr>
        <w:t>协会地址：</w:t>
      </w:r>
      <w:r>
        <w:rPr>
          <w:rFonts w:hint="eastAsia"/>
          <w:color w:val="auto"/>
          <w:lang w:val="en-US" w:eastAsia="zh-CN"/>
        </w:rPr>
        <w:t>广东省</w:t>
      </w:r>
      <w:r>
        <w:rPr>
          <w:rFonts w:hint="eastAsia"/>
          <w:color w:val="auto"/>
          <w:lang w:val="zh-CN"/>
        </w:rPr>
        <w:t>中山市火炬开发区江陵西路66号创富智轩大厦A幢4楼409室，收件人：</w:t>
      </w:r>
      <w:r>
        <w:rPr>
          <w:rFonts w:hint="eastAsia"/>
          <w:color w:val="auto"/>
          <w:lang w:val="en-US" w:eastAsia="zh-CN"/>
        </w:rPr>
        <w:t>蒋秘</w:t>
      </w:r>
      <w:r>
        <w:rPr>
          <w:rFonts w:hint="eastAsia"/>
          <w:color w:val="auto"/>
          <w:lang w:val="zh-CN"/>
        </w:rPr>
        <w:t>，电话：0760-88883778。</w:t>
      </w:r>
    </w:p>
    <w:p w14:paraId="7E515819">
      <w:pPr>
        <w:pStyle w:val="17"/>
      </w:pPr>
      <w:r>
        <w:br w:type="page"/>
      </w:r>
      <w:r>
        <w:rPr>
          <w:rFonts w:hint="eastAsia"/>
          <w:sz w:val="28"/>
          <w:szCs w:val="28"/>
        </w:rPr>
        <w:t>附件</w:t>
      </w:r>
      <w:r>
        <w:rPr>
          <w:rFonts w:hint="eastAsia"/>
          <w:sz w:val="28"/>
          <w:szCs w:val="28"/>
          <w:lang w:val="en-US" w:eastAsia="zh-CN"/>
        </w:rPr>
        <w:t>4</w:t>
      </w:r>
      <w:r>
        <w:rPr>
          <w:rFonts w:hint="eastAsia"/>
          <w:sz w:val="28"/>
          <w:szCs w:val="28"/>
        </w:rPr>
        <w:t>《市政工程施工安全检查标准》（CJJ/T275-2018）目录</w:t>
      </w:r>
    </w:p>
    <w:p w14:paraId="459B48EC">
      <w:pPr>
        <w:pStyle w:val="40"/>
        <w:spacing w:line="276" w:lineRule="auto"/>
        <w:jc w:val="both"/>
        <w:rPr>
          <w:rFonts w:ascii="仿宋" w:hAnsi="仿宋" w:eastAsia="仿宋"/>
          <w:sz w:val="24"/>
          <w:szCs w:val="24"/>
        </w:rPr>
      </w:pPr>
      <w:r>
        <w:rPr>
          <w:rFonts w:hint="eastAsia" w:ascii="仿宋" w:hAnsi="仿宋" w:eastAsia="仿宋"/>
          <w:sz w:val="24"/>
          <w:szCs w:val="24"/>
          <w:lang w:eastAsia="zh-CN"/>
        </w:rPr>
        <w:t>1</w:t>
      </w:r>
      <w:r>
        <w:rPr>
          <w:rFonts w:ascii="仿宋" w:hAnsi="仿宋" w:eastAsia="仿宋"/>
          <w:sz w:val="24"/>
          <w:szCs w:val="24"/>
          <w:lang w:eastAsia="zh-CN"/>
        </w:rPr>
        <w:t>.</w:t>
      </w:r>
      <w:r>
        <w:rPr>
          <w:rFonts w:hint="eastAsia" w:ascii="仿宋" w:hAnsi="仿宋" w:eastAsia="仿宋"/>
          <w:sz w:val="24"/>
          <w:szCs w:val="24"/>
          <w:lang w:eastAsia="zh-CN"/>
        </w:rPr>
        <w:t>附录</w:t>
      </w:r>
      <w:r>
        <w:rPr>
          <w:rFonts w:hint="eastAsia" w:ascii="仿宋" w:hAnsi="仿宋" w:eastAsia="仿宋"/>
          <w:sz w:val="24"/>
          <w:szCs w:val="24"/>
          <w:lang w:val="en-US" w:eastAsia="zh-CN"/>
        </w:rPr>
        <w:t>4</w:t>
      </w:r>
      <w:r>
        <w:rPr>
          <w:rFonts w:ascii="仿宋" w:hAnsi="仿宋" w:eastAsia="仿宋"/>
          <w:sz w:val="24"/>
          <w:szCs w:val="24"/>
          <w:lang w:eastAsia="zh-CN"/>
        </w:rPr>
        <w:t>-</w:t>
      </w:r>
      <w:r>
        <w:rPr>
          <w:rFonts w:ascii="仿宋" w:hAnsi="仿宋" w:eastAsia="仿宋"/>
          <w:bCs/>
          <w:sz w:val="24"/>
          <w:szCs w:val="24"/>
        </w:rPr>
        <w:t>A</w:t>
      </w:r>
      <w:r>
        <w:rPr>
          <w:rFonts w:ascii="仿宋" w:hAnsi="仿宋" w:eastAsia="仿宋"/>
          <w:sz w:val="24"/>
          <w:szCs w:val="24"/>
        </w:rPr>
        <w:t xml:space="preserve"> </w:t>
      </w:r>
      <w:r>
        <w:rPr>
          <w:rFonts w:hint="eastAsia" w:ascii="仿宋" w:hAnsi="仿宋" w:eastAsia="仿宋"/>
          <w:sz w:val="24"/>
          <w:szCs w:val="24"/>
        </w:rPr>
        <w:t xml:space="preserve"> 市政工程施工安全检查评分汇总表</w:t>
      </w:r>
    </w:p>
    <w:p w14:paraId="6FB8ADBF">
      <w:pPr>
        <w:pStyle w:val="40"/>
        <w:spacing w:line="276" w:lineRule="auto"/>
        <w:jc w:val="both"/>
        <w:rPr>
          <w:rFonts w:ascii="仿宋" w:hAnsi="仿宋" w:eastAsia="仿宋"/>
          <w:sz w:val="24"/>
          <w:szCs w:val="24"/>
        </w:rPr>
      </w:pPr>
      <w:r>
        <w:rPr>
          <w:rFonts w:hint="eastAsia" w:ascii="仿宋" w:hAnsi="仿宋" w:eastAsia="仿宋"/>
          <w:sz w:val="24"/>
          <w:szCs w:val="24"/>
          <w:lang w:eastAsia="zh-CN"/>
        </w:rPr>
        <w:t>2</w:t>
      </w:r>
      <w:r>
        <w:rPr>
          <w:rFonts w:ascii="仿宋" w:hAnsi="仿宋" w:eastAsia="仿宋"/>
          <w:sz w:val="24"/>
          <w:szCs w:val="24"/>
          <w:lang w:eastAsia="zh-CN"/>
        </w:rPr>
        <w:t>.</w:t>
      </w:r>
      <w:r>
        <w:rPr>
          <w:rFonts w:hint="eastAsia" w:ascii="仿宋" w:hAnsi="仿宋" w:eastAsia="仿宋"/>
          <w:sz w:val="24"/>
          <w:szCs w:val="24"/>
        </w:rPr>
        <w:t>附录</w:t>
      </w:r>
      <w:r>
        <w:rPr>
          <w:rFonts w:hint="eastAsia" w:ascii="仿宋" w:hAnsi="仿宋" w:eastAsia="仿宋"/>
          <w:sz w:val="24"/>
          <w:szCs w:val="24"/>
          <w:lang w:val="en-US" w:eastAsia="zh-CN"/>
        </w:rPr>
        <w:t>4</w:t>
      </w:r>
      <w:r>
        <w:rPr>
          <w:rFonts w:ascii="仿宋" w:hAnsi="仿宋" w:eastAsia="仿宋"/>
          <w:sz w:val="24"/>
          <w:szCs w:val="24"/>
          <w:lang w:eastAsia="zh-CN"/>
        </w:rPr>
        <w:t>-</w:t>
      </w:r>
      <w:r>
        <w:rPr>
          <w:rFonts w:hint="eastAsia" w:ascii="仿宋" w:hAnsi="仿宋" w:eastAsia="仿宋"/>
          <w:sz w:val="24"/>
          <w:szCs w:val="24"/>
        </w:rPr>
        <w:t>B  市政工程施工安全分项检查评分表</w:t>
      </w:r>
    </w:p>
    <w:tbl>
      <w:tblPr>
        <w:tblStyle w:val="19"/>
        <w:tblpPr w:leftFromText="180" w:rightFromText="180" w:vertAnchor="text" w:horzAnchor="page" w:tblpXSpec="center" w:tblpY="63"/>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4253"/>
        <w:gridCol w:w="1275"/>
        <w:gridCol w:w="1418"/>
      </w:tblGrid>
      <w:tr w14:paraId="4E73F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1384" w:type="dxa"/>
            <w:shd w:val="clear" w:color="auto" w:fill="auto"/>
            <w:vAlign w:val="center"/>
          </w:tcPr>
          <w:p w14:paraId="367EF9ED">
            <w:pPr>
              <w:jc w:val="center"/>
              <w:rPr>
                <w:rFonts w:ascii="Calibri" w:hAnsi="Calibri"/>
                <w:sz w:val="24"/>
              </w:rPr>
            </w:pPr>
            <w:r>
              <w:rPr>
                <w:rFonts w:hint="eastAsia" w:ascii="Calibri" w:hAnsi="Calibri"/>
                <w:sz w:val="24"/>
              </w:rPr>
              <w:t>序号</w:t>
            </w:r>
          </w:p>
        </w:tc>
        <w:tc>
          <w:tcPr>
            <w:tcW w:w="4253" w:type="dxa"/>
            <w:shd w:val="clear" w:color="auto" w:fill="auto"/>
            <w:vAlign w:val="center"/>
          </w:tcPr>
          <w:p w14:paraId="2440AE6D">
            <w:pPr>
              <w:jc w:val="center"/>
              <w:rPr>
                <w:rFonts w:ascii="Calibri" w:hAnsi="Calibri"/>
                <w:sz w:val="24"/>
              </w:rPr>
            </w:pPr>
            <w:r>
              <w:rPr>
                <w:rFonts w:hint="eastAsia" w:ascii="Calibri" w:hAnsi="Calibri"/>
                <w:sz w:val="24"/>
              </w:rPr>
              <w:t>项目</w:t>
            </w:r>
          </w:p>
        </w:tc>
        <w:tc>
          <w:tcPr>
            <w:tcW w:w="1275" w:type="dxa"/>
            <w:shd w:val="clear" w:color="auto" w:fill="auto"/>
            <w:vAlign w:val="center"/>
          </w:tcPr>
          <w:p w14:paraId="7F2BB80D">
            <w:pPr>
              <w:jc w:val="center"/>
              <w:rPr>
                <w:rFonts w:ascii="Calibri" w:hAnsi="Calibri"/>
                <w:sz w:val="24"/>
              </w:rPr>
            </w:pPr>
            <w:r>
              <w:rPr>
                <w:rFonts w:hint="eastAsia" w:ascii="Calibri" w:hAnsi="Calibri"/>
                <w:sz w:val="24"/>
              </w:rPr>
              <w:t>是否涉及</w:t>
            </w:r>
          </w:p>
        </w:tc>
        <w:tc>
          <w:tcPr>
            <w:tcW w:w="1418" w:type="dxa"/>
            <w:shd w:val="clear" w:color="auto" w:fill="auto"/>
            <w:vAlign w:val="center"/>
          </w:tcPr>
          <w:p w14:paraId="672EB6FF">
            <w:pPr>
              <w:jc w:val="center"/>
              <w:rPr>
                <w:rFonts w:ascii="Calibri" w:hAnsi="Calibri"/>
                <w:sz w:val="24"/>
              </w:rPr>
            </w:pPr>
            <w:r>
              <w:rPr>
                <w:rFonts w:hint="eastAsia" w:ascii="Calibri" w:hAnsi="Calibri"/>
                <w:sz w:val="24"/>
              </w:rPr>
              <w:t>自评分（未涉及请填/）</w:t>
            </w:r>
          </w:p>
        </w:tc>
      </w:tr>
      <w:tr w14:paraId="7592B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384" w:type="dxa"/>
            <w:shd w:val="clear" w:color="auto" w:fill="auto"/>
          </w:tcPr>
          <w:p w14:paraId="38FCB1F4">
            <w:pPr>
              <w:jc w:val="center"/>
              <w:rPr>
                <w:rFonts w:ascii="仿宋" w:hAnsi="仿宋" w:eastAsia="仿宋"/>
                <w:sz w:val="24"/>
                <w:szCs w:val="24"/>
              </w:rPr>
            </w:pPr>
            <w:r>
              <w:rPr>
                <w:rFonts w:hint="eastAsia" w:ascii="仿宋" w:hAnsi="仿宋" w:eastAsia="仿宋"/>
                <w:sz w:val="24"/>
                <w:szCs w:val="24"/>
              </w:rPr>
              <w:t>表B.1</w:t>
            </w:r>
          </w:p>
        </w:tc>
        <w:tc>
          <w:tcPr>
            <w:tcW w:w="4253" w:type="dxa"/>
            <w:shd w:val="clear" w:color="auto" w:fill="auto"/>
          </w:tcPr>
          <w:p w14:paraId="2F4D3951">
            <w:pPr>
              <w:rPr>
                <w:rFonts w:ascii="仿宋" w:hAnsi="仿宋" w:eastAsia="仿宋"/>
                <w:sz w:val="24"/>
                <w:szCs w:val="24"/>
              </w:rPr>
            </w:pPr>
            <w:r>
              <w:rPr>
                <w:rFonts w:hint="eastAsia" w:ascii="仿宋" w:hAnsi="仿宋" w:eastAsia="仿宋"/>
                <w:sz w:val="24"/>
                <w:szCs w:val="24"/>
              </w:rPr>
              <w:t>安全管理检查</w:t>
            </w:r>
            <w:r>
              <w:rPr>
                <w:rFonts w:ascii="仿宋" w:hAnsi="仿宋" w:eastAsia="仿宋"/>
                <w:sz w:val="24"/>
                <w:szCs w:val="24"/>
              </w:rPr>
              <w:t>评分表</w:t>
            </w:r>
          </w:p>
        </w:tc>
        <w:tc>
          <w:tcPr>
            <w:tcW w:w="1275" w:type="dxa"/>
            <w:shd w:val="clear" w:color="auto" w:fill="auto"/>
          </w:tcPr>
          <w:p w14:paraId="7634E608">
            <w:pPr>
              <w:rPr>
                <w:rFonts w:ascii="Calibri" w:hAnsi="Calibri"/>
                <w:szCs w:val="22"/>
              </w:rPr>
            </w:pPr>
          </w:p>
        </w:tc>
        <w:tc>
          <w:tcPr>
            <w:tcW w:w="1418" w:type="dxa"/>
            <w:shd w:val="clear" w:color="auto" w:fill="auto"/>
          </w:tcPr>
          <w:p w14:paraId="5C5E8DB3">
            <w:pPr>
              <w:rPr>
                <w:rFonts w:ascii="Calibri" w:hAnsi="Calibri"/>
                <w:szCs w:val="22"/>
              </w:rPr>
            </w:pPr>
          </w:p>
        </w:tc>
      </w:tr>
      <w:tr w14:paraId="73755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384" w:type="dxa"/>
            <w:shd w:val="clear" w:color="auto" w:fill="auto"/>
          </w:tcPr>
          <w:p w14:paraId="3062FE06">
            <w:pPr>
              <w:jc w:val="center"/>
              <w:rPr>
                <w:rFonts w:ascii="仿宋" w:hAnsi="仿宋" w:eastAsia="仿宋"/>
                <w:sz w:val="24"/>
                <w:szCs w:val="24"/>
              </w:rPr>
            </w:pPr>
            <w:r>
              <w:rPr>
                <w:rFonts w:hint="eastAsia" w:ascii="仿宋" w:hAnsi="仿宋" w:eastAsia="仿宋"/>
                <w:sz w:val="24"/>
                <w:szCs w:val="24"/>
              </w:rPr>
              <w:t>表B.</w:t>
            </w:r>
            <w:r>
              <w:rPr>
                <w:rFonts w:ascii="仿宋" w:hAnsi="仿宋" w:eastAsia="仿宋"/>
                <w:sz w:val="24"/>
                <w:szCs w:val="24"/>
              </w:rPr>
              <w:t>2</w:t>
            </w:r>
          </w:p>
        </w:tc>
        <w:tc>
          <w:tcPr>
            <w:tcW w:w="4253" w:type="dxa"/>
            <w:shd w:val="clear" w:color="auto" w:fill="auto"/>
          </w:tcPr>
          <w:p w14:paraId="281AF887">
            <w:pPr>
              <w:rPr>
                <w:rFonts w:ascii="仿宋" w:hAnsi="仿宋" w:eastAsia="仿宋"/>
                <w:sz w:val="24"/>
                <w:szCs w:val="24"/>
              </w:rPr>
            </w:pPr>
            <w:r>
              <w:rPr>
                <w:rFonts w:hint="eastAsia" w:ascii="仿宋" w:hAnsi="仿宋" w:eastAsia="仿宋"/>
                <w:sz w:val="24"/>
                <w:szCs w:val="24"/>
              </w:rPr>
              <w:t>文明施工检查</w:t>
            </w:r>
            <w:r>
              <w:rPr>
                <w:rFonts w:ascii="仿宋" w:hAnsi="仿宋" w:eastAsia="仿宋"/>
                <w:sz w:val="24"/>
                <w:szCs w:val="24"/>
              </w:rPr>
              <w:t>评分表</w:t>
            </w:r>
          </w:p>
        </w:tc>
        <w:tc>
          <w:tcPr>
            <w:tcW w:w="1275" w:type="dxa"/>
            <w:shd w:val="clear" w:color="auto" w:fill="auto"/>
          </w:tcPr>
          <w:p w14:paraId="0E3D3C4A">
            <w:pPr>
              <w:rPr>
                <w:rFonts w:ascii="Calibri" w:hAnsi="Calibri"/>
                <w:szCs w:val="22"/>
              </w:rPr>
            </w:pPr>
          </w:p>
        </w:tc>
        <w:tc>
          <w:tcPr>
            <w:tcW w:w="1418" w:type="dxa"/>
            <w:shd w:val="clear" w:color="auto" w:fill="auto"/>
          </w:tcPr>
          <w:p w14:paraId="6D306960">
            <w:pPr>
              <w:rPr>
                <w:rFonts w:ascii="Calibri" w:hAnsi="Calibri"/>
                <w:szCs w:val="22"/>
              </w:rPr>
            </w:pPr>
          </w:p>
        </w:tc>
      </w:tr>
      <w:tr w14:paraId="0C711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384" w:type="dxa"/>
            <w:shd w:val="clear" w:color="auto" w:fill="auto"/>
          </w:tcPr>
          <w:p w14:paraId="185CCAF8">
            <w:pPr>
              <w:jc w:val="center"/>
              <w:rPr>
                <w:rFonts w:ascii="仿宋" w:hAnsi="仿宋" w:eastAsia="仿宋"/>
                <w:sz w:val="24"/>
                <w:szCs w:val="24"/>
              </w:rPr>
            </w:pPr>
            <w:r>
              <w:rPr>
                <w:rFonts w:hint="eastAsia" w:ascii="仿宋" w:hAnsi="仿宋" w:eastAsia="仿宋"/>
                <w:sz w:val="24"/>
                <w:szCs w:val="24"/>
              </w:rPr>
              <w:t>表B.</w:t>
            </w:r>
            <w:r>
              <w:rPr>
                <w:rFonts w:ascii="仿宋" w:hAnsi="仿宋" w:eastAsia="仿宋"/>
                <w:sz w:val="24"/>
                <w:szCs w:val="24"/>
              </w:rPr>
              <w:t>3</w:t>
            </w:r>
          </w:p>
        </w:tc>
        <w:tc>
          <w:tcPr>
            <w:tcW w:w="4253" w:type="dxa"/>
            <w:shd w:val="clear" w:color="auto" w:fill="auto"/>
          </w:tcPr>
          <w:p w14:paraId="2030231D">
            <w:pPr>
              <w:rPr>
                <w:rFonts w:ascii="仿宋" w:hAnsi="仿宋" w:eastAsia="仿宋"/>
                <w:sz w:val="24"/>
                <w:szCs w:val="24"/>
              </w:rPr>
            </w:pPr>
            <w:r>
              <w:rPr>
                <w:rFonts w:hint="eastAsia" w:ascii="仿宋" w:hAnsi="仿宋" w:eastAsia="仿宋"/>
                <w:sz w:val="24"/>
                <w:szCs w:val="24"/>
              </w:rPr>
              <w:t>高处作业检查</w:t>
            </w:r>
            <w:r>
              <w:rPr>
                <w:rFonts w:ascii="仿宋" w:hAnsi="仿宋" w:eastAsia="仿宋"/>
                <w:sz w:val="24"/>
                <w:szCs w:val="24"/>
              </w:rPr>
              <w:t>评分表</w:t>
            </w:r>
          </w:p>
        </w:tc>
        <w:tc>
          <w:tcPr>
            <w:tcW w:w="1275" w:type="dxa"/>
            <w:shd w:val="clear" w:color="auto" w:fill="auto"/>
          </w:tcPr>
          <w:p w14:paraId="2EC1691B">
            <w:pPr>
              <w:rPr>
                <w:rFonts w:ascii="Calibri" w:hAnsi="Calibri"/>
                <w:szCs w:val="22"/>
              </w:rPr>
            </w:pPr>
          </w:p>
        </w:tc>
        <w:tc>
          <w:tcPr>
            <w:tcW w:w="1418" w:type="dxa"/>
            <w:shd w:val="clear" w:color="auto" w:fill="auto"/>
          </w:tcPr>
          <w:p w14:paraId="6BDBD70C">
            <w:pPr>
              <w:rPr>
                <w:rFonts w:ascii="Calibri" w:hAnsi="Calibri"/>
                <w:szCs w:val="22"/>
              </w:rPr>
            </w:pPr>
          </w:p>
        </w:tc>
      </w:tr>
      <w:tr w14:paraId="7E1F1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384" w:type="dxa"/>
            <w:shd w:val="clear" w:color="auto" w:fill="auto"/>
          </w:tcPr>
          <w:p w14:paraId="3ABC2315">
            <w:pPr>
              <w:jc w:val="center"/>
              <w:rPr>
                <w:rFonts w:ascii="仿宋" w:hAnsi="仿宋" w:eastAsia="仿宋"/>
                <w:sz w:val="24"/>
                <w:szCs w:val="24"/>
              </w:rPr>
            </w:pPr>
            <w:r>
              <w:rPr>
                <w:rFonts w:hint="eastAsia" w:ascii="仿宋" w:hAnsi="仿宋" w:eastAsia="仿宋"/>
                <w:sz w:val="24"/>
                <w:szCs w:val="24"/>
              </w:rPr>
              <w:t>表B.4</w:t>
            </w:r>
          </w:p>
        </w:tc>
        <w:tc>
          <w:tcPr>
            <w:tcW w:w="4253" w:type="dxa"/>
            <w:shd w:val="clear" w:color="auto" w:fill="auto"/>
          </w:tcPr>
          <w:p w14:paraId="03DB134C">
            <w:pPr>
              <w:rPr>
                <w:rFonts w:ascii="仿宋" w:hAnsi="仿宋" w:eastAsia="仿宋"/>
                <w:sz w:val="24"/>
                <w:szCs w:val="24"/>
              </w:rPr>
            </w:pPr>
            <w:r>
              <w:rPr>
                <w:rFonts w:hint="eastAsia" w:ascii="仿宋" w:hAnsi="仿宋" w:eastAsia="仿宋"/>
                <w:sz w:val="24"/>
                <w:szCs w:val="24"/>
              </w:rPr>
              <w:t>施工用电检查评分</w:t>
            </w:r>
          </w:p>
        </w:tc>
        <w:tc>
          <w:tcPr>
            <w:tcW w:w="1275" w:type="dxa"/>
            <w:shd w:val="clear" w:color="auto" w:fill="auto"/>
          </w:tcPr>
          <w:p w14:paraId="2AC04396">
            <w:pPr>
              <w:rPr>
                <w:rFonts w:ascii="Calibri" w:hAnsi="Calibri"/>
                <w:szCs w:val="22"/>
              </w:rPr>
            </w:pPr>
          </w:p>
        </w:tc>
        <w:tc>
          <w:tcPr>
            <w:tcW w:w="1418" w:type="dxa"/>
            <w:shd w:val="clear" w:color="auto" w:fill="auto"/>
          </w:tcPr>
          <w:p w14:paraId="68012C3B">
            <w:pPr>
              <w:rPr>
                <w:rFonts w:ascii="Calibri" w:hAnsi="Calibri"/>
                <w:szCs w:val="22"/>
              </w:rPr>
            </w:pPr>
          </w:p>
        </w:tc>
      </w:tr>
      <w:tr w14:paraId="36130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384" w:type="dxa"/>
            <w:shd w:val="clear" w:color="auto" w:fill="auto"/>
          </w:tcPr>
          <w:p w14:paraId="27E6D7F8">
            <w:pPr>
              <w:jc w:val="center"/>
              <w:rPr>
                <w:rFonts w:ascii="仿宋" w:hAnsi="仿宋" w:eastAsia="仿宋"/>
                <w:sz w:val="24"/>
                <w:szCs w:val="24"/>
              </w:rPr>
            </w:pPr>
            <w:r>
              <w:rPr>
                <w:rFonts w:hint="eastAsia" w:ascii="仿宋" w:hAnsi="仿宋" w:eastAsia="仿宋"/>
                <w:sz w:val="24"/>
                <w:szCs w:val="24"/>
                <w:lang w:val="zh-CN" w:eastAsia="zh-CN"/>
              </w:rPr>
              <w:t>表B.5</w:t>
            </w:r>
          </w:p>
        </w:tc>
        <w:tc>
          <w:tcPr>
            <w:tcW w:w="4253" w:type="dxa"/>
            <w:shd w:val="clear" w:color="auto" w:fill="auto"/>
          </w:tcPr>
          <w:p w14:paraId="4C4630EB">
            <w:pPr>
              <w:rPr>
                <w:rFonts w:ascii="仿宋" w:hAnsi="仿宋" w:eastAsia="仿宋"/>
                <w:sz w:val="24"/>
                <w:szCs w:val="24"/>
              </w:rPr>
            </w:pPr>
            <w:r>
              <w:rPr>
                <w:rFonts w:hint="eastAsia" w:ascii="仿宋" w:hAnsi="仿宋" w:eastAsia="仿宋"/>
                <w:sz w:val="24"/>
                <w:szCs w:val="24"/>
                <w:lang w:val="zh-CN" w:eastAsia="zh-CN"/>
              </w:rPr>
              <w:t>施工机具检查评分表</w:t>
            </w:r>
          </w:p>
        </w:tc>
        <w:tc>
          <w:tcPr>
            <w:tcW w:w="1275" w:type="dxa"/>
            <w:shd w:val="clear" w:color="auto" w:fill="auto"/>
          </w:tcPr>
          <w:p w14:paraId="47F5A510">
            <w:pPr>
              <w:rPr>
                <w:rFonts w:ascii="Calibri" w:hAnsi="Calibri"/>
                <w:szCs w:val="22"/>
              </w:rPr>
            </w:pPr>
          </w:p>
        </w:tc>
        <w:tc>
          <w:tcPr>
            <w:tcW w:w="1418" w:type="dxa"/>
            <w:shd w:val="clear" w:color="auto" w:fill="auto"/>
          </w:tcPr>
          <w:p w14:paraId="3F51D89F">
            <w:pPr>
              <w:rPr>
                <w:rFonts w:ascii="Calibri" w:hAnsi="Calibri"/>
                <w:szCs w:val="22"/>
              </w:rPr>
            </w:pPr>
          </w:p>
        </w:tc>
      </w:tr>
      <w:tr w14:paraId="12D67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384" w:type="dxa"/>
            <w:shd w:val="clear" w:color="auto" w:fill="auto"/>
          </w:tcPr>
          <w:p w14:paraId="4223BCAD">
            <w:pPr>
              <w:jc w:val="center"/>
              <w:rPr>
                <w:rFonts w:ascii="仿宋" w:hAnsi="仿宋" w:eastAsia="仿宋"/>
                <w:sz w:val="24"/>
                <w:szCs w:val="24"/>
              </w:rPr>
            </w:pPr>
            <w:r>
              <w:rPr>
                <w:rFonts w:hint="eastAsia" w:ascii="仿宋" w:hAnsi="仿宋" w:eastAsia="仿宋"/>
                <w:sz w:val="24"/>
                <w:szCs w:val="24"/>
              </w:rPr>
              <w:t>表B.</w:t>
            </w:r>
            <w:r>
              <w:rPr>
                <w:rFonts w:ascii="仿宋" w:hAnsi="仿宋" w:eastAsia="仿宋"/>
                <w:sz w:val="24"/>
                <w:szCs w:val="24"/>
              </w:rPr>
              <w:t>6</w:t>
            </w:r>
          </w:p>
        </w:tc>
        <w:tc>
          <w:tcPr>
            <w:tcW w:w="4253" w:type="dxa"/>
            <w:shd w:val="clear" w:color="auto" w:fill="auto"/>
          </w:tcPr>
          <w:p w14:paraId="084C97E5">
            <w:pPr>
              <w:rPr>
                <w:rFonts w:ascii="仿宋" w:hAnsi="仿宋" w:eastAsia="仿宋"/>
                <w:sz w:val="24"/>
                <w:szCs w:val="24"/>
              </w:rPr>
            </w:pPr>
            <w:r>
              <w:rPr>
                <w:rFonts w:hint="eastAsia" w:ascii="仿宋" w:hAnsi="仿宋" w:eastAsia="仿宋"/>
                <w:sz w:val="24"/>
                <w:szCs w:val="24"/>
              </w:rPr>
              <w:t>基坑检查</w:t>
            </w:r>
            <w:r>
              <w:rPr>
                <w:rFonts w:ascii="仿宋" w:hAnsi="仿宋" w:eastAsia="仿宋"/>
                <w:sz w:val="24"/>
                <w:szCs w:val="24"/>
              </w:rPr>
              <w:t>评分表</w:t>
            </w:r>
          </w:p>
        </w:tc>
        <w:tc>
          <w:tcPr>
            <w:tcW w:w="1275" w:type="dxa"/>
            <w:shd w:val="clear" w:color="auto" w:fill="auto"/>
          </w:tcPr>
          <w:p w14:paraId="65CA720A">
            <w:pPr>
              <w:rPr>
                <w:rFonts w:ascii="Calibri" w:hAnsi="Calibri"/>
                <w:szCs w:val="22"/>
              </w:rPr>
            </w:pPr>
          </w:p>
        </w:tc>
        <w:tc>
          <w:tcPr>
            <w:tcW w:w="1418" w:type="dxa"/>
            <w:shd w:val="clear" w:color="auto" w:fill="auto"/>
          </w:tcPr>
          <w:p w14:paraId="0C6DC90D">
            <w:pPr>
              <w:rPr>
                <w:rFonts w:ascii="Calibri" w:hAnsi="Calibri"/>
                <w:szCs w:val="22"/>
              </w:rPr>
            </w:pPr>
          </w:p>
        </w:tc>
      </w:tr>
      <w:tr w14:paraId="77204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shd w:val="clear" w:color="auto" w:fill="auto"/>
          </w:tcPr>
          <w:p w14:paraId="1D36FB5E">
            <w:pPr>
              <w:jc w:val="center"/>
              <w:rPr>
                <w:rFonts w:ascii="仿宋" w:hAnsi="仿宋" w:eastAsia="仿宋"/>
                <w:sz w:val="24"/>
                <w:szCs w:val="24"/>
              </w:rPr>
            </w:pPr>
            <w:r>
              <w:rPr>
                <w:rFonts w:hint="eastAsia" w:ascii="仿宋" w:hAnsi="仿宋" w:eastAsia="仿宋"/>
                <w:sz w:val="24"/>
                <w:szCs w:val="24"/>
              </w:rPr>
              <w:t>表</w:t>
            </w:r>
            <w:r>
              <w:rPr>
                <w:rFonts w:ascii="仿宋" w:hAnsi="仿宋" w:eastAsia="仿宋"/>
                <w:sz w:val="24"/>
                <w:szCs w:val="24"/>
              </w:rPr>
              <w:t>B.7</w:t>
            </w:r>
          </w:p>
        </w:tc>
        <w:tc>
          <w:tcPr>
            <w:tcW w:w="4253" w:type="dxa"/>
            <w:shd w:val="clear" w:color="auto" w:fill="auto"/>
          </w:tcPr>
          <w:p w14:paraId="6014991D">
            <w:pPr>
              <w:rPr>
                <w:rFonts w:ascii="仿宋" w:hAnsi="仿宋" w:eastAsia="仿宋"/>
                <w:sz w:val="24"/>
                <w:szCs w:val="24"/>
              </w:rPr>
            </w:pPr>
            <w:r>
              <w:rPr>
                <w:rFonts w:hint="eastAsia" w:ascii="仿宋" w:hAnsi="仿宋" w:eastAsia="仿宋"/>
                <w:sz w:val="24"/>
                <w:szCs w:val="24"/>
              </w:rPr>
              <w:t>钢围堰检查评分表</w:t>
            </w:r>
          </w:p>
        </w:tc>
        <w:tc>
          <w:tcPr>
            <w:tcW w:w="1275" w:type="dxa"/>
            <w:shd w:val="clear" w:color="auto" w:fill="auto"/>
          </w:tcPr>
          <w:p w14:paraId="30D0B1BB">
            <w:pPr>
              <w:rPr>
                <w:rFonts w:ascii="Calibri" w:hAnsi="Calibri"/>
                <w:szCs w:val="22"/>
              </w:rPr>
            </w:pPr>
          </w:p>
        </w:tc>
        <w:tc>
          <w:tcPr>
            <w:tcW w:w="1418" w:type="dxa"/>
            <w:shd w:val="clear" w:color="auto" w:fill="auto"/>
          </w:tcPr>
          <w:p w14:paraId="470924DB">
            <w:pPr>
              <w:rPr>
                <w:rFonts w:ascii="Calibri" w:hAnsi="Calibri"/>
                <w:szCs w:val="22"/>
              </w:rPr>
            </w:pPr>
          </w:p>
        </w:tc>
      </w:tr>
      <w:tr w14:paraId="22ADB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shd w:val="clear" w:color="auto" w:fill="auto"/>
          </w:tcPr>
          <w:p w14:paraId="5FD2D051">
            <w:pPr>
              <w:jc w:val="center"/>
              <w:rPr>
                <w:rFonts w:ascii="仿宋" w:hAnsi="仿宋" w:eastAsia="仿宋"/>
                <w:sz w:val="24"/>
                <w:szCs w:val="24"/>
              </w:rPr>
            </w:pPr>
            <w:r>
              <w:rPr>
                <w:rFonts w:hint="eastAsia" w:ascii="仿宋" w:hAnsi="仿宋" w:eastAsia="仿宋"/>
                <w:sz w:val="24"/>
                <w:szCs w:val="24"/>
              </w:rPr>
              <w:t>表</w:t>
            </w:r>
            <w:r>
              <w:rPr>
                <w:rFonts w:ascii="仿宋" w:hAnsi="仿宋" w:eastAsia="仿宋"/>
                <w:sz w:val="24"/>
                <w:szCs w:val="24"/>
              </w:rPr>
              <w:t>B.8</w:t>
            </w:r>
          </w:p>
        </w:tc>
        <w:tc>
          <w:tcPr>
            <w:tcW w:w="4253" w:type="dxa"/>
            <w:shd w:val="clear" w:color="auto" w:fill="auto"/>
          </w:tcPr>
          <w:p w14:paraId="55A15C8A">
            <w:pPr>
              <w:rPr>
                <w:rFonts w:ascii="仿宋" w:hAnsi="仿宋" w:eastAsia="仿宋"/>
                <w:sz w:val="24"/>
                <w:szCs w:val="24"/>
              </w:rPr>
            </w:pPr>
            <w:r>
              <w:rPr>
                <w:rFonts w:hint="eastAsia" w:ascii="仿宋" w:hAnsi="仿宋" w:eastAsia="仿宋"/>
                <w:sz w:val="24"/>
                <w:szCs w:val="24"/>
              </w:rPr>
              <w:t>土石围堰检查评分表</w:t>
            </w:r>
          </w:p>
        </w:tc>
        <w:tc>
          <w:tcPr>
            <w:tcW w:w="1275" w:type="dxa"/>
            <w:shd w:val="clear" w:color="auto" w:fill="auto"/>
          </w:tcPr>
          <w:p w14:paraId="3A34125C">
            <w:pPr>
              <w:rPr>
                <w:rFonts w:ascii="Calibri" w:hAnsi="Calibri"/>
                <w:szCs w:val="22"/>
              </w:rPr>
            </w:pPr>
          </w:p>
        </w:tc>
        <w:tc>
          <w:tcPr>
            <w:tcW w:w="1418" w:type="dxa"/>
            <w:shd w:val="clear" w:color="auto" w:fill="auto"/>
          </w:tcPr>
          <w:p w14:paraId="0E42733C">
            <w:pPr>
              <w:rPr>
                <w:rFonts w:ascii="Calibri" w:hAnsi="Calibri"/>
                <w:szCs w:val="22"/>
              </w:rPr>
            </w:pPr>
          </w:p>
        </w:tc>
      </w:tr>
      <w:tr w14:paraId="15F13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shd w:val="clear" w:color="auto" w:fill="auto"/>
          </w:tcPr>
          <w:p w14:paraId="2FA7D290">
            <w:pPr>
              <w:jc w:val="center"/>
              <w:rPr>
                <w:rFonts w:ascii="仿宋" w:hAnsi="仿宋" w:eastAsia="仿宋"/>
                <w:sz w:val="24"/>
                <w:szCs w:val="24"/>
              </w:rPr>
            </w:pPr>
            <w:r>
              <w:rPr>
                <w:rFonts w:hint="eastAsia" w:ascii="仿宋" w:hAnsi="仿宋" w:eastAsia="仿宋"/>
                <w:sz w:val="24"/>
                <w:szCs w:val="24"/>
              </w:rPr>
              <w:t>表B.</w:t>
            </w:r>
            <w:r>
              <w:rPr>
                <w:rFonts w:ascii="仿宋" w:hAnsi="仿宋" w:eastAsia="仿宋"/>
                <w:sz w:val="24"/>
                <w:szCs w:val="24"/>
              </w:rPr>
              <w:t>9</w:t>
            </w:r>
          </w:p>
        </w:tc>
        <w:tc>
          <w:tcPr>
            <w:tcW w:w="4253" w:type="dxa"/>
            <w:shd w:val="clear" w:color="auto" w:fill="auto"/>
          </w:tcPr>
          <w:p w14:paraId="6E03A3E2">
            <w:pPr>
              <w:rPr>
                <w:rFonts w:ascii="仿宋" w:hAnsi="仿宋" w:eastAsia="仿宋"/>
                <w:sz w:val="24"/>
                <w:szCs w:val="24"/>
              </w:rPr>
            </w:pPr>
            <w:r>
              <w:rPr>
                <w:rFonts w:hint="eastAsia" w:ascii="仿宋" w:hAnsi="仿宋" w:eastAsia="仿宋"/>
                <w:sz w:val="24"/>
                <w:szCs w:val="24"/>
              </w:rPr>
              <w:t>沉井检查</w:t>
            </w:r>
            <w:r>
              <w:rPr>
                <w:rFonts w:ascii="仿宋" w:hAnsi="仿宋" w:eastAsia="仿宋"/>
                <w:sz w:val="24"/>
                <w:szCs w:val="24"/>
              </w:rPr>
              <w:t>评分表</w:t>
            </w:r>
          </w:p>
        </w:tc>
        <w:tc>
          <w:tcPr>
            <w:tcW w:w="1275" w:type="dxa"/>
            <w:shd w:val="clear" w:color="auto" w:fill="auto"/>
          </w:tcPr>
          <w:p w14:paraId="27153912">
            <w:pPr>
              <w:rPr>
                <w:rFonts w:ascii="Calibri" w:hAnsi="Calibri"/>
                <w:szCs w:val="22"/>
              </w:rPr>
            </w:pPr>
          </w:p>
        </w:tc>
        <w:tc>
          <w:tcPr>
            <w:tcW w:w="1418" w:type="dxa"/>
            <w:shd w:val="clear" w:color="auto" w:fill="auto"/>
          </w:tcPr>
          <w:p w14:paraId="7D2E4F42">
            <w:pPr>
              <w:rPr>
                <w:rFonts w:ascii="Calibri" w:hAnsi="Calibri"/>
                <w:szCs w:val="22"/>
              </w:rPr>
            </w:pPr>
          </w:p>
        </w:tc>
      </w:tr>
      <w:tr w14:paraId="5B9FD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shd w:val="clear" w:color="auto" w:fill="auto"/>
          </w:tcPr>
          <w:p w14:paraId="50405378">
            <w:pPr>
              <w:jc w:val="center"/>
              <w:rPr>
                <w:rFonts w:ascii="仿宋" w:hAnsi="仿宋" w:eastAsia="仿宋"/>
                <w:sz w:val="24"/>
                <w:szCs w:val="24"/>
              </w:rPr>
            </w:pPr>
            <w:r>
              <w:rPr>
                <w:rFonts w:hint="eastAsia" w:ascii="仿宋" w:hAnsi="仿宋" w:eastAsia="仿宋"/>
                <w:sz w:val="24"/>
                <w:szCs w:val="24"/>
              </w:rPr>
              <w:t>表B.</w:t>
            </w:r>
            <w:r>
              <w:rPr>
                <w:rFonts w:ascii="仿宋" w:hAnsi="仿宋" w:eastAsia="仿宋"/>
                <w:sz w:val="24"/>
                <w:szCs w:val="24"/>
              </w:rPr>
              <w:t>10</w:t>
            </w:r>
          </w:p>
        </w:tc>
        <w:tc>
          <w:tcPr>
            <w:tcW w:w="4253" w:type="dxa"/>
            <w:shd w:val="clear" w:color="auto" w:fill="auto"/>
          </w:tcPr>
          <w:p w14:paraId="61160D43">
            <w:pPr>
              <w:rPr>
                <w:rFonts w:ascii="仿宋" w:hAnsi="仿宋" w:eastAsia="仿宋"/>
                <w:sz w:val="24"/>
                <w:szCs w:val="24"/>
              </w:rPr>
            </w:pPr>
            <w:r>
              <w:rPr>
                <w:rFonts w:hint="eastAsia" w:ascii="仿宋" w:hAnsi="仿宋" w:eastAsia="仿宋"/>
                <w:sz w:val="24"/>
                <w:szCs w:val="24"/>
              </w:rPr>
              <w:t>人工挖孔桩检查</w:t>
            </w:r>
            <w:r>
              <w:rPr>
                <w:rFonts w:ascii="仿宋" w:hAnsi="仿宋" w:eastAsia="仿宋"/>
                <w:sz w:val="24"/>
                <w:szCs w:val="24"/>
              </w:rPr>
              <w:t>评分表</w:t>
            </w:r>
          </w:p>
        </w:tc>
        <w:tc>
          <w:tcPr>
            <w:tcW w:w="1275" w:type="dxa"/>
            <w:shd w:val="clear" w:color="auto" w:fill="auto"/>
          </w:tcPr>
          <w:p w14:paraId="5965A2C5">
            <w:pPr>
              <w:rPr>
                <w:rFonts w:ascii="Calibri" w:hAnsi="Calibri"/>
                <w:szCs w:val="22"/>
              </w:rPr>
            </w:pPr>
          </w:p>
        </w:tc>
        <w:tc>
          <w:tcPr>
            <w:tcW w:w="1418" w:type="dxa"/>
            <w:shd w:val="clear" w:color="auto" w:fill="auto"/>
          </w:tcPr>
          <w:p w14:paraId="7A101127">
            <w:pPr>
              <w:rPr>
                <w:rFonts w:ascii="Calibri" w:hAnsi="Calibri"/>
                <w:szCs w:val="22"/>
              </w:rPr>
            </w:pPr>
          </w:p>
        </w:tc>
      </w:tr>
      <w:tr w14:paraId="5FBED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shd w:val="clear" w:color="auto" w:fill="auto"/>
          </w:tcPr>
          <w:p w14:paraId="26CFAE49">
            <w:pPr>
              <w:jc w:val="center"/>
              <w:rPr>
                <w:rFonts w:ascii="仿宋" w:hAnsi="仿宋" w:eastAsia="仿宋"/>
                <w:sz w:val="24"/>
                <w:szCs w:val="24"/>
              </w:rPr>
            </w:pPr>
            <w:r>
              <w:rPr>
                <w:rFonts w:hint="eastAsia" w:ascii="仿宋" w:hAnsi="仿宋" w:eastAsia="仿宋"/>
                <w:sz w:val="24"/>
                <w:szCs w:val="24"/>
              </w:rPr>
              <w:t>表B.1</w:t>
            </w:r>
            <w:r>
              <w:rPr>
                <w:rFonts w:ascii="仿宋" w:hAnsi="仿宋" w:eastAsia="仿宋"/>
                <w:sz w:val="24"/>
                <w:szCs w:val="24"/>
              </w:rPr>
              <w:t>1</w:t>
            </w:r>
          </w:p>
        </w:tc>
        <w:tc>
          <w:tcPr>
            <w:tcW w:w="4253" w:type="dxa"/>
            <w:shd w:val="clear" w:color="auto" w:fill="auto"/>
          </w:tcPr>
          <w:p w14:paraId="5747F67F">
            <w:pPr>
              <w:rPr>
                <w:rFonts w:ascii="仿宋" w:hAnsi="仿宋" w:eastAsia="仿宋"/>
                <w:sz w:val="24"/>
                <w:szCs w:val="24"/>
              </w:rPr>
            </w:pPr>
            <w:r>
              <w:rPr>
                <w:rFonts w:hint="eastAsia" w:ascii="仿宋" w:hAnsi="仿宋" w:eastAsia="仿宋"/>
                <w:sz w:val="24"/>
                <w:szCs w:val="24"/>
              </w:rPr>
              <w:t>钢管双排脚手架检查</w:t>
            </w:r>
            <w:r>
              <w:rPr>
                <w:rFonts w:ascii="仿宋" w:hAnsi="仿宋" w:eastAsia="仿宋"/>
                <w:sz w:val="24"/>
                <w:szCs w:val="24"/>
              </w:rPr>
              <w:t>评分表</w:t>
            </w:r>
          </w:p>
        </w:tc>
        <w:tc>
          <w:tcPr>
            <w:tcW w:w="1275" w:type="dxa"/>
            <w:shd w:val="clear" w:color="auto" w:fill="auto"/>
          </w:tcPr>
          <w:p w14:paraId="7CAE1074">
            <w:pPr>
              <w:rPr>
                <w:rFonts w:ascii="Calibri" w:hAnsi="Calibri"/>
                <w:szCs w:val="22"/>
              </w:rPr>
            </w:pPr>
          </w:p>
        </w:tc>
        <w:tc>
          <w:tcPr>
            <w:tcW w:w="1418" w:type="dxa"/>
            <w:shd w:val="clear" w:color="auto" w:fill="auto"/>
          </w:tcPr>
          <w:p w14:paraId="0504BFED">
            <w:pPr>
              <w:rPr>
                <w:rFonts w:ascii="Calibri" w:hAnsi="Calibri"/>
                <w:szCs w:val="22"/>
              </w:rPr>
            </w:pPr>
          </w:p>
        </w:tc>
      </w:tr>
      <w:tr w14:paraId="12363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shd w:val="clear" w:color="auto" w:fill="auto"/>
          </w:tcPr>
          <w:p w14:paraId="456AAE5D">
            <w:pPr>
              <w:jc w:val="center"/>
              <w:rPr>
                <w:rFonts w:ascii="仿宋" w:hAnsi="仿宋" w:eastAsia="仿宋"/>
                <w:sz w:val="24"/>
                <w:szCs w:val="24"/>
              </w:rPr>
            </w:pPr>
            <w:r>
              <w:rPr>
                <w:rFonts w:hint="eastAsia" w:ascii="仿宋" w:hAnsi="仿宋" w:eastAsia="仿宋"/>
                <w:sz w:val="24"/>
                <w:szCs w:val="24"/>
              </w:rPr>
              <w:t>表B.1</w:t>
            </w:r>
            <w:r>
              <w:rPr>
                <w:rFonts w:ascii="仿宋" w:hAnsi="仿宋" w:eastAsia="仿宋"/>
                <w:sz w:val="24"/>
                <w:szCs w:val="24"/>
              </w:rPr>
              <w:t>2</w:t>
            </w:r>
          </w:p>
        </w:tc>
        <w:tc>
          <w:tcPr>
            <w:tcW w:w="4253" w:type="dxa"/>
            <w:shd w:val="clear" w:color="auto" w:fill="auto"/>
          </w:tcPr>
          <w:p w14:paraId="5FC77C7F">
            <w:pPr>
              <w:rPr>
                <w:rFonts w:ascii="仿宋" w:hAnsi="仿宋" w:eastAsia="仿宋"/>
                <w:sz w:val="24"/>
                <w:szCs w:val="24"/>
              </w:rPr>
            </w:pPr>
            <w:r>
              <w:rPr>
                <w:rFonts w:hint="eastAsia" w:ascii="仿宋" w:hAnsi="仿宋" w:eastAsia="仿宋"/>
                <w:sz w:val="24"/>
                <w:szCs w:val="24"/>
              </w:rPr>
              <w:t>钢管满堂脚手架检查</w:t>
            </w:r>
            <w:r>
              <w:rPr>
                <w:rFonts w:ascii="仿宋" w:hAnsi="仿宋" w:eastAsia="仿宋"/>
                <w:sz w:val="24"/>
                <w:szCs w:val="24"/>
              </w:rPr>
              <w:t>评分表</w:t>
            </w:r>
          </w:p>
        </w:tc>
        <w:tc>
          <w:tcPr>
            <w:tcW w:w="1275" w:type="dxa"/>
            <w:shd w:val="clear" w:color="auto" w:fill="auto"/>
          </w:tcPr>
          <w:p w14:paraId="2CC505E4">
            <w:pPr>
              <w:rPr>
                <w:rFonts w:ascii="Calibri" w:hAnsi="Calibri"/>
                <w:szCs w:val="22"/>
              </w:rPr>
            </w:pPr>
          </w:p>
        </w:tc>
        <w:tc>
          <w:tcPr>
            <w:tcW w:w="1418" w:type="dxa"/>
            <w:shd w:val="clear" w:color="auto" w:fill="auto"/>
          </w:tcPr>
          <w:p w14:paraId="1F7BCB55">
            <w:pPr>
              <w:rPr>
                <w:rFonts w:ascii="Calibri" w:hAnsi="Calibri"/>
                <w:szCs w:val="22"/>
              </w:rPr>
            </w:pPr>
          </w:p>
        </w:tc>
      </w:tr>
      <w:tr w14:paraId="4DDB9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shd w:val="clear" w:color="auto" w:fill="auto"/>
          </w:tcPr>
          <w:p w14:paraId="08C26A43">
            <w:pPr>
              <w:jc w:val="center"/>
              <w:rPr>
                <w:rFonts w:ascii="仿宋" w:hAnsi="仿宋" w:eastAsia="仿宋"/>
                <w:sz w:val="24"/>
                <w:szCs w:val="24"/>
              </w:rPr>
            </w:pPr>
            <w:r>
              <w:rPr>
                <w:rFonts w:hint="eastAsia" w:ascii="仿宋" w:hAnsi="仿宋" w:eastAsia="仿宋"/>
                <w:sz w:val="24"/>
                <w:szCs w:val="24"/>
              </w:rPr>
              <w:t>表B.13</w:t>
            </w:r>
          </w:p>
        </w:tc>
        <w:tc>
          <w:tcPr>
            <w:tcW w:w="4253" w:type="dxa"/>
            <w:shd w:val="clear" w:color="auto" w:fill="auto"/>
          </w:tcPr>
          <w:p w14:paraId="760B4E34">
            <w:pPr>
              <w:rPr>
                <w:rFonts w:ascii="仿宋" w:hAnsi="仿宋" w:eastAsia="仿宋"/>
                <w:sz w:val="24"/>
                <w:szCs w:val="24"/>
              </w:rPr>
            </w:pPr>
            <w:r>
              <w:rPr>
                <w:rFonts w:hint="eastAsia" w:ascii="仿宋" w:hAnsi="仿宋" w:eastAsia="仿宋"/>
                <w:sz w:val="24"/>
                <w:szCs w:val="24"/>
              </w:rPr>
              <w:t>高处作业吊篮检查</w:t>
            </w:r>
            <w:r>
              <w:rPr>
                <w:rFonts w:ascii="仿宋" w:hAnsi="仿宋" w:eastAsia="仿宋"/>
                <w:sz w:val="24"/>
                <w:szCs w:val="24"/>
              </w:rPr>
              <w:t>评分表</w:t>
            </w:r>
          </w:p>
        </w:tc>
        <w:tc>
          <w:tcPr>
            <w:tcW w:w="1275" w:type="dxa"/>
            <w:shd w:val="clear" w:color="auto" w:fill="auto"/>
          </w:tcPr>
          <w:p w14:paraId="1BC25F81">
            <w:pPr>
              <w:rPr>
                <w:rFonts w:ascii="Calibri" w:hAnsi="Calibri"/>
                <w:szCs w:val="22"/>
              </w:rPr>
            </w:pPr>
          </w:p>
        </w:tc>
        <w:tc>
          <w:tcPr>
            <w:tcW w:w="1418" w:type="dxa"/>
            <w:shd w:val="clear" w:color="auto" w:fill="auto"/>
          </w:tcPr>
          <w:p w14:paraId="7FE70DAD">
            <w:pPr>
              <w:rPr>
                <w:rFonts w:ascii="Calibri" w:hAnsi="Calibri"/>
                <w:szCs w:val="22"/>
              </w:rPr>
            </w:pPr>
          </w:p>
        </w:tc>
      </w:tr>
      <w:tr w14:paraId="270F9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shd w:val="clear" w:color="auto" w:fill="auto"/>
          </w:tcPr>
          <w:p w14:paraId="75212712">
            <w:pPr>
              <w:jc w:val="center"/>
              <w:rPr>
                <w:rFonts w:ascii="仿宋" w:hAnsi="仿宋" w:eastAsia="仿宋"/>
                <w:sz w:val="24"/>
                <w:szCs w:val="24"/>
              </w:rPr>
            </w:pPr>
            <w:r>
              <w:rPr>
                <w:rFonts w:hint="eastAsia" w:ascii="仿宋" w:hAnsi="仿宋" w:eastAsia="仿宋"/>
                <w:sz w:val="24"/>
                <w:szCs w:val="24"/>
              </w:rPr>
              <w:t>表B.14</w:t>
            </w:r>
          </w:p>
        </w:tc>
        <w:tc>
          <w:tcPr>
            <w:tcW w:w="4253" w:type="dxa"/>
            <w:shd w:val="clear" w:color="auto" w:fill="auto"/>
          </w:tcPr>
          <w:p w14:paraId="394CE665">
            <w:pPr>
              <w:rPr>
                <w:rFonts w:ascii="仿宋" w:hAnsi="仿宋" w:eastAsia="仿宋"/>
                <w:sz w:val="24"/>
                <w:szCs w:val="24"/>
              </w:rPr>
            </w:pPr>
            <w:r>
              <w:rPr>
                <w:rFonts w:hint="eastAsia" w:ascii="仿宋" w:hAnsi="仿宋" w:eastAsia="仿宋"/>
                <w:sz w:val="24"/>
                <w:szCs w:val="24"/>
              </w:rPr>
              <w:t>栈桥与</w:t>
            </w:r>
            <w:r>
              <w:rPr>
                <w:rFonts w:ascii="仿宋" w:hAnsi="仿宋" w:eastAsia="仿宋"/>
                <w:sz w:val="24"/>
                <w:szCs w:val="24"/>
              </w:rPr>
              <w:t>作业平台</w:t>
            </w:r>
            <w:r>
              <w:rPr>
                <w:rFonts w:hint="eastAsia" w:ascii="仿宋" w:hAnsi="仿宋" w:eastAsia="仿宋"/>
                <w:sz w:val="24"/>
                <w:szCs w:val="24"/>
              </w:rPr>
              <w:t>检查</w:t>
            </w:r>
            <w:r>
              <w:rPr>
                <w:rFonts w:ascii="仿宋" w:hAnsi="仿宋" w:eastAsia="仿宋"/>
                <w:sz w:val="24"/>
                <w:szCs w:val="24"/>
              </w:rPr>
              <w:t>评分表</w:t>
            </w:r>
          </w:p>
        </w:tc>
        <w:tc>
          <w:tcPr>
            <w:tcW w:w="1275" w:type="dxa"/>
            <w:shd w:val="clear" w:color="auto" w:fill="auto"/>
          </w:tcPr>
          <w:p w14:paraId="46AC3126">
            <w:pPr>
              <w:rPr>
                <w:rFonts w:ascii="Calibri" w:hAnsi="Calibri"/>
                <w:szCs w:val="22"/>
              </w:rPr>
            </w:pPr>
          </w:p>
        </w:tc>
        <w:tc>
          <w:tcPr>
            <w:tcW w:w="1418" w:type="dxa"/>
            <w:shd w:val="clear" w:color="auto" w:fill="auto"/>
          </w:tcPr>
          <w:p w14:paraId="5CF2C33A">
            <w:pPr>
              <w:rPr>
                <w:rFonts w:ascii="Calibri" w:hAnsi="Calibri"/>
                <w:szCs w:val="22"/>
              </w:rPr>
            </w:pPr>
          </w:p>
        </w:tc>
      </w:tr>
      <w:tr w14:paraId="308ED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shd w:val="clear" w:color="auto" w:fill="auto"/>
          </w:tcPr>
          <w:p w14:paraId="00490FCA">
            <w:pPr>
              <w:jc w:val="center"/>
              <w:rPr>
                <w:rFonts w:ascii="仿宋" w:hAnsi="仿宋" w:eastAsia="仿宋"/>
                <w:sz w:val="24"/>
                <w:szCs w:val="24"/>
              </w:rPr>
            </w:pPr>
            <w:r>
              <w:rPr>
                <w:rFonts w:hint="eastAsia" w:ascii="仿宋" w:hAnsi="仿宋" w:eastAsia="仿宋"/>
                <w:sz w:val="24"/>
                <w:szCs w:val="24"/>
              </w:rPr>
              <w:t>表B.15</w:t>
            </w:r>
          </w:p>
        </w:tc>
        <w:tc>
          <w:tcPr>
            <w:tcW w:w="4253" w:type="dxa"/>
            <w:shd w:val="clear" w:color="auto" w:fill="auto"/>
          </w:tcPr>
          <w:p w14:paraId="76890125">
            <w:pPr>
              <w:rPr>
                <w:rFonts w:ascii="仿宋" w:hAnsi="仿宋" w:eastAsia="仿宋"/>
                <w:sz w:val="24"/>
                <w:szCs w:val="24"/>
              </w:rPr>
            </w:pPr>
            <w:r>
              <w:rPr>
                <w:rFonts w:hint="eastAsia" w:ascii="仿宋" w:hAnsi="仿宋" w:eastAsia="仿宋"/>
                <w:sz w:val="24"/>
                <w:szCs w:val="24"/>
              </w:rPr>
              <w:t>猫道检查</w:t>
            </w:r>
            <w:r>
              <w:rPr>
                <w:rFonts w:ascii="仿宋" w:hAnsi="仿宋" w:eastAsia="仿宋"/>
                <w:sz w:val="24"/>
                <w:szCs w:val="24"/>
              </w:rPr>
              <w:t>评分表</w:t>
            </w:r>
          </w:p>
        </w:tc>
        <w:tc>
          <w:tcPr>
            <w:tcW w:w="1275" w:type="dxa"/>
            <w:shd w:val="clear" w:color="auto" w:fill="auto"/>
          </w:tcPr>
          <w:p w14:paraId="172B18D0">
            <w:pPr>
              <w:rPr>
                <w:rFonts w:ascii="Calibri" w:hAnsi="Calibri"/>
                <w:szCs w:val="22"/>
              </w:rPr>
            </w:pPr>
          </w:p>
        </w:tc>
        <w:tc>
          <w:tcPr>
            <w:tcW w:w="1418" w:type="dxa"/>
            <w:shd w:val="clear" w:color="auto" w:fill="auto"/>
          </w:tcPr>
          <w:p w14:paraId="6EB858ED">
            <w:pPr>
              <w:rPr>
                <w:rFonts w:ascii="Calibri" w:hAnsi="Calibri"/>
                <w:szCs w:val="22"/>
              </w:rPr>
            </w:pPr>
          </w:p>
        </w:tc>
      </w:tr>
      <w:tr w14:paraId="6181B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shd w:val="clear" w:color="auto" w:fill="auto"/>
          </w:tcPr>
          <w:p w14:paraId="7B5869B2">
            <w:pPr>
              <w:jc w:val="center"/>
              <w:rPr>
                <w:rFonts w:ascii="仿宋" w:hAnsi="仿宋" w:eastAsia="仿宋"/>
                <w:sz w:val="24"/>
                <w:szCs w:val="24"/>
              </w:rPr>
            </w:pPr>
            <w:r>
              <w:rPr>
                <w:rFonts w:hint="eastAsia" w:ascii="仿宋" w:hAnsi="仿宋" w:eastAsia="仿宋"/>
                <w:sz w:val="24"/>
                <w:szCs w:val="24"/>
                <w:lang w:val="zh-CN" w:eastAsia="zh-CN"/>
              </w:rPr>
              <w:t>表B.16</w:t>
            </w:r>
          </w:p>
        </w:tc>
        <w:tc>
          <w:tcPr>
            <w:tcW w:w="4253" w:type="dxa"/>
            <w:shd w:val="clear" w:color="auto" w:fill="auto"/>
          </w:tcPr>
          <w:p w14:paraId="381DBC9A">
            <w:pPr>
              <w:rPr>
                <w:rFonts w:ascii="仿宋" w:hAnsi="仿宋" w:eastAsia="仿宋"/>
                <w:sz w:val="24"/>
                <w:szCs w:val="24"/>
              </w:rPr>
            </w:pPr>
            <w:r>
              <w:rPr>
                <w:rFonts w:hint="eastAsia" w:ascii="仿宋" w:hAnsi="仿宋" w:eastAsia="仿宋"/>
                <w:sz w:val="24"/>
                <w:szCs w:val="24"/>
                <w:lang w:val="zh-CN" w:eastAsia="zh-CN"/>
              </w:rPr>
              <w:t>钢管满堂模板支撑架检查评分表</w:t>
            </w:r>
          </w:p>
        </w:tc>
        <w:tc>
          <w:tcPr>
            <w:tcW w:w="1275" w:type="dxa"/>
            <w:shd w:val="clear" w:color="auto" w:fill="auto"/>
          </w:tcPr>
          <w:p w14:paraId="687A7854">
            <w:pPr>
              <w:rPr>
                <w:rFonts w:ascii="Calibri" w:hAnsi="Calibri"/>
                <w:szCs w:val="22"/>
              </w:rPr>
            </w:pPr>
          </w:p>
        </w:tc>
        <w:tc>
          <w:tcPr>
            <w:tcW w:w="1418" w:type="dxa"/>
            <w:shd w:val="clear" w:color="auto" w:fill="auto"/>
          </w:tcPr>
          <w:p w14:paraId="6FCD867E">
            <w:pPr>
              <w:rPr>
                <w:rFonts w:ascii="Calibri" w:hAnsi="Calibri"/>
                <w:szCs w:val="22"/>
              </w:rPr>
            </w:pPr>
          </w:p>
        </w:tc>
      </w:tr>
      <w:tr w14:paraId="7AD42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shd w:val="clear" w:color="auto" w:fill="auto"/>
          </w:tcPr>
          <w:p w14:paraId="258D13E2">
            <w:pPr>
              <w:jc w:val="center"/>
              <w:rPr>
                <w:rFonts w:ascii="仿宋" w:hAnsi="仿宋" w:eastAsia="仿宋"/>
                <w:sz w:val="24"/>
                <w:szCs w:val="24"/>
              </w:rPr>
            </w:pPr>
            <w:r>
              <w:rPr>
                <w:rFonts w:hint="eastAsia" w:ascii="仿宋" w:hAnsi="仿宋" w:eastAsia="仿宋"/>
                <w:sz w:val="24"/>
                <w:szCs w:val="24"/>
              </w:rPr>
              <w:t>表B.1</w:t>
            </w:r>
            <w:r>
              <w:rPr>
                <w:rFonts w:ascii="仿宋" w:hAnsi="仿宋" w:eastAsia="仿宋"/>
                <w:sz w:val="24"/>
                <w:szCs w:val="24"/>
              </w:rPr>
              <w:t>7</w:t>
            </w:r>
          </w:p>
        </w:tc>
        <w:tc>
          <w:tcPr>
            <w:tcW w:w="4253" w:type="dxa"/>
            <w:shd w:val="clear" w:color="auto" w:fill="auto"/>
          </w:tcPr>
          <w:p w14:paraId="39149A8B">
            <w:pPr>
              <w:rPr>
                <w:rFonts w:ascii="仿宋" w:hAnsi="仿宋" w:eastAsia="仿宋"/>
                <w:sz w:val="24"/>
                <w:szCs w:val="24"/>
              </w:rPr>
            </w:pPr>
            <w:r>
              <w:rPr>
                <w:rFonts w:hint="eastAsia" w:ascii="仿宋" w:hAnsi="仿宋" w:eastAsia="仿宋"/>
                <w:sz w:val="24"/>
                <w:szCs w:val="24"/>
              </w:rPr>
              <w:t>梁柱式模板支撑架检查</w:t>
            </w:r>
            <w:r>
              <w:rPr>
                <w:rFonts w:ascii="仿宋" w:hAnsi="仿宋" w:eastAsia="仿宋"/>
                <w:sz w:val="24"/>
                <w:szCs w:val="24"/>
              </w:rPr>
              <w:t>评分表</w:t>
            </w:r>
          </w:p>
        </w:tc>
        <w:tc>
          <w:tcPr>
            <w:tcW w:w="1275" w:type="dxa"/>
            <w:shd w:val="clear" w:color="auto" w:fill="auto"/>
          </w:tcPr>
          <w:p w14:paraId="2D6D0766">
            <w:pPr>
              <w:rPr>
                <w:rFonts w:ascii="Calibri" w:hAnsi="Calibri"/>
                <w:szCs w:val="22"/>
              </w:rPr>
            </w:pPr>
          </w:p>
        </w:tc>
        <w:tc>
          <w:tcPr>
            <w:tcW w:w="1418" w:type="dxa"/>
            <w:shd w:val="clear" w:color="auto" w:fill="auto"/>
          </w:tcPr>
          <w:p w14:paraId="6F05298A">
            <w:pPr>
              <w:rPr>
                <w:rFonts w:ascii="Calibri" w:hAnsi="Calibri"/>
                <w:szCs w:val="22"/>
              </w:rPr>
            </w:pPr>
          </w:p>
        </w:tc>
      </w:tr>
      <w:tr w14:paraId="7804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shd w:val="clear" w:color="auto" w:fill="auto"/>
          </w:tcPr>
          <w:p w14:paraId="2790EA94">
            <w:pPr>
              <w:jc w:val="center"/>
              <w:rPr>
                <w:rFonts w:ascii="仿宋" w:hAnsi="仿宋" w:eastAsia="仿宋"/>
                <w:sz w:val="24"/>
                <w:szCs w:val="24"/>
              </w:rPr>
            </w:pPr>
            <w:r>
              <w:rPr>
                <w:rFonts w:hint="eastAsia" w:ascii="仿宋" w:hAnsi="仿宋" w:eastAsia="仿宋"/>
                <w:sz w:val="24"/>
                <w:szCs w:val="24"/>
              </w:rPr>
              <w:t>表B.1</w:t>
            </w:r>
            <w:r>
              <w:rPr>
                <w:rFonts w:ascii="仿宋" w:hAnsi="仿宋" w:eastAsia="仿宋"/>
                <w:sz w:val="24"/>
                <w:szCs w:val="24"/>
              </w:rPr>
              <w:t>8</w:t>
            </w:r>
          </w:p>
        </w:tc>
        <w:tc>
          <w:tcPr>
            <w:tcW w:w="4253" w:type="dxa"/>
            <w:shd w:val="clear" w:color="auto" w:fill="auto"/>
          </w:tcPr>
          <w:p w14:paraId="3F769403">
            <w:pPr>
              <w:rPr>
                <w:rFonts w:ascii="仿宋" w:hAnsi="仿宋" w:eastAsia="仿宋"/>
                <w:sz w:val="24"/>
                <w:szCs w:val="24"/>
              </w:rPr>
            </w:pPr>
            <w:r>
              <w:rPr>
                <w:rFonts w:hint="eastAsia" w:ascii="仿宋" w:hAnsi="仿宋" w:eastAsia="仿宋"/>
                <w:sz w:val="24"/>
                <w:szCs w:val="24"/>
              </w:rPr>
              <w:t>移动模架检查</w:t>
            </w:r>
            <w:r>
              <w:rPr>
                <w:rFonts w:ascii="仿宋" w:hAnsi="仿宋" w:eastAsia="仿宋"/>
                <w:sz w:val="24"/>
                <w:szCs w:val="24"/>
              </w:rPr>
              <w:t>评分表</w:t>
            </w:r>
          </w:p>
        </w:tc>
        <w:tc>
          <w:tcPr>
            <w:tcW w:w="1275" w:type="dxa"/>
            <w:shd w:val="clear" w:color="auto" w:fill="auto"/>
          </w:tcPr>
          <w:p w14:paraId="10B0DA56">
            <w:pPr>
              <w:rPr>
                <w:rFonts w:ascii="Calibri" w:hAnsi="Calibri"/>
                <w:szCs w:val="22"/>
              </w:rPr>
            </w:pPr>
          </w:p>
        </w:tc>
        <w:tc>
          <w:tcPr>
            <w:tcW w:w="1418" w:type="dxa"/>
            <w:shd w:val="clear" w:color="auto" w:fill="auto"/>
          </w:tcPr>
          <w:p w14:paraId="77CBFBB0">
            <w:pPr>
              <w:rPr>
                <w:rFonts w:ascii="Calibri" w:hAnsi="Calibri"/>
                <w:szCs w:val="22"/>
              </w:rPr>
            </w:pPr>
          </w:p>
        </w:tc>
      </w:tr>
      <w:tr w14:paraId="6D389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shd w:val="clear" w:color="auto" w:fill="auto"/>
          </w:tcPr>
          <w:p w14:paraId="6178BC6E">
            <w:pPr>
              <w:jc w:val="center"/>
              <w:rPr>
                <w:rFonts w:ascii="仿宋" w:hAnsi="仿宋" w:eastAsia="仿宋"/>
                <w:sz w:val="24"/>
                <w:szCs w:val="24"/>
              </w:rPr>
            </w:pPr>
            <w:r>
              <w:rPr>
                <w:rFonts w:hint="eastAsia" w:ascii="仿宋" w:hAnsi="仿宋" w:eastAsia="仿宋"/>
                <w:sz w:val="24"/>
                <w:szCs w:val="24"/>
              </w:rPr>
              <w:t>表B.1</w:t>
            </w:r>
            <w:r>
              <w:rPr>
                <w:rFonts w:ascii="仿宋" w:hAnsi="仿宋" w:eastAsia="仿宋"/>
                <w:sz w:val="24"/>
                <w:szCs w:val="24"/>
              </w:rPr>
              <w:t>9</w:t>
            </w:r>
          </w:p>
        </w:tc>
        <w:tc>
          <w:tcPr>
            <w:tcW w:w="4253" w:type="dxa"/>
            <w:shd w:val="clear" w:color="auto" w:fill="auto"/>
          </w:tcPr>
          <w:p w14:paraId="0D8F1FAC">
            <w:pPr>
              <w:rPr>
                <w:rFonts w:ascii="仿宋" w:hAnsi="仿宋" w:eastAsia="仿宋"/>
                <w:sz w:val="24"/>
                <w:szCs w:val="24"/>
              </w:rPr>
            </w:pPr>
            <w:r>
              <w:rPr>
                <w:rFonts w:hint="eastAsia" w:ascii="仿宋" w:hAnsi="仿宋" w:eastAsia="仿宋"/>
                <w:sz w:val="24"/>
                <w:szCs w:val="24"/>
              </w:rPr>
              <w:t>悬臂施工挂篮检查</w:t>
            </w:r>
            <w:r>
              <w:rPr>
                <w:rFonts w:ascii="仿宋" w:hAnsi="仿宋" w:eastAsia="仿宋"/>
                <w:sz w:val="24"/>
                <w:szCs w:val="24"/>
              </w:rPr>
              <w:t>评分表</w:t>
            </w:r>
          </w:p>
        </w:tc>
        <w:tc>
          <w:tcPr>
            <w:tcW w:w="1275" w:type="dxa"/>
            <w:shd w:val="clear" w:color="auto" w:fill="auto"/>
          </w:tcPr>
          <w:p w14:paraId="2D16C132">
            <w:pPr>
              <w:rPr>
                <w:rFonts w:ascii="Calibri" w:hAnsi="Calibri"/>
                <w:szCs w:val="22"/>
              </w:rPr>
            </w:pPr>
          </w:p>
        </w:tc>
        <w:tc>
          <w:tcPr>
            <w:tcW w:w="1418" w:type="dxa"/>
            <w:shd w:val="clear" w:color="auto" w:fill="auto"/>
          </w:tcPr>
          <w:p w14:paraId="2D7DB229">
            <w:pPr>
              <w:rPr>
                <w:rFonts w:ascii="Calibri" w:hAnsi="Calibri"/>
                <w:szCs w:val="22"/>
              </w:rPr>
            </w:pPr>
          </w:p>
        </w:tc>
      </w:tr>
      <w:tr w14:paraId="2DEDD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shd w:val="clear" w:color="auto" w:fill="auto"/>
          </w:tcPr>
          <w:p w14:paraId="55541B71">
            <w:pPr>
              <w:jc w:val="center"/>
              <w:rPr>
                <w:rFonts w:ascii="仿宋" w:hAnsi="仿宋" w:eastAsia="仿宋"/>
                <w:sz w:val="24"/>
                <w:szCs w:val="24"/>
              </w:rPr>
            </w:pPr>
            <w:r>
              <w:rPr>
                <w:rFonts w:hint="eastAsia" w:ascii="仿宋" w:hAnsi="仿宋" w:eastAsia="仿宋"/>
                <w:sz w:val="24"/>
                <w:szCs w:val="24"/>
              </w:rPr>
              <w:t>表B.</w:t>
            </w:r>
            <w:r>
              <w:rPr>
                <w:rFonts w:ascii="仿宋" w:hAnsi="仿宋" w:eastAsia="仿宋"/>
                <w:sz w:val="24"/>
                <w:szCs w:val="24"/>
              </w:rPr>
              <w:t>20</w:t>
            </w:r>
          </w:p>
        </w:tc>
        <w:tc>
          <w:tcPr>
            <w:tcW w:w="4253" w:type="dxa"/>
            <w:shd w:val="clear" w:color="auto" w:fill="auto"/>
          </w:tcPr>
          <w:p w14:paraId="6CD29B7E">
            <w:pPr>
              <w:rPr>
                <w:rFonts w:ascii="仿宋" w:hAnsi="仿宋" w:eastAsia="仿宋"/>
                <w:sz w:val="24"/>
                <w:szCs w:val="24"/>
              </w:rPr>
            </w:pPr>
            <w:r>
              <w:rPr>
                <w:rFonts w:hint="eastAsia" w:ascii="仿宋" w:hAnsi="仿宋" w:eastAsia="仿宋"/>
                <w:sz w:val="24"/>
                <w:szCs w:val="24"/>
              </w:rPr>
              <w:t>大模板检查</w:t>
            </w:r>
            <w:r>
              <w:rPr>
                <w:rFonts w:ascii="仿宋" w:hAnsi="仿宋" w:eastAsia="仿宋"/>
                <w:sz w:val="24"/>
                <w:szCs w:val="24"/>
              </w:rPr>
              <w:t>评分表</w:t>
            </w:r>
          </w:p>
        </w:tc>
        <w:tc>
          <w:tcPr>
            <w:tcW w:w="1275" w:type="dxa"/>
            <w:shd w:val="clear" w:color="auto" w:fill="auto"/>
          </w:tcPr>
          <w:p w14:paraId="45FF5B00">
            <w:pPr>
              <w:rPr>
                <w:rFonts w:ascii="Calibri" w:hAnsi="Calibri"/>
                <w:szCs w:val="22"/>
              </w:rPr>
            </w:pPr>
          </w:p>
        </w:tc>
        <w:tc>
          <w:tcPr>
            <w:tcW w:w="1418" w:type="dxa"/>
            <w:shd w:val="clear" w:color="auto" w:fill="auto"/>
          </w:tcPr>
          <w:p w14:paraId="1F0076C3">
            <w:pPr>
              <w:rPr>
                <w:rFonts w:ascii="Calibri" w:hAnsi="Calibri"/>
                <w:szCs w:val="22"/>
              </w:rPr>
            </w:pPr>
          </w:p>
        </w:tc>
      </w:tr>
      <w:tr w14:paraId="7148A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shd w:val="clear" w:color="auto" w:fill="auto"/>
          </w:tcPr>
          <w:p w14:paraId="4ACFAC90">
            <w:pPr>
              <w:jc w:val="center"/>
              <w:rPr>
                <w:rFonts w:ascii="仿宋" w:hAnsi="仿宋" w:eastAsia="仿宋"/>
                <w:sz w:val="24"/>
                <w:szCs w:val="24"/>
              </w:rPr>
            </w:pPr>
            <w:r>
              <w:rPr>
                <w:rFonts w:hint="eastAsia" w:ascii="仿宋" w:hAnsi="仿宋" w:eastAsia="仿宋"/>
                <w:sz w:val="24"/>
                <w:szCs w:val="24"/>
              </w:rPr>
              <w:t>表B.</w:t>
            </w:r>
            <w:r>
              <w:rPr>
                <w:rFonts w:ascii="仿宋" w:hAnsi="仿宋" w:eastAsia="仿宋"/>
                <w:sz w:val="24"/>
                <w:szCs w:val="24"/>
              </w:rPr>
              <w:t>21</w:t>
            </w:r>
          </w:p>
        </w:tc>
        <w:tc>
          <w:tcPr>
            <w:tcW w:w="4253" w:type="dxa"/>
            <w:shd w:val="clear" w:color="auto" w:fill="auto"/>
          </w:tcPr>
          <w:p w14:paraId="38A482CE">
            <w:pPr>
              <w:rPr>
                <w:rFonts w:ascii="仿宋" w:hAnsi="仿宋" w:eastAsia="仿宋"/>
                <w:sz w:val="24"/>
                <w:szCs w:val="24"/>
              </w:rPr>
            </w:pPr>
            <w:r>
              <w:rPr>
                <w:rFonts w:hint="eastAsia" w:ascii="仿宋" w:hAnsi="仿宋" w:eastAsia="仿宋"/>
                <w:sz w:val="24"/>
                <w:szCs w:val="24"/>
              </w:rPr>
              <w:t>滑动模板检查</w:t>
            </w:r>
            <w:r>
              <w:rPr>
                <w:rFonts w:ascii="仿宋" w:hAnsi="仿宋" w:eastAsia="仿宋"/>
                <w:sz w:val="24"/>
                <w:szCs w:val="24"/>
              </w:rPr>
              <w:t>评分表</w:t>
            </w:r>
          </w:p>
        </w:tc>
        <w:tc>
          <w:tcPr>
            <w:tcW w:w="1275" w:type="dxa"/>
            <w:shd w:val="clear" w:color="auto" w:fill="auto"/>
          </w:tcPr>
          <w:p w14:paraId="2F59FC78">
            <w:pPr>
              <w:rPr>
                <w:rFonts w:ascii="Calibri" w:hAnsi="Calibri"/>
                <w:szCs w:val="22"/>
              </w:rPr>
            </w:pPr>
          </w:p>
        </w:tc>
        <w:tc>
          <w:tcPr>
            <w:tcW w:w="1418" w:type="dxa"/>
            <w:shd w:val="clear" w:color="auto" w:fill="auto"/>
          </w:tcPr>
          <w:p w14:paraId="4A54CE75">
            <w:pPr>
              <w:rPr>
                <w:rFonts w:ascii="Calibri" w:hAnsi="Calibri"/>
                <w:szCs w:val="22"/>
              </w:rPr>
            </w:pPr>
          </w:p>
        </w:tc>
      </w:tr>
      <w:tr w14:paraId="2B22F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shd w:val="clear" w:color="auto" w:fill="auto"/>
          </w:tcPr>
          <w:p w14:paraId="0710E3F6">
            <w:pPr>
              <w:jc w:val="center"/>
              <w:rPr>
                <w:rFonts w:ascii="仿宋" w:hAnsi="仿宋" w:eastAsia="仿宋"/>
                <w:sz w:val="24"/>
                <w:szCs w:val="24"/>
              </w:rPr>
            </w:pPr>
            <w:r>
              <w:rPr>
                <w:rFonts w:hint="eastAsia" w:ascii="仿宋" w:hAnsi="仿宋" w:eastAsia="仿宋"/>
                <w:sz w:val="24"/>
                <w:szCs w:val="24"/>
              </w:rPr>
              <w:t>表B.</w:t>
            </w:r>
            <w:r>
              <w:rPr>
                <w:rFonts w:ascii="仿宋" w:hAnsi="仿宋" w:eastAsia="仿宋"/>
                <w:sz w:val="24"/>
                <w:szCs w:val="24"/>
              </w:rPr>
              <w:t>22</w:t>
            </w:r>
          </w:p>
        </w:tc>
        <w:tc>
          <w:tcPr>
            <w:tcW w:w="4253" w:type="dxa"/>
            <w:shd w:val="clear" w:color="auto" w:fill="auto"/>
          </w:tcPr>
          <w:p w14:paraId="71E6240E">
            <w:pPr>
              <w:rPr>
                <w:rFonts w:ascii="仿宋" w:hAnsi="仿宋" w:eastAsia="仿宋"/>
                <w:sz w:val="24"/>
                <w:szCs w:val="24"/>
              </w:rPr>
            </w:pPr>
            <w:r>
              <w:rPr>
                <w:rFonts w:hint="eastAsia" w:ascii="仿宋" w:hAnsi="仿宋" w:eastAsia="仿宋"/>
                <w:sz w:val="24"/>
                <w:szCs w:val="24"/>
              </w:rPr>
              <w:t>液压爬升模板检查</w:t>
            </w:r>
            <w:r>
              <w:rPr>
                <w:rFonts w:ascii="仿宋" w:hAnsi="仿宋" w:eastAsia="仿宋"/>
                <w:sz w:val="24"/>
                <w:szCs w:val="24"/>
              </w:rPr>
              <w:t>评分表</w:t>
            </w:r>
          </w:p>
        </w:tc>
        <w:tc>
          <w:tcPr>
            <w:tcW w:w="1275" w:type="dxa"/>
            <w:shd w:val="clear" w:color="auto" w:fill="auto"/>
          </w:tcPr>
          <w:p w14:paraId="5B8255AA">
            <w:pPr>
              <w:rPr>
                <w:rFonts w:ascii="Calibri" w:hAnsi="Calibri"/>
                <w:szCs w:val="22"/>
              </w:rPr>
            </w:pPr>
          </w:p>
        </w:tc>
        <w:tc>
          <w:tcPr>
            <w:tcW w:w="1418" w:type="dxa"/>
            <w:shd w:val="clear" w:color="auto" w:fill="auto"/>
          </w:tcPr>
          <w:p w14:paraId="52620009">
            <w:pPr>
              <w:rPr>
                <w:rFonts w:ascii="Calibri" w:hAnsi="Calibri"/>
                <w:szCs w:val="22"/>
              </w:rPr>
            </w:pPr>
          </w:p>
        </w:tc>
      </w:tr>
      <w:tr w14:paraId="2075A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shd w:val="clear" w:color="auto" w:fill="auto"/>
          </w:tcPr>
          <w:p w14:paraId="137785D5">
            <w:pPr>
              <w:jc w:val="center"/>
              <w:rPr>
                <w:rFonts w:ascii="仿宋" w:hAnsi="仿宋" w:eastAsia="仿宋"/>
                <w:sz w:val="24"/>
                <w:szCs w:val="24"/>
              </w:rPr>
            </w:pPr>
            <w:r>
              <w:rPr>
                <w:rFonts w:hint="eastAsia" w:ascii="仿宋" w:hAnsi="仿宋" w:eastAsia="仿宋"/>
                <w:sz w:val="24"/>
                <w:szCs w:val="24"/>
              </w:rPr>
              <w:t>表B.</w:t>
            </w:r>
            <w:r>
              <w:rPr>
                <w:rFonts w:ascii="仿宋" w:hAnsi="仿宋" w:eastAsia="仿宋"/>
                <w:sz w:val="24"/>
                <w:szCs w:val="24"/>
              </w:rPr>
              <w:t>23</w:t>
            </w:r>
          </w:p>
        </w:tc>
        <w:tc>
          <w:tcPr>
            <w:tcW w:w="4253" w:type="dxa"/>
            <w:shd w:val="clear" w:color="auto" w:fill="auto"/>
          </w:tcPr>
          <w:p w14:paraId="39F5E658">
            <w:pPr>
              <w:rPr>
                <w:rFonts w:ascii="仿宋" w:hAnsi="仿宋" w:eastAsia="仿宋"/>
                <w:sz w:val="24"/>
                <w:szCs w:val="24"/>
              </w:rPr>
            </w:pPr>
            <w:r>
              <w:rPr>
                <w:rFonts w:hint="eastAsia" w:ascii="仿宋" w:hAnsi="仿宋" w:eastAsia="仿宋"/>
                <w:sz w:val="24"/>
                <w:szCs w:val="24"/>
              </w:rPr>
              <w:t>矿山法隧道检查</w:t>
            </w:r>
            <w:r>
              <w:rPr>
                <w:rFonts w:ascii="仿宋" w:hAnsi="仿宋" w:eastAsia="仿宋"/>
                <w:sz w:val="24"/>
                <w:szCs w:val="24"/>
              </w:rPr>
              <w:t>评分表</w:t>
            </w:r>
          </w:p>
        </w:tc>
        <w:tc>
          <w:tcPr>
            <w:tcW w:w="1275" w:type="dxa"/>
            <w:shd w:val="clear" w:color="auto" w:fill="auto"/>
          </w:tcPr>
          <w:p w14:paraId="75FDE54C">
            <w:pPr>
              <w:rPr>
                <w:rFonts w:ascii="Calibri" w:hAnsi="Calibri"/>
                <w:szCs w:val="22"/>
              </w:rPr>
            </w:pPr>
          </w:p>
        </w:tc>
        <w:tc>
          <w:tcPr>
            <w:tcW w:w="1418" w:type="dxa"/>
            <w:shd w:val="clear" w:color="auto" w:fill="auto"/>
          </w:tcPr>
          <w:p w14:paraId="0DE684AF">
            <w:pPr>
              <w:rPr>
                <w:rFonts w:ascii="Calibri" w:hAnsi="Calibri"/>
                <w:szCs w:val="22"/>
              </w:rPr>
            </w:pPr>
          </w:p>
        </w:tc>
      </w:tr>
      <w:tr w14:paraId="61CCF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shd w:val="clear" w:color="auto" w:fill="auto"/>
          </w:tcPr>
          <w:p w14:paraId="72656548">
            <w:pPr>
              <w:jc w:val="center"/>
              <w:rPr>
                <w:rFonts w:ascii="仿宋" w:hAnsi="仿宋" w:eastAsia="仿宋"/>
                <w:sz w:val="24"/>
                <w:szCs w:val="24"/>
              </w:rPr>
            </w:pPr>
            <w:r>
              <w:rPr>
                <w:rFonts w:hint="eastAsia" w:ascii="仿宋" w:hAnsi="仿宋" w:eastAsia="仿宋"/>
                <w:sz w:val="24"/>
                <w:szCs w:val="24"/>
              </w:rPr>
              <w:t>表B.</w:t>
            </w:r>
            <w:r>
              <w:rPr>
                <w:rFonts w:ascii="仿宋" w:hAnsi="仿宋" w:eastAsia="仿宋"/>
                <w:sz w:val="24"/>
                <w:szCs w:val="24"/>
              </w:rPr>
              <w:t>24</w:t>
            </w:r>
          </w:p>
        </w:tc>
        <w:tc>
          <w:tcPr>
            <w:tcW w:w="4253" w:type="dxa"/>
            <w:shd w:val="clear" w:color="auto" w:fill="auto"/>
          </w:tcPr>
          <w:p w14:paraId="11DC1A94">
            <w:pPr>
              <w:rPr>
                <w:rFonts w:ascii="仿宋" w:hAnsi="仿宋" w:eastAsia="仿宋"/>
                <w:sz w:val="24"/>
                <w:szCs w:val="24"/>
              </w:rPr>
            </w:pPr>
            <w:r>
              <w:rPr>
                <w:rFonts w:hint="eastAsia" w:ascii="仿宋" w:hAnsi="仿宋" w:eastAsia="仿宋"/>
                <w:sz w:val="24"/>
                <w:szCs w:val="24"/>
              </w:rPr>
              <w:t>盾构法</w:t>
            </w:r>
            <w:r>
              <w:rPr>
                <w:rFonts w:ascii="仿宋" w:hAnsi="仿宋" w:eastAsia="仿宋"/>
                <w:sz w:val="24"/>
                <w:szCs w:val="24"/>
              </w:rPr>
              <w:t>隧道</w:t>
            </w:r>
            <w:r>
              <w:rPr>
                <w:rFonts w:hint="eastAsia" w:ascii="仿宋" w:hAnsi="仿宋" w:eastAsia="仿宋"/>
                <w:sz w:val="24"/>
                <w:szCs w:val="24"/>
              </w:rPr>
              <w:t>检查</w:t>
            </w:r>
            <w:r>
              <w:rPr>
                <w:rFonts w:ascii="仿宋" w:hAnsi="仿宋" w:eastAsia="仿宋"/>
                <w:sz w:val="24"/>
                <w:szCs w:val="24"/>
              </w:rPr>
              <w:t>评分表</w:t>
            </w:r>
          </w:p>
        </w:tc>
        <w:tc>
          <w:tcPr>
            <w:tcW w:w="1275" w:type="dxa"/>
            <w:shd w:val="clear" w:color="auto" w:fill="auto"/>
          </w:tcPr>
          <w:p w14:paraId="02DFB9C9">
            <w:pPr>
              <w:rPr>
                <w:rFonts w:ascii="Calibri" w:hAnsi="Calibri"/>
                <w:szCs w:val="22"/>
              </w:rPr>
            </w:pPr>
          </w:p>
        </w:tc>
        <w:tc>
          <w:tcPr>
            <w:tcW w:w="1418" w:type="dxa"/>
            <w:shd w:val="clear" w:color="auto" w:fill="auto"/>
          </w:tcPr>
          <w:p w14:paraId="4015433D">
            <w:pPr>
              <w:rPr>
                <w:rFonts w:ascii="Calibri" w:hAnsi="Calibri"/>
                <w:szCs w:val="22"/>
              </w:rPr>
            </w:pPr>
          </w:p>
        </w:tc>
      </w:tr>
      <w:tr w14:paraId="5DC2D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shd w:val="clear" w:color="auto" w:fill="auto"/>
          </w:tcPr>
          <w:p w14:paraId="44720D03">
            <w:pPr>
              <w:jc w:val="center"/>
              <w:rPr>
                <w:rFonts w:ascii="仿宋" w:hAnsi="仿宋" w:eastAsia="仿宋"/>
                <w:sz w:val="24"/>
                <w:szCs w:val="24"/>
              </w:rPr>
            </w:pPr>
            <w:r>
              <w:rPr>
                <w:rFonts w:hint="eastAsia" w:ascii="仿宋" w:hAnsi="仿宋" w:eastAsia="仿宋"/>
                <w:sz w:val="24"/>
                <w:szCs w:val="24"/>
              </w:rPr>
              <w:t>表B.</w:t>
            </w:r>
            <w:r>
              <w:rPr>
                <w:rFonts w:ascii="仿宋" w:hAnsi="仿宋" w:eastAsia="仿宋"/>
                <w:sz w:val="24"/>
                <w:szCs w:val="24"/>
              </w:rPr>
              <w:t>2</w:t>
            </w:r>
            <w:r>
              <w:rPr>
                <w:rFonts w:hint="eastAsia" w:ascii="仿宋" w:hAnsi="仿宋" w:eastAsia="仿宋"/>
                <w:sz w:val="24"/>
                <w:szCs w:val="24"/>
              </w:rPr>
              <w:t>5</w:t>
            </w:r>
          </w:p>
        </w:tc>
        <w:tc>
          <w:tcPr>
            <w:tcW w:w="4253" w:type="dxa"/>
            <w:shd w:val="clear" w:color="auto" w:fill="auto"/>
          </w:tcPr>
          <w:p w14:paraId="12C7D4A2">
            <w:pPr>
              <w:rPr>
                <w:rFonts w:ascii="仿宋" w:hAnsi="仿宋" w:eastAsia="仿宋"/>
                <w:sz w:val="24"/>
                <w:szCs w:val="24"/>
              </w:rPr>
            </w:pPr>
            <w:r>
              <w:rPr>
                <w:rFonts w:hint="eastAsia" w:ascii="仿宋" w:hAnsi="仿宋" w:eastAsia="仿宋"/>
                <w:sz w:val="24"/>
                <w:szCs w:val="24"/>
              </w:rPr>
              <w:t>顶管检查</w:t>
            </w:r>
            <w:r>
              <w:rPr>
                <w:rFonts w:ascii="仿宋" w:hAnsi="仿宋" w:eastAsia="仿宋"/>
                <w:sz w:val="24"/>
                <w:szCs w:val="24"/>
              </w:rPr>
              <w:t>评分表</w:t>
            </w:r>
          </w:p>
        </w:tc>
        <w:tc>
          <w:tcPr>
            <w:tcW w:w="1275" w:type="dxa"/>
            <w:shd w:val="clear" w:color="auto" w:fill="auto"/>
          </w:tcPr>
          <w:p w14:paraId="6977E5E4">
            <w:pPr>
              <w:rPr>
                <w:rFonts w:ascii="Calibri" w:hAnsi="Calibri"/>
                <w:szCs w:val="22"/>
              </w:rPr>
            </w:pPr>
          </w:p>
        </w:tc>
        <w:tc>
          <w:tcPr>
            <w:tcW w:w="1418" w:type="dxa"/>
            <w:shd w:val="clear" w:color="auto" w:fill="auto"/>
          </w:tcPr>
          <w:p w14:paraId="0DC60AC3">
            <w:pPr>
              <w:rPr>
                <w:rFonts w:ascii="Calibri" w:hAnsi="Calibri"/>
                <w:szCs w:val="22"/>
              </w:rPr>
            </w:pPr>
          </w:p>
        </w:tc>
      </w:tr>
      <w:tr w14:paraId="29708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shd w:val="clear" w:color="auto" w:fill="auto"/>
          </w:tcPr>
          <w:p w14:paraId="58ABEF32">
            <w:pPr>
              <w:jc w:val="center"/>
              <w:rPr>
                <w:rFonts w:ascii="仿宋" w:hAnsi="仿宋" w:eastAsia="仿宋"/>
                <w:sz w:val="24"/>
                <w:szCs w:val="24"/>
              </w:rPr>
            </w:pPr>
            <w:r>
              <w:rPr>
                <w:rFonts w:hint="eastAsia" w:ascii="仿宋" w:hAnsi="仿宋" w:eastAsia="仿宋"/>
                <w:sz w:val="24"/>
                <w:szCs w:val="24"/>
              </w:rPr>
              <w:t>表B.</w:t>
            </w:r>
            <w:r>
              <w:rPr>
                <w:rFonts w:ascii="仿宋" w:hAnsi="仿宋" w:eastAsia="仿宋"/>
                <w:sz w:val="24"/>
                <w:szCs w:val="24"/>
              </w:rPr>
              <w:t>2</w:t>
            </w:r>
            <w:r>
              <w:rPr>
                <w:rFonts w:hint="eastAsia" w:ascii="仿宋" w:hAnsi="仿宋" w:eastAsia="仿宋"/>
                <w:sz w:val="24"/>
                <w:szCs w:val="24"/>
              </w:rPr>
              <w:t>6</w:t>
            </w:r>
          </w:p>
        </w:tc>
        <w:tc>
          <w:tcPr>
            <w:tcW w:w="4253" w:type="dxa"/>
            <w:shd w:val="clear" w:color="auto" w:fill="auto"/>
          </w:tcPr>
          <w:p w14:paraId="3699040F">
            <w:pPr>
              <w:rPr>
                <w:rFonts w:ascii="仿宋" w:hAnsi="仿宋" w:eastAsia="仿宋"/>
                <w:sz w:val="24"/>
                <w:szCs w:val="24"/>
              </w:rPr>
            </w:pPr>
            <w:r>
              <w:rPr>
                <w:rFonts w:hint="eastAsia" w:ascii="仿宋" w:hAnsi="仿宋" w:eastAsia="仿宋"/>
                <w:sz w:val="24"/>
                <w:szCs w:val="24"/>
              </w:rPr>
              <w:t>塔式起重机检查</w:t>
            </w:r>
            <w:r>
              <w:rPr>
                <w:rFonts w:ascii="仿宋" w:hAnsi="仿宋" w:eastAsia="仿宋"/>
                <w:sz w:val="24"/>
                <w:szCs w:val="24"/>
              </w:rPr>
              <w:t>评分表</w:t>
            </w:r>
          </w:p>
        </w:tc>
        <w:tc>
          <w:tcPr>
            <w:tcW w:w="1275" w:type="dxa"/>
            <w:shd w:val="clear" w:color="auto" w:fill="auto"/>
          </w:tcPr>
          <w:p w14:paraId="0FE10B70">
            <w:pPr>
              <w:rPr>
                <w:rFonts w:ascii="Calibri" w:hAnsi="Calibri"/>
                <w:szCs w:val="22"/>
              </w:rPr>
            </w:pPr>
          </w:p>
        </w:tc>
        <w:tc>
          <w:tcPr>
            <w:tcW w:w="1418" w:type="dxa"/>
            <w:shd w:val="clear" w:color="auto" w:fill="auto"/>
          </w:tcPr>
          <w:p w14:paraId="4477193F">
            <w:pPr>
              <w:rPr>
                <w:rFonts w:ascii="Calibri" w:hAnsi="Calibri"/>
                <w:szCs w:val="22"/>
              </w:rPr>
            </w:pPr>
          </w:p>
        </w:tc>
      </w:tr>
      <w:tr w14:paraId="3B2C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shd w:val="clear" w:color="auto" w:fill="auto"/>
          </w:tcPr>
          <w:p w14:paraId="634EFB21">
            <w:pPr>
              <w:jc w:val="center"/>
              <w:rPr>
                <w:rFonts w:ascii="仿宋" w:hAnsi="仿宋" w:eastAsia="仿宋"/>
                <w:sz w:val="24"/>
                <w:szCs w:val="24"/>
              </w:rPr>
            </w:pPr>
            <w:r>
              <w:rPr>
                <w:rFonts w:hint="eastAsia" w:ascii="仿宋" w:hAnsi="仿宋" w:eastAsia="仿宋"/>
                <w:sz w:val="24"/>
                <w:szCs w:val="24"/>
              </w:rPr>
              <w:t>表B.</w:t>
            </w:r>
            <w:r>
              <w:rPr>
                <w:rFonts w:ascii="仿宋" w:hAnsi="仿宋" w:eastAsia="仿宋"/>
                <w:sz w:val="24"/>
                <w:szCs w:val="24"/>
              </w:rPr>
              <w:t>2</w:t>
            </w:r>
            <w:r>
              <w:rPr>
                <w:rFonts w:hint="eastAsia" w:ascii="仿宋" w:hAnsi="仿宋" w:eastAsia="仿宋"/>
                <w:sz w:val="24"/>
                <w:szCs w:val="24"/>
              </w:rPr>
              <w:t>7</w:t>
            </w:r>
          </w:p>
        </w:tc>
        <w:tc>
          <w:tcPr>
            <w:tcW w:w="4253" w:type="dxa"/>
            <w:shd w:val="clear" w:color="auto" w:fill="auto"/>
          </w:tcPr>
          <w:p w14:paraId="4910E53B">
            <w:pPr>
              <w:rPr>
                <w:rFonts w:ascii="仿宋" w:hAnsi="仿宋" w:eastAsia="仿宋"/>
                <w:sz w:val="24"/>
                <w:szCs w:val="24"/>
              </w:rPr>
            </w:pPr>
            <w:r>
              <w:rPr>
                <w:rFonts w:hint="eastAsia" w:ascii="仿宋" w:hAnsi="仿宋" w:eastAsia="仿宋"/>
                <w:sz w:val="24"/>
                <w:szCs w:val="24"/>
              </w:rPr>
              <w:t>门式起重机检查</w:t>
            </w:r>
            <w:r>
              <w:rPr>
                <w:rFonts w:ascii="仿宋" w:hAnsi="仿宋" w:eastAsia="仿宋"/>
                <w:sz w:val="24"/>
                <w:szCs w:val="24"/>
              </w:rPr>
              <w:t>评分表</w:t>
            </w:r>
          </w:p>
        </w:tc>
        <w:tc>
          <w:tcPr>
            <w:tcW w:w="1275" w:type="dxa"/>
            <w:shd w:val="clear" w:color="auto" w:fill="auto"/>
          </w:tcPr>
          <w:p w14:paraId="09A49D65">
            <w:pPr>
              <w:rPr>
                <w:rFonts w:ascii="Calibri" w:hAnsi="Calibri"/>
                <w:szCs w:val="22"/>
              </w:rPr>
            </w:pPr>
          </w:p>
        </w:tc>
        <w:tc>
          <w:tcPr>
            <w:tcW w:w="1418" w:type="dxa"/>
            <w:shd w:val="clear" w:color="auto" w:fill="auto"/>
          </w:tcPr>
          <w:p w14:paraId="1D142D67">
            <w:pPr>
              <w:rPr>
                <w:rFonts w:ascii="Calibri" w:hAnsi="Calibri"/>
                <w:szCs w:val="22"/>
              </w:rPr>
            </w:pPr>
          </w:p>
        </w:tc>
      </w:tr>
      <w:tr w14:paraId="0CC8F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shd w:val="clear" w:color="auto" w:fill="auto"/>
          </w:tcPr>
          <w:p w14:paraId="285012CE">
            <w:pPr>
              <w:jc w:val="center"/>
              <w:rPr>
                <w:rFonts w:ascii="仿宋" w:hAnsi="仿宋" w:eastAsia="仿宋"/>
                <w:sz w:val="24"/>
                <w:szCs w:val="24"/>
              </w:rPr>
            </w:pPr>
            <w:r>
              <w:rPr>
                <w:rFonts w:hint="eastAsia" w:ascii="仿宋" w:hAnsi="仿宋" w:eastAsia="仿宋"/>
                <w:sz w:val="24"/>
                <w:szCs w:val="24"/>
              </w:rPr>
              <w:t>表B.28</w:t>
            </w:r>
          </w:p>
        </w:tc>
        <w:tc>
          <w:tcPr>
            <w:tcW w:w="4253" w:type="dxa"/>
            <w:shd w:val="clear" w:color="auto" w:fill="auto"/>
          </w:tcPr>
          <w:p w14:paraId="67A9B628">
            <w:pPr>
              <w:rPr>
                <w:rFonts w:ascii="仿宋" w:hAnsi="仿宋" w:eastAsia="仿宋"/>
                <w:sz w:val="24"/>
                <w:szCs w:val="24"/>
              </w:rPr>
            </w:pPr>
            <w:r>
              <w:rPr>
                <w:rFonts w:hint="eastAsia" w:ascii="仿宋" w:hAnsi="仿宋" w:eastAsia="仿宋"/>
                <w:sz w:val="24"/>
                <w:szCs w:val="24"/>
              </w:rPr>
              <w:t>架桥机检查</w:t>
            </w:r>
            <w:r>
              <w:rPr>
                <w:rFonts w:ascii="仿宋" w:hAnsi="仿宋" w:eastAsia="仿宋"/>
                <w:sz w:val="24"/>
                <w:szCs w:val="24"/>
              </w:rPr>
              <w:t>评分表</w:t>
            </w:r>
          </w:p>
        </w:tc>
        <w:tc>
          <w:tcPr>
            <w:tcW w:w="1275" w:type="dxa"/>
            <w:shd w:val="clear" w:color="auto" w:fill="auto"/>
          </w:tcPr>
          <w:p w14:paraId="52DE5C79">
            <w:pPr>
              <w:rPr>
                <w:rFonts w:ascii="Calibri" w:hAnsi="Calibri"/>
                <w:szCs w:val="22"/>
              </w:rPr>
            </w:pPr>
          </w:p>
        </w:tc>
        <w:tc>
          <w:tcPr>
            <w:tcW w:w="1418" w:type="dxa"/>
            <w:shd w:val="clear" w:color="auto" w:fill="auto"/>
          </w:tcPr>
          <w:p w14:paraId="1E84E057">
            <w:pPr>
              <w:rPr>
                <w:rFonts w:ascii="Calibri" w:hAnsi="Calibri"/>
                <w:szCs w:val="22"/>
              </w:rPr>
            </w:pPr>
          </w:p>
        </w:tc>
      </w:tr>
      <w:tr w14:paraId="61635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shd w:val="clear" w:color="auto" w:fill="auto"/>
          </w:tcPr>
          <w:p w14:paraId="301AE76C">
            <w:pPr>
              <w:jc w:val="center"/>
              <w:rPr>
                <w:rFonts w:ascii="仿宋" w:hAnsi="仿宋" w:eastAsia="仿宋"/>
                <w:sz w:val="24"/>
                <w:szCs w:val="24"/>
              </w:rPr>
            </w:pPr>
            <w:r>
              <w:rPr>
                <w:rFonts w:hint="eastAsia" w:ascii="仿宋" w:hAnsi="仿宋" w:eastAsia="仿宋"/>
                <w:sz w:val="24"/>
                <w:szCs w:val="24"/>
              </w:rPr>
              <w:t>表B.29</w:t>
            </w:r>
          </w:p>
        </w:tc>
        <w:tc>
          <w:tcPr>
            <w:tcW w:w="4253" w:type="dxa"/>
            <w:shd w:val="clear" w:color="auto" w:fill="auto"/>
          </w:tcPr>
          <w:p w14:paraId="30C04733">
            <w:pPr>
              <w:rPr>
                <w:rFonts w:ascii="仿宋" w:hAnsi="仿宋" w:eastAsia="仿宋"/>
                <w:sz w:val="24"/>
                <w:szCs w:val="24"/>
              </w:rPr>
            </w:pPr>
            <w:r>
              <w:rPr>
                <w:rFonts w:hint="eastAsia" w:ascii="仿宋" w:hAnsi="仿宋" w:eastAsia="仿宋"/>
                <w:sz w:val="24"/>
                <w:szCs w:val="24"/>
              </w:rPr>
              <w:t>施工升降机检查</w:t>
            </w:r>
            <w:r>
              <w:rPr>
                <w:rFonts w:ascii="仿宋" w:hAnsi="仿宋" w:eastAsia="仿宋"/>
                <w:sz w:val="24"/>
                <w:szCs w:val="24"/>
              </w:rPr>
              <w:t>评分表</w:t>
            </w:r>
          </w:p>
        </w:tc>
        <w:tc>
          <w:tcPr>
            <w:tcW w:w="1275" w:type="dxa"/>
            <w:shd w:val="clear" w:color="auto" w:fill="auto"/>
          </w:tcPr>
          <w:p w14:paraId="5310E1C2">
            <w:pPr>
              <w:rPr>
                <w:rFonts w:ascii="Calibri" w:hAnsi="Calibri"/>
                <w:szCs w:val="22"/>
              </w:rPr>
            </w:pPr>
          </w:p>
        </w:tc>
        <w:tc>
          <w:tcPr>
            <w:tcW w:w="1418" w:type="dxa"/>
            <w:shd w:val="clear" w:color="auto" w:fill="auto"/>
          </w:tcPr>
          <w:p w14:paraId="7D42FD8B">
            <w:pPr>
              <w:rPr>
                <w:rFonts w:ascii="Calibri" w:hAnsi="Calibri"/>
                <w:szCs w:val="22"/>
              </w:rPr>
            </w:pPr>
          </w:p>
        </w:tc>
      </w:tr>
      <w:tr w14:paraId="2E9BE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shd w:val="clear" w:color="auto" w:fill="auto"/>
          </w:tcPr>
          <w:p w14:paraId="0AA21F7A">
            <w:pPr>
              <w:jc w:val="center"/>
              <w:rPr>
                <w:rFonts w:ascii="仿宋" w:hAnsi="仿宋" w:eastAsia="仿宋"/>
                <w:sz w:val="24"/>
                <w:szCs w:val="24"/>
              </w:rPr>
            </w:pPr>
            <w:r>
              <w:rPr>
                <w:rFonts w:hint="eastAsia" w:ascii="仿宋" w:hAnsi="仿宋" w:eastAsia="仿宋"/>
                <w:sz w:val="24"/>
                <w:szCs w:val="24"/>
              </w:rPr>
              <w:t>表B.30</w:t>
            </w:r>
          </w:p>
        </w:tc>
        <w:tc>
          <w:tcPr>
            <w:tcW w:w="4253" w:type="dxa"/>
            <w:shd w:val="clear" w:color="auto" w:fill="auto"/>
          </w:tcPr>
          <w:p w14:paraId="47D2772C">
            <w:pPr>
              <w:rPr>
                <w:rFonts w:ascii="仿宋" w:hAnsi="仿宋" w:eastAsia="仿宋"/>
                <w:sz w:val="24"/>
                <w:szCs w:val="24"/>
              </w:rPr>
            </w:pPr>
            <w:r>
              <w:rPr>
                <w:rFonts w:hint="eastAsia" w:ascii="仿宋" w:hAnsi="仿宋" w:eastAsia="仿宋"/>
                <w:sz w:val="24"/>
                <w:szCs w:val="24"/>
              </w:rPr>
              <w:t>物料提升机检查</w:t>
            </w:r>
            <w:r>
              <w:rPr>
                <w:rFonts w:ascii="仿宋" w:hAnsi="仿宋" w:eastAsia="仿宋"/>
                <w:sz w:val="24"/>
                <w:szCs w:val="24"/>
              </w:rPr>
              <w:t>评分表</w:t>
            </w:r>
          </w:p>
        </w:tc>
        <w:tc>
          <w:tcPr>
            <w:tcW w:w="1275" w:type="dxa"/>
            <w:shd w:val="clear" w:color="auto" w:fill="auto"/>
          </w:tcPr>
          <w:p w14:paraId="25E71C69">
            <w:pPr>
              <w:rPr>
                <w:rFonts w:ascii="Calibri" w:hAnsi="Calibri"/>
                <w:szCs w:val="22"/>
              </w:rPr>
            </w:pPr>
          </w:p>
        </w:tc>
        <w:tc>
          <w:tcPr>
            <w:tcW w:w="1418" w:type="dxa"/>
            <w:shd w:val="clear" w:color="auto" w:fill="auto"/>
          </w:tcPr>
          <w:p w14:paraId="13B4A557">
            <w:pPr>
              <w:rPr>
                <w:rFonts w:ascii="Calibri" w:hAnsi="Calibri"/>
                <w:szCs w:val="22"/>
              </w:rPr>
            </w:pPr>
          </w:p>
        </w:tc>
      </w:tr>
      <w:tr w14:paraId="5FD92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shd w:val="clear" w:color="auto" w:fill="auto"/>
          </w:tcPr>
          <w:p w14:paraId="549DE09C">
            <w:pPr>
              <w:jc w:val="center"/>
              <w:rPr>
                <w:rFonts w:ascii="仿宋" w:hAnsi="仿宋" w:eastAsia="仿宋"/>
                <w:sz w:val="24"/>
                <w:szCs w:val="24"/>
              </w:rPr>
            </w:pPr>
            <w:r>
              <w:rPr>
                <w:rFonts w:hint="eastAsia" w:ascii="仿宋" w:hAnsi="仿宋" w:eastAsia="仿宋"/>
                <w:sz w:val="24"/>
                <w:szCs w:val="24"/>
              </w:rPr>
              <w:t>表B.</w:t>
            </w:r>
            <w:r>
              <w:rPr>
                <w:rFonts w:ascii="仿宋" w:hAnsi="仿宋" w:eastAsia="仿宋"/>
                <w:sz w:val="24"/>
                <w:szCs w:val="24"/>
              </w:rPr>
              <w:t>3</w:t>
            </w:r>
            <w:r>
              <w:rPr>
                <w:rFonts w:hint="eastAsia" w:ascii="仿宋" w:hAnsi="仿宋" w:eastAsia="仿宋"/>
                <w:sz w:val="24"/>
                <w:szCs w:val="24"/>
              </w:rPr>
              <w:t>1</w:t>
            </w:r>
          </w:p>
        </w:tc>
        <w:tc>
          <w:tcPr>
            <w:tcW w:w="4253" w:type="dxa"/>
            <w:shd w:val="clear" w:color="auto" w:fill="auto"/>
          </w:tcPr>
          <w:p w14:paraId="305B640D">
            <w:pPr>
              <w:rPr>
                <w:rFonts w:ascii="仿宋" w:hAnsi="仿宋" w:eastAsia="仿宋"/>
                <w:sz w:val="24"/>
                <w:szCs w:val="24"/>
              </w:rPr>
            </w:pPr>
            <w:r>
              <w:rPr>
                <w:rFonts w:hint="eastAsia" w:ascii="仿宋" w:hAnsi="仿宋" w:eastAsia="仿宋"/>
                <w:sz w:val="24"/>
                <w:szCs w:val="24"/>
              </w:rPr>
              <w:t>缆索起重机检查</w:t>
            </w:r>
            <w:r>
              <w:rPr>
                <w:rFonts w:ascii="仿宋" w:hAnsi="仿宋" w:eastAsia="仿宋"/>
                <w:sz w:val="24"/>
                <w:szCs w:val="24"/>
              </w:rPr>
              <w:t>评分表</w:t>
            </w:r>
          </w:p>
        </w:tc>
        <w:tc>
          <w:tcPr>
            <w:tcW w:w="1275" w:type="dxa"/>
            <w:shd w:val="clear" w:color="auto" w:fill="auto"/>
          </w:tcPr>
          <w:p w14:paraId="007F82FD">
            <w:pPr>
              <w:rPr>
                <w:rFonts w:ascii="Calibri" w:hAnsi="Calibri"/>
                <w:szCs w:val="22"/>
              </w:rPr>
            </w:pPr>
          </w:p>
        </w:tc>
        <w:tc>
          <w:tcPr>
            <w:tcW w:w="1418" w:type="dxa"/>
            <w:shd w:val="clear" w:color="auto" w:fill="auto"/>
          </w:tcPr>
          <w:p w14:paraId="7F72D5A2">
            <w:pPr>
              <w:rPr>
                <w:rFonts w:ascii="Calibri" w:hAnsi="Calibri"/>
                <w:szCs w:val="22"/>
              </w:rPr>
            </w:pPr>
          </w:p>
        </w:tc>
      </w:tr>
      <w:tr w14:paraId="2AA17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shd w:val="clear" w:color="auto" w:fill="auto"/>
          </w:tcPr>
          <w:p w14:paraId="31A30A55">
            <w:pPr>
              <w:jc w:val="center"/>
              <w:rPr>
                <w:rFonts w:ascii="仿宋" w:hAnsi="仿宋" w:eastAsia="仿宋"/>
                <w:sz w:val="24"/>
                <w:szCs w:val="24"/>
              </w:rPr>
            </w:pPr>
            <w:r>
              <w:rPr>
                <w:rFonts w:hint="eastAsia" w:ascii="仿宋" w:hAnsi="仿宋" w:eastAsia="仿宋"/>
                <w:sz w:val="24"/>
                <w:szCs w:val="24"/>
              </w:rPr>
              <w:t>表B.</w:t>
            </w:r>
            <w:r>
              <w:rPr>
                <w:rFonts w:ascii="仿宋" w:hAnsi="仿宋" w:eastAsia="仿宋"/>
                <w:sz w:val="24"/>
                <w:szCs w:val="24"/>
              </w:rPr>
              <w:t>32</w:t>
            </w:r>
          </w:p>
        </w:tc>
        <w:tc>
          <w:tcPr>
            <w:tcW w:w="4253" w:type="dxa"/>
            <w:shd w:val="clear" w:color="auto" w:fill="auto"/>
          </w:tcPr>
          <w:p w14:paraId="6411C05A">
            <w:pPr>
              <w:rPr>
                <w:rFonts w:ascii="仿宋" w:hAnsi="仿宋" w:eastAsia="仿宋"/>
                <w:sz w:val="24"/>
                <w:szCs w:val="24"/>
              </w:rPr>
            </w:pPr>
            <w:r>
              <w:rPr>
                <w:rFonts w:hint="eastAsia" w:ascii="仿宋" w:hAnsi="仿宋" w:eastAsia="仿宋"/>
                <w:sz w:val="24"/>
                <w:szCs w:val="24"/>
              </w:rPr>
              <w:t>起重吊装检查</w:t>
            </w:r>
            <w:r>
              <w:rPr>
                <w:rFonts w:ascii="仿宋" w:hAnsi="仿宋" w:eastAsia="仿宋"/>
                <w:sz w:val="24"/>
                <w:szCs w:val="24"/>
              </w:rPr>
              <w:t>评分表</w:t>
            </w:r>
          </w:p>
        </w:tc>
        <w:tc>
          <w:tcPr>
            <w:tcW w:w="1275" w:type="dxa"/>
            <w:shd w:val="clear" w:color="auto" w:fill="auto"/>
          </w:tcPr>
          <w:p w14:paraId="203EB2A4">
            <w:pPr>
              <w:rPr>
                <w:rFonts w:ascii="Calibri" w:hAnsi="Calibri"/>
                <w:szCs w:val="22"/>
              </w:rPr>
            </w:pPr>
          </w:p>
        </w:tc>
        <w:tc>
          <w:tcPr>
            <w:tcW w:w="1418" w:type="dxa"/>
            <w:shd w:val="clear" w:color="auto" w:fill="auto"/>
          </w:tcPr>
          <w:p w14:paraId="3E7F4B64">
            <w:pPr>
              <w:rPr>
                <w:rFonts w:ascii="Calibri" w:hAnsi="Calibri"/>
                <w:szCs w:val="22"/>
              </w:rPr>
            </w:pPr>
          </w:p>
        </w:tc>
      </w:tr>
    </w:tbl>
    <w:p w14:paraId="55DC581E">
      <w:pPr>
        <w:pStyle w:val="4"/>
        <w:rPr>
          <w:sz w:val="40"/>
          <w:szCs w:val="40"/>
        </w:rPr>
      </w:pPr>
    </w:p>
    <w:p w14:paraId="15AC9FAC">
      <w:pPr>
        <w:rPr>
          <w:lang w:val="zh-CN" w:eastAsia="zh-CN"/>
        </w:rPr>
        <w:sectPr>
          <w:pgSz w:w="11906" w:h="16838"/>
          <w:pgMar w:top="1440" w:right="1800" w:bottom="1440" w:left="1800" w:header="851" w:footer="992" w:gutter="0"/>
          <w:cols w:space="720" w:num="1"/>
          <w:docGrid w:type="lines" w:linePitch="435" w:charSpace="0"/>
        </w:sectPr>
      </w:pPr>
    </w:p>
    <w:p w14:paraId="1B0D7C1E">
      <w:pPr>
        <w:pStyle w:val="4"/>
        <w:rPr>
          <w:sz w:val="40"/>
          <w:szCs w:val="40"/>
        </w:rPr>
      </w:pPr>
      <w:r>
        <w:rPr>
          <w:sz w:val="40"/>
          <w:szCs w:val="40"/>
        </w:rPr>
        <w:t>附录</w:t>
      </w:r>
      <w:r>
        <w:rPr>
          <w:rFonts w:hint="eastAsia"/>
          <w:sz w:val="40"/>
          <w:szCs w:val="40"/>
          <w:lang w:val="en-US" w:eastAsia="zh-CN"/>
        </w:rPr>
        <w:t>4</w:t>
      </w:r>
      <w:r>
        <w:rPr>
          <w:sz w:val="40"/>
          <w:szCs w:val="40"/>
        </w:rPr>
        <w:t xml:space="preserve">-A </w:t>
      </w:r>
      <w:r>
        <w:rPr>
          <w:rFonts w:hint="eastAsia"/>
          <w:sz w:val="40"/>
          <w:szCs w:val="40"/>
        </w:rPr>
        <w:t>市政工程施工安全检查评分汇总表</w:t>
      </w:r>
    </w:p>
    <w:bookmarkEnd w:id="0"/>
    <w:p w14:paraId="12F47840">
      <w:pPr>
        <w:pStyle w:val="40"/>
        <w:jc w:val="left"/>
        <w:rPr>
          <w:rFonts w:ascii="仿宋" w:hAnsi="仿宋" w:eastAsia="仿宋"/>
          <w:sz w:val="24"/>
          <w:szCs w:val="24"/>
        </w:rPr>
      </w:pPr>
      <w:r>
        <w:rPr>
          <w:rFonts w:hint="eastAsia" w:ascii="仿宋" w:hAnsi="仿宋" w:eastAsia="仿宋"/>
          <w:sz w:val="24"/>
          <w:szCs w:val="24"/>
        </w:rPr>
        <w:t>企业名称</w:t>
      </w:r>
      <w:r>
        <w:rPr>
          <w:rFonts w:ascii="仿宋" w:hAnsi="仿宋" w:eastAsia="仿宋"/>
          <w:sz w:val="24"/>
          <w:szCs w:val="24"/>
        </w:rPr>
        <w:t>：</w:t>
      </w: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sz w:val="24"/>
          <w:szCs w:val="24"/>
        </w:rPr>
        <w:t>资质等级：</w:t>
      </w:r>
      <w:r>
        <w:rPr>
          <w:rFonts w:ascii="仿宋" w:hAnsi="仿宋" w:eastAsia="仿宋"/>
          <w:sz w:val="24"/>
          <w:szCs w:val="24"/>
        </w:rPr>
        <w:t xml:space="preserve">                              </w:t>
      </w:r>
      <w:r>
        <w:rPr>
          <w:rFonts w:hint="eastAsia" w:ascii="仿宋" w:hAnsi="仿宋" w:eastAsia="仿宋"/>
          <w:sz w:val="24"/>
          <w:szCs w:val="24"/>
        </w:rPr>
        <w:t xml:space="preserve">检查日期：  年    </w:t>
      </w:r>
      <w:r>
        <w:rPr>
          <w:rFonts w:ascii="仿宋" w:hAnsi="仿宋" w:eastAsia="仿宋"/>
          <w:sz w:val="24"/>
          <w:szCs w:val="24"/>
        </w:rPr>
        <w:t>月</w:t>
      </w:r>
      <w:r>
        <w:rPr>
          <w:rFonts w:hint="eastAsia" w:ascii="仿宋" w:hAnsi="仿宋" w:eastAsia="仿宋"/>
          <w:sz w:val="24"/>
          <w:szCs w:val="24"/>
        </w:rPr>
        <w:t xml:space="preserve">     </w:t>
      </w:r>
      <w:r>
        <w:rPr>
          <w:rFonts w:ascii="仿宋" w:hAnsi="仿宋" w:eastAsia="仿宋"/>
          <w:sz w:val="24"/>
          <w:szCs w:val="24"/>
        </w:rPr>
        <w:t>日</w:t>
      </w:r>
    </w:p>
    <w:tbl>
      <w:tblPr>
        <w:tblStyle w:val="19"/>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8"/>
        <w:gridCol w:w="853"/>
        <w:gridCol w:w="991"/>
        <w:gridCol w:w="847"/>
        <w:gridCol w:w="1013"/>
        <w:gridCol w:w="990"/>
        <w:gridCol w:w="987"/>
        <w:gridCol w:w="990"/>
        <w:gridCol w:w="1170"/>
        <w:gridCol w:w="1004"/>
        <w:gridCol w:w="1001"/>
        <w:gridCol w:w="1067"/>
        <w:gridCol w:w="927"/>
        <w:gridCol w:w="948"/>
      </w:tblGrid>
      <w:tr w14:paraId="03DA0D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78" w:type="dxa"/>
            <w:vMerge w:val="restart"/>
            <w:tcBorders>
              <w:top w:val="single" w:color="auto" w:sz="4" w:space="0"/>
              <w:left w:val="single" w:color="auto" w:sz="4" w:space="0"/>
              <w:right w:val="single" w:color="auto" w:sz="4" w:space="0"/>
            </w:tcBorders>
            <w:vAlign w:val="center"/>
          </w:tcPr>
          <w:p w14:paraId="4385211B">
            <w:pPr>
              <w:pStyle w:val="44"/>
              <w:rPr>
                <w:rFonts w:ascii="仿宋" w:hAnsi="仿宋" w:eastAsia="仿宋"/>
                <w:color w:val="auto"/>
              </w:rPr>
            </w:pPr>
            <w:r>
              <w:rPr>
                <w:rFonts w:hint="eastAsia" w:ascii="仿宋" w:hAnsi="仿宋" w:eastAsia="仿宋"/>
                <w:color w:val="auto"/>
              </w:rPr>
              <w:t>单位工程（施工现场</w:t>
            </w:r>
            <w:r>
              <w:rPr>
                <w:rFonts w:ascii="仿宋" w:hAnsi="仿宋" w:eastAsia="仿宋"/>
                <w:color w:val="auto"/>
              </w:rPr>
              <w:t>名称）</w:t>
            </w:r>
          </w:p>
        </w:tc>
        <w:tc>
          <w:tcPr>
            <w:tcW w:w="853" w:type="dxa"/>
            <w:vMerge w:val="restart"/>
            <w:tcBorders>
              <w:top w:val="single" w:color="auto" w:sz="4" w:space="0"/>
              <w:left w:val="single" w:color="auto" w:sz="4" w:space="0"/>
              <w:right w:val="single" w:color="auto" w:sz="4" w:space="0"/>
            </w:tcBorders>
            <w:vAlign w:val="center"/>
          </w:tcPr>
          <w:p w14:paraId="1050D10E">
            <w:pPr>
              <w:pStyle w:val="44"/>
              <w:rPr>
                <w:rFonts w:ascii="仿宋" w:hAnsi="仿宋" w:eastAsia="仿宋"/>
                <w:color w:val="auto"/>
              </w:rPr>
            </w:pPr>
            <w:r>
              <w:rPr>
                <w:rFonts w:hint="eastAsia" w:ascii="仿宋" w:hAnsi="仿宋" w:eastAsia="仿宋"/>
                <w:color w:val="auto"/>
              </w:rPr>
              <w:t>项目类别</w:t>
            </w:r>
          </w:p>
        </w:tc>
        <w:tc>
          <w:tcPr>
            <w:tcW w:w="991" w:type="dxa"/>
            <w:vMerge w:val="restart"/>
            <w:tcBorders>
              <w:top w:val="single" w:color="auto" w:sz="4" w:space="0"/>
              <w:left w:val="single" w:color="auto" w:sz="4" w:space="0"/>
              <w:right w:val="single" w:color="auto" w:sz="4" w:space="0"/>
            </w:tcBorders>
            <w:vAlign w:val="center"/>
          </w:tcPr>
          <w:p w14:paraId="41D7D137">
            <w:pPr>
              <w:pStyle w:val="44"/>
              <w:rPr>
                <w:rFonts w:ascii="仿宋" w:hAnsi="仿宋" w:eastAsia="仿宋"/>
                <w:color w:val="auto"/>
              </w:rPr>
            </w:pPr>
            <w:r>
              <w:rPr>
                <w:rFonts w:hint="eastAsia" w:ascii="仿宋" w:hAnsi="仿宋" w:eastAsia="仿宋"/>
                <w:color w:val="auto"/>
              </w:rPr>
              <w:t>结构</w:t>
            </w:r>
            <w:r>
              <w:rPr>
                <w:rFonts w:ascii="仿宋" w:hAnsi="仿宋" w:eastAsia="仿宋"/>
                <w:color w:val="auto"/>
              </w:rPr>
              <w:t>类型</w:t>
            </w:r>
          </w:p>
        </w:tc>
        <w:tc>
          <w:tcPr>
            <w:tcW w:w="847" w:type="dxa"/>
            <w:vMerge w:val="restart"/>
            <w:tcBorders>
              <w:top w:val="single" w:color="auto" w:sz="4" w:space="0"/>
              <w:left w:val="single" w:color="auto" w:sz="4" w:space="0"/>
              <w:right w:val="single" w:color="auto" w:sz="4" w:space="0"/>
            </w:tcBorders>
            <w:vAlign w:val="center"/>
          </w:tcPr>
          <w:p w14:paraId="6BAE15A6">
            <w:pPr>
              <w:pStyle w:val="44"/>
              <w:rPr>
                <w:rFonts w:ascii="仿宋" w:hAnsi="仿宋" w:eastAsia="仿宋" w:cs="Times New Roman"/>
                <w:color w:val="auto"/>
              </w:rPr>
            </w:pPr>
            <w:r>
              <w:rPr>
                <w:rFonts w:ascii="仿宋" w:hAnsi="仿宋" w:eastAsia="仿宋" w:cs="Times New Roman"/>
                <w:color w:val="auto"/>
              </w:rPr>
              <w:t>总计得分（满分100分）</w:t>
            </w:r>
          </w:p>
        </w:tc>
        <w:tc>
          <w:tcPr>
            <w:tcW w:w="10097" w:type="dxa"/>
            <w:gridSpan w:val="10"/>
            <w:tcBorders>
              <w:top w:val="single" w:color="auto" w:sz="4" w:space="0"/>
              <w:left w:val="single" w:color="auto" w:sz="4" w:space="0"/>
              <w:bottom w:val="single" w:color="auto" w:sz="4" w:space="0"/>
              <w:right w:val="single" w:color="auto" w:sz="4" w:space="0"/>
            </w:tcBorders>
            <w:vAlign w:val="center"/>
          </w:tcPr>
          <w:p w14:paraId="4458C439">
            <w:pPr>
              <w:pStyle w:val="44"/>
              <w:rPr>
                <w:rFonts w:ascii="仿宋" w:hAnsi="仿宋" w:eastAsia="仿宋" w:cs="Times New Roman"/>
                <w:color w:val="auto"/>
              </w:rPr>
            </w:pPr>
            <w:r>
              <w:rPr>
                <w:rFonts w:ascii="仿宋" w:hAnsi="仿宋" w:eastAsia="仿宋" w:cs="Times New Roman"/>
                <w:color w:val="auto"/>
              </w:rPr>
              <w:t>项目名称及分值</w:t>
            </w:r>
          </w:p>
        </w:tc>
      </w:tr>
      <w:tr w14:paraId="584D00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78" w:type="dxa"/>
            <w:vMerge w:val="continue"/>
            <w:tcBorders>
              <w:left w:val="single" w:color="auto" w:sz="4" w:space="0"/>
              <w:bottom w:val="single" w:color="auto" w:sz="4" w:space="0"/>
              <w:right w:val="single" w:color="auto" w:sz="4" w:space="0"/>
            </w:tcBorders>
            <w:vAlign w:val="center"/>
          </w:tcPr>
          <w:p w14:paraId="30D19E1B">
            <w:pPr>
              <w:pStyle w:val="44"/>
              <w:rPr>
                <w:rFonts w:ascii="仿宋" w:hAnsi="仿宋" w:eastAsia="仿宋"/>
                <w:color w:val="auto"/>
              </w:rPr>
            </w:pPr>
          </w:p>
        </w:tc>
        <w:tc>
          <w:tcPr>
            <w:tcW w:w="853" w:type="dxa"/>
            <w:vMerge w:val="continue"/>
            <w:tcBorders>
              <w:left w:val="single" w:color="auto" w:sz="4" w:space="0"/>
              <w:bottom w:val="single" w:color="auto" w:sz="4" w:space="0"/>
              <w:right w:val="single" w:color="auto" w:sz="4" w:space="0"/>
            </w:tcBorders>
            <w:vAlign w:val="center"/>
          </w:tcPr>
          <w:p w14:paraId="1CE82351">
            <w:pPr>
              <w:pStyle w:val="44"/>
              <w:rPr>
                <w:rFonts w:ascii="仿宋" w:hAnsi="仿宋" w:eastAsia="仿宋"/>
                <w:color w:val="auto"/>
              </w:rPr>
            </w:pPr>
          </w:p>
        </w:tc>
        <w:tc>
          <w:tcPr>
            <w:tcW w:w="991" w:type="dxa"/>
            <w:vMerge w:val="continue"/>
            <w:tcBorders>
              <w:left w:val="single" w:color="auto" w:sz="4" w:space="0"/>
              <w:bottom w:val="single" w:color="auto" w:sz="4" w:space="0"/>
              <w:right w:val="single" w:color="auto" w:sz="4" w:space="0"/>
            </w:tcBorders>
            <w:vAlign w:val="center"/>
          </w:tcPr>
          <w:p w14:paraId="744B99F4">
            <w:pPr>
              <w:pStyle w:val="44"/>
              <w:rPr>
                <w:rFonts w:ascii="仿宋" w:hAnsi="仿宋" w:eastAsia="仿宋"/>
                <w:color w:val="auto"/>
              </w:rPr>
            </w:pPr>
          </w:p>
        </w:tc>
        <w:tc>
          <w:tcPr>
            <w:tcW w:w="847" w:type="dxa"/>
            <w:vMerge w:val="continue"/>
            <w:tcBorders>
              <w:left w:val="single" w:color="auto" w:sz="4" w:space="0"/>
              <w:bottom w:val="single" w:color="auto" w:sz="4" w:space="0"/>
              <w:right w:val="single" w:color="auto" w:sz="4" w:space="0"/>
            </w:tcBorders>
            <w:vAlign w:val="center"/>
          </w:tcPr>
          <w:p w14:paraId="29B6BCEE">
            <w:pPr>
              <w:pStyle w:val="44"/>
              <w:rPr>
                <w:rFonts w:ascii="仿宋" w:hAnsi="仿宋" w:eastAsia="仿宋" w:cs="Times New Roman"/>
                <w:color w:val="auto"/>
              </w:rPr>
            </w:pPr>
          </w:p>
        </w:tc>
        <w:tc>
          <w:tcPr>
            <w:tcW w:w="1013" w:type="dxa"/>
            <w:tcBorders>
              <w:top w:val="single" w:color="auto" w:sz="4" w:space="0"/>
              <w:left w:val="single" w:color="auto" w:sz="4" w:space="0"/>
              <w:bottom w:val="single" w:color="auto" w:sz="4" w:space="0"/>
              <w:right w:val="single" w:color="auto" w:sz="4" w:space="0"/>
            </w:tcBorders>
            <w:vAlign w:val="center"/>
          </w:tcPr>
          <w:p w14:paraId="6D1DFE09">
            <w:pPr>
              <w:pStyle w:val="44"/>
              <w:rPr>
                <w:rFonts w:ascii="仿宋" w:hAnsi="仿宋" w:eastAsia="仿宋" w:cs="Times New Roman"/>
                <w:color w:val="auto"/>
              </w:rPr>
            </w:pPr>
            <w:r>
              <w:rPr>
                <w:rFonts w:ascii="仿宋" w:hAnsi="仿宋" w:eastAsia="仿宋" w:cs="Times New Roman"/>
                <w:color w:val="auto"/>
              </w:rPr>
              <w:t>安全管理（满分10分）</w:t>
            </w:r>
          </w:p>
        </w:tc>
        <w:tc>
          <w:tcPr>
            <w:tcW w:w="990" w:type="dxa"/>
            <w:tcBorders>
              <w:top w:val="single" w:color="auto" w:sz="4" w:space="0"/>
              <w:left w:val="single" w:color="auto" w:sz="4" w:space="0"/>
              <w:bottom w:val="single" w:color="auto" w:sz="4" w:space="0"/>
              <w:right w:val="single" w:color="auto" w:sz="4" w:space="0"/>
            </w:tcBorders>
            <w:vAlign w:val="center"/>
          </w:tcPr>
          <w:p w14:paraId="0464AD71">
            <w:pPr>
              <w:pStyle w:val="44"/>
              <w:rPr>
                <w:rFonts w:ascii="仿宋" w:hAnsi="仿宋" w:eastAsia="仿宋" w:cs="Times New Roman"/>
                <w:color w:val="auto"/>
              </w:rPr>
            </w:pPr>
            <w:r>
              <w:rPr>
                <w:rFonts w:ascii="仿宋" w:hAnsi="仿宋" w:eastAsia="仿宋" w:cs="Times New Roman"/>
                <w:color w:val="auto"/>
              </w:rPr>
              <w:t>文明施工（满分10分）</w:t>
            </w:r>
          </w:p>
        </w:tc>
        <w:tc>
          <w:tcPr>
            <w:tcW w:w="987" w:type="dxa"/>
            <w:tcBorders>
              <w:top w:val="single" w:color="auto" w:sz="4" w:space="0"/>
              <w:left w:val="single" w:color="auto" w:sz="4" w:space="0"/>
              <w:bottom w:val="single" w:color="auto" w:sz="4" w:space="0"/>
              <w:right w:val="single" w:color="auto" w:sz="4" w:space="0"/>
            </w:tcBorders>
            <w:vAlign w:val="center"/>
          </w:tcPr>
          <w:p w14:paraId="1B6A7D4F">
            <w:pPr>
              <w:pStyle w:val="44"/>
              <w:rPr>
                <w:rFonts w:ascii="仿宋" w:hAnsi="仿宋" w:eastAsia="仿宋" w:cs="Times New Roman"/>
                <w:color w:val="auto"/>
              </w:rPr>
            </w:pPr>
            <w:r>
              <w:rPr>
                <w:rFonts w:ascii="仿宋" w:hAnsi="仿宋" w:eastAsia="仿宋" w:cs="Times New Roman"/>
                <w:color w:val="auto"/>
              </w:rPr>
              <w:t>高处作业（满分10分）</w:t>
            </w:r>
          </w:p>
        </w:tc>
        <w:tc>
          <w:tcPr>
            <w:tcW w:w="990" w:type="dxa"/>
            <w:tcBorders>
              <w:top w:val="single" w:color="auto" w:sz="4" w:space="0"/>
              <w:left w:val="single" w:color="auto" w:sz="4" w:space="0"/>
              <w:bottom w:val="single" w:color="auto" w:sz="4" w:space="0"/>
              <w:right w:val="single" w:color="auto" w:sz="4" w:space="0"/>
            </w:tcBorders>
            <w:vAlign w:val="center"/>
          </w:tcPr>
          <w:p w14:paraId="23F31CAE">
            <w:pPr>
              <w:pStyle w:val="44"/>
              <w:rPr>
                <w:rFonts w:ascii="仿宋" w:hAnsi="仿宋" w:eastAsia="仿宋" w:cs="Times New Roman"/>
                <w:color w:val="auto"/>
              </w:rPr>
            </w:pPr>
            <w:r>
              <w:rPr>
                <w:rFonts w:ascii="仿宋" w:hAnsi="仿宋" w:eastAsia="仿宋" w:cs="Times New Roman"/>
                <w:color w:val="auto"/>
              </w:rPr>
              <w:t>施工用电（满分10分）</w:t>
            </w:r>
          </w:p>
        </w:tc>
        <w:tc>
          <w:tcPr>
            <w:tcW w:w="1170" w:type="dxa"/>
            <w:tcBorders>
              <w:top w:val="single" w:color="auto" w:sz="4" w:space="0"/>
              <w:left w:val="single" w:color="auto" w:sz="4" w:space="0"/>
              <w:bottom w:val="single" w:color="auto" w:sz="4" w:space="0"/>
              <w:right w:val="single" w:color="auto" w:sz="4" w:space="0"/>
            </w:tcBorders>
            <w:vAlign w:val="center"/>
          </w:tcPr>
          <w:p w14:paraId="38672611">
            <w:pPr>
              <w:pStyle w:val="44"/>
              <w:rPr>
                <w:rFonts w:ascii="仿宋" w:hAnsi="仿宋" w:eastAsia="仿宋" w:cs="Times New Roman"/>
                <w:color w:val="auto"/>
              </w:rPr>
            </w:pPr>
            <w:r>
              <w:rPr>
                <w:rFonts w:ascii="仿宋" w:hAnsi="仿宋" w:eastAsia="仿宋" w:cs="Times New Roman"/>
                <w:color w:val="auto"/>
              </w:rPr>
              <w:t>施工机具（满分5分）</w:t>
            </w:r>
          </w:p>
        </w:tc>
        <w:tc>
          <w:tcPr>
            <w:tcW w:w="1004" w:type="dxa"/>
            <w:tcBorders>
              <w:top w:val="single" w:color="auto" w:sz="4" w:space="0"/>
              <w:left w:val="single" w:color="auto" w:sz="4" w:space="0"/>
              <w:bottom w:val="single" w:color="auto" w:sz="4" w:space="0"/>
              <w:right w:val="single" w:color="auto" w:sz="4" w:space="0"/>
            </w:tcBorders>
            <w:vAlign w:val="center"/>
          </w:tcPr>
          <w:p w14:paraId="6B36FAC8">
            <w:pPr>
              <w:pStyle w:val="44"/>
              <w:rPr>
                <w:rFonts w:ascii="仿宋" w:hAnsi="仿宋" w:eastAsia="仿宋" w:cs="Times New Roman"/>
                <w:color w:val="auto"/>
              </w:rPr>
            </w:pPr>
            <w:r>
              <w:rPr>
                <w:rFonts w:hint="eastAsia" w:ascii="仿宋" w:hAnsi="仿宋" w:eastAsia="仿宋" w:cs="Times New Roman"/>
                <w:color w:val="auto"/>
              </w:rPr>
              <w:t>地基基础工程</w:t>
            </w:r>
            <w:r>
              <w:rPr>
                <w:rFonts w:ascii="仿宋" w:hAnsi="仿宋" w:eastAsia="仿宋" w:cs="Times New Roman"/>
                <w:color w:val="auto"/>
              </w:rPr>
              <w:t>（满分10分）</w:t>
            </w:r>
          </w:p>
        </w:tc>
        <w:tc>
          <w:tcPr>
            <w:tcW w:w="1001" w:type="dxa"/>
            <w:tcBorders>
              <w:top w:val="single" w:color="auto" w:sz="4" w:space="0"/>
              <w:left w:val="single" w:color="auto" w:sz="4" w:space="0"/>
              <w:bottom w:val="single" w:color="auto" w:sz="4" w:space="0"/>
              <w:right w:val="single" w:color="auto" w:sz="4" w:space="0"/>
            </w:tcBorders>
            <w:vAlign w:val="center"/>
          </w:tcPr>
          <w:p w14:paraId="48704FAE">
            <w:pPr>
              <w:pStyle w:val="44"/>
              <w:rPr>
                <w:rFonts w:ascii="仿宋" w:hAnsi="仿宋" w:eastAsia="仿宋" w:cs="Times New Roman"/>
                <w:color w:val="auto"/>
              </w:rPr>
            </w:pPr>
            <w:r>
              <w:rPr>
                <w:rFonts w:ascii="仿宋" w:hAnsi="仿宋" w:eastAsia="仿宋" w:cs="Times New Roman"/>
                <w:color w:val="auto"/>
              </w:rPr>
              <w:t>脚手架与作业平台工程（满分10分）</w:t>
            </w:r>
          </w:p>
        </w:tc>
        <w:tc>
          <w:tcPr>
            <w:tcW w:w="1067" w:type="dxa"/>
            <w:tcBorders>
              <w:top w:val="single" w:color="auto" w:sz="4" w:space="0"/>
              <w:left w:val="single" w:color="auto" w:sz="4" w:space="0"/>
              <w:bottom w:val="single" w:color="auto" w:sz="4" w:space="0"/>
              <w:right w:val="single" w:color="auto" w:sz="4" w:space="0"/>
            </w:tcBorders>
            <w:vAlign w:val="center"/>
          </w:tcPr>
          <w:p w14:paraId="6BD6AFC5">
            <w:pPr>
              <w:pStyle w:val="44"/>
              <w:rPr>
                <w:rFonts w:ascii="仿宋" w:hAnsi="仿宋" w:eastAsia="仿宋" w:cs="Times New Roman"/>
                <w:color w:val="auto"/>
              </w:rPr>
            </w:pPr>
            <w:r>
              <w:rPr>
                <w:rFonts w:ascii="仿宋" w:hAnsi="仿宋" w:eastAsia="仿宋" w:cs="Times New Roman"/>
                <w:color w:val="auto"/>
              </w:rPr>
              <w:t>模板工程及支撑系统（满分15分）</w:t>
            </w:r>
          </w:p>
        </w:tc>
        <w:tc>
          <w:tcPr>
            <w:tcW w:w="927" w:type="dxa"/>
            <w:tcBorders>
              <w:top w:val="single" w:color="auto" w:sz="4" w:space="0"/>
              <w:left w:val="single" w:color="auto" w:sz="4" w:space="0"/>
              <w:bottom w:val="single" w:color="auto" w:sz="4" w:space="0"/>
              <w:right w:val="single" w:color="auto" w:sz="4" w:space="0"/>
            </w:tcBorders>
            <w:vAlign w:val="center"/>
          </w:tcPr>
          <w:p w14:paraId="2F276E52">
            <w:pPr>
              <w:pStyle w:val="44"/>
              <w:rPr>
                <w:rFonts w:ascii="仿宋" w:hAnsi="仿宋" w:eastAsia="仿宋" w:cs="Times New Roman"/>
                <w:color w:val="auto"/>
              </w:rPr>
            </w:pPr>
            <w:r>
              <w:rPr>
                <w:rFonts w:ascii="仿宋" w:hAnsi="仿宋" w:eastAsia="仿宋" w:cs="Times New Roman"/>
                <w:color w:val="auto"/>
              </w:rPr>
              <w:t>地下暗挖与顶管工程（满分10分）</w:t>
            </w:r>
          </w:p>
        </w:tc>
        <w:tc>
          <w:tcPr>
            <w:tcW w:w="948" w:type="dxa"/>
            <w:tcBorders>
              <w:top w:val="single" w:color="auto" w:sz="4" w:space="0"/>
              <w:left w:val="single" w:color="auto" w:sz="4" w:space="0"/>
              <w:bottom w:val="single" w:color="auto" w:sz="4" w:space="0"/>
              <w:right w:val="single" w:color="auto" w:sz="4" w:space="0"/>
            </w:tcBorders>
            <w:vAlign w:val="center"/>
          </w:tcPr>
          <w:p w14:paraId="50F3405F">
            <w:pPr>
              <w:pStyle w:val="44"/>
              <w:rPr>
                <w:rFonts w:ascii="仿宋" w:hAnsi="仿宋" w:eastAsia="仿宋" w:cs="Times New Roman"/>
                <w:color w:val="auto"/>
              </w:rPr>
            </w:pPr>
            <w:r>
              <w:rPr>
                <w:rFonts w:ascii="仿宋" w:hAnsi="仿宋" w:eastAsia="仿宋" w:cs="Times New Roman"/>
                <w:color w:val="auto"/>
              </w:rPr>
              <w:t>起重吊装工程（满分10分）</w:t>
            </w:r>
          </w:p>
        </w:tc>
      </w:tr>
      <w:tr w14:paraId="0AA62D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78" w:type="dxa"/>
            <w:tcBorders>
              <w:top w:val="single" w:color="auto" w:sz="4" w:space="0"/>
              <w:left w:val="single" w:color="auto" w:sz="4" w:space="0"/>
              <w:bottom w:val="single" w:color="auto" w:sz="4" w:space="0"/>
              <w:right w:val="single" w:color="auto" w:sz="4" w:space="0"/>
            </w:tcBorders>
            <w:vAlign w:val="center"/>
          </w:tcPr>
          <w:p w14:paraId="190FDA6F">
            <w:pPr>
              <w:pStyle w:val="44"/>
              <w:rPr>
                <w:rFonts w:ascii="仿宋" w:hAnsi="仿宋" w:eastAsia="仿宋"/>
                <w:color w:val="auto"/>
              </w:rPr>
            </w:pPr>
          </w:p>
        </w:tc>
        <w:tc>
          <w:tcPr>
            <w:tcW w:w="853" w:type="dxa"/>
            <w:tcBorders>
              <w:top w:val="single" w:color="auto" w:sz="4" w:space="0"/>
              <w:left w:val="single" w:color="auto" w:sz="4" w:space="0"/>
              <w:bottom w:val="single" w:color="auto" w:sz="4" w:space="0"/>
              <w:right w:val="single" w:color="auto" w:sz="4" w:space="0"/>
            </w:tcBorders>
            <w:vAlign w:val="center"/>
          </w:tcPr>
          <w:p w14:paraId="162C0B31">
            <w:pPr>
              <w:pStyle w:val="44"/>
              <w:rPr>
                <w:rFonts w:ascii="仿宋" w:hAnsi="仿宋" w:eastAsia="仿宋"/>
                <w:color w:val="auto"/>
              </w:rPr>
            </w:pPr>
          </w:p>
        </w:tc>
        <w:tc>
          <w:tcPr>
            <w:tcW w:w="991" w:type="dxa"/>
            <w:tcBorders>
              <w:top w:val="single" w:color="auto" w:sz="4" w:space="0"/>
              <w:left w:val="single" w:color="auto" w:sz="4" w:space="0"/>
              <w:bottom w:val="single" w:color="auto" w:sz="4" w:space="0"/>
              <w:right w:val="single" w:color="auto" w:sz="4" w:space="0"/>
            </w:tcBorders>
            <w:vAlign w:val="center"/>
          </w:tcPr>
          <w:p w14:paraId="31B330DC">
            <w:pPr>
              <w:pStyle w:val="44"/>
              <w:rPr>
                <w:rFonts w:ascii="仿宋" w:hAnsi="仿宋" w:eastAsia="仿宋"/>
                <w:color w:val="auto"/>
              </w:rPr>
            </w:pPr>
          </w:p>
        </w:tc>
        <w:tc>
          <w:tcPr>
            <w:tcW w:w="847" w:type="dxa"/>
            <w:tcBorders>
              <w:top w:val="single" w:color="auto" w:sz="4" w:space="0"/>
              <w:left w:val="single" w:color="auto" w:sz="4" w:space="0"/>
              <w:bottom w:val="single" w:color="auto" w:sz="4" w:space="0"/>
              <w:right w:val="single" w:color="auto" w:sz="4" w:space="0"/>
            </w:tcBorders>
            <w:vAlign w:val="center"/>
          </w:tcPr>
          <w:p w14:paraId="2396E248">
            <w:pPr>
              <w:pStyle w:val="44"/>
              <w:rPr>
                <w:rFonts w:ascii="仿宋" w:hAnsi="仿宋" w:eastAsia="仿宋"/>
                <w:color w:val="auto"/>
              </w:rPr>
            </w:pPr>
          </w:p>
        </w:tc>
        <w:tc>
          <w:tcPr>
            <w:tcW w:w="1013" w:type="dxa"/>
            <w:tcBorders>
              <w:top w:val="single" w:color="auto" w:sz="4" w:space="0"/>
              <w:left w:val="single" w:color="auto" w:sz="4" w:space="0"/>
              <w:bottom w:val="single" w:color="auto" w:sz="4" w:space="0"/>
              <w:right w:val="single" w:color="auto" w:sz="4" w:space="0"/>
            </w:tcBorders>
            <w:vAlign w:val="center"/>
          </w:tcPr>
          <w:p w14:paraId="26F175AA">
            <w:pPr>
              <w:pStyle w:val="44"/>
              <w:rPr>
                <w:rFonts w:ascii="仿宋" w:hAnsi="仿宋" w:eastAsia="仿宋"/>
                <w:color w:val="auto"/>
              </w:rPr>
            </w:pPr>
          </w:p>
        </w:tc>
        <w:tc>
          <w:tcPr>
            <w:tcW w:w="990" w:type="dxa"/>
            <w:tcBorders>
              <w:top w:val="single" w:color="auto" w:sz="4" w:space="0"/>
              <w:left w:val="single" w:color="auto" w:sz="4" w:space="0"/>
              <w:bottom w:val="single" w:color="auto" w:sz="4" w:space="0"/>
              <w:right w:val="single" w:color="auto" w:sz="4" w:space="0"/>
            </w:tcBorders>
          </w:tcPr>
          <w:p w14:paraId="3D07B8C9">
            <w:pPr>
              <w:pStyle w:val="44"/>
              <w:rPr>
                <w:rFonts w:ascii="仿宋" w:hAnsi="仿宋" w:eastAsia="仿宋"/>
                <w:color w:val="auto"/>
              </w:rPr>
            </w:pPr>
          </w:p>
        </w:tc>
        <w:tc>
          <w:tcPr>
            <w:tcW w:w="987" w:type="dxa"/>
            <w:tcBorders>
              <w:top w:val="single" w:color="auto" w:sz="4" w:space="0"/>
              <w:left w:val="single" w:color="auto" w:sz="4" w:space="0"/>
              <w:bottom w:val="single" w:color="auto" w:sz="4" w:space="0"/>
              <w:right w:val="single" w:color="auto" w:sz="4" w:space="0"/>
            </w:tcBorders>
          </w:tcPr>
          <w:p w14:paraId="0927BF4D">
            <w:pPr>
              <w:pStyle w:val="44"/>
              <w:rPr>
                <w:rFonts w:ascii="仿宋" w:hAnsi="仿宋" w:eastAsia="仿宋"/>
                <w:color w:val="auto"/>
              </w:rPr>
            </w:pPr>
          </w:p>
        </w:tc>
        <w:tc>
          <w:tcPr>
            <w:tcW w:w="990" w:type="dxa"/>
            <w:tcBorders>
              <w:top w:val="single" w:color="auto" w:sz="4" w:space="0"/>
              <w:left w:val="single" w:color="auto" w:sz="4" w:space="0"/>
              <w:bottom w:val="single" w:color="auto" w:sz="4" w:space="0"/>
              <w:right w:val="single" w:color="auto" w:sz="4" w:space="0"/>
            </w:tcBorders>
          </w:tcPr>
          <w:p w14:paraId="72493120">
            <w:pPr>
              <w:pStyle w:val="44"/>
              <w:rPr>
                <w:rFonts w:ascii="仿宋" w:hAnsi="仿宋" w:eastAsia="仿宋"/>
                <w:color w:val="auto"/>
              </w:rPr>
            </w:pPr>
          </w:p>
        </w:tc>
        <w:tc>
          <w:tcPr>
            <w:tcW w:w="1170" w:type="dxa"/>
            <w:tcBorders>
              <w:top w:val="single" w:color="auto" w:sz="4" w:space="0"/>
              <w:left w:val="single" w:color="auto" w:sz="4" w:space="0"/>
              <w:bottom w:val="single" w:color="auto" w:sz="4" w:space="0"/>
              <w:right w:val="single" w:color="auto" w:sz="4" w:space="0"/>
            </w:tcBorders>
          </w:tcPr>
          <w:p w14:paraId="6CA3B78B">
            <w:pPr>
              <w:pStyle w:val="44"/>
              <w:rPr>
                <w:rFonts w:ascii="仿宋" w:hAnsi="仿宋" w:eastAsia="仿宋"/>
                <w:color w:val="auto"/>
              </w:rPr>
            </w:pPr>
          </w:p>
        </w:tc>
        <w:tc>
          <w:tcPr>
            <w:tcW w:w="1004" w:type="dxa"/>
            <w:tcBorders>
              <w:top w:val="single" w:color="auto" w:sz="4" w:space="0"/>
              <w:left w:val="single" w:color="auto" w:sz="4" w:space="0"/>
              <w:bottom w:val="single" w:color="auto" w:sz="4" w:space="0"/>
              <w:right w:val="single" w:color="auto" w:sz="4" w:space="0"/>
            </w:tcBorders>
          </w:tcPr>
          <w:p w14:paraId="7A331076">
            <w:pPr>
              <w:pStyle w:val="44"/>
              <w:rPr>
                <w:rFonts w:ascii="仿宋" w:hAnsi="仿宋" w:eastAsia="仿宋"/>
                <w:color w:val="auto"/>
              </w:rPr>
            </w:pPr>
          </w:p>
        </w:tc>
        <w:tc>
          <w:tcPr>
            <w:tcW w:w="1001" w:type="dxa"/>
            <w:tcBorders>
              <w:top w:val="single" w:color="auto" w:sz="4" w:space="0"/>
              <w:left w:val="single" w:color="auto" w:sz="4" w:space="0"/>
              <w:bottom w:val="single" w:color="auto" w:sz="4" w:space="0"/>
              <w:right w:val="single" w:color="auto" w:sz="4" w:space="0"/>
            </w:tcBorders>
          </w:tcPr>
          <w:p w14:paraId="489BFC78">
            <w:pPr>
              <w:pStyle w:val="44"/>
              <w:rPr>
                <w:rFonts w:ascii="仿宋" w:hAnsi="仿宋" w:eastAsia="仿宋"/>
                <w:color w:val="auto"/>
              </w:rPr>
            </w:pPr>
          </w:p>
        </w:tc>
        <w:tc>
          <w:tcPr>
            <w:tcW w:w="1067" w:type="dxa"/>
            <w:tcBorders>
              <w:top w:val="single" w:color="auto" w:sz="4" w:space="0"/>
              <w:left w:val="single" w:color="auto" w:sz="4" w:space="0"/>
              <w:bottom w:val="single" w:color="auto" w:sz="4" w:space="0"/>
              <w:right w:val="single" w:color="auto" w:sz="4" w:space="0"/>
            </w:tcBorders>
          </w:tcPr>
          <w:p w14:paraId="0EFE578E">
            <w:pPr>
              <w:pStyle w:val="44"/>
              <w:rPr>
                <w:rFonts w:ascii="仿宋" w:hAnsi="仿宋" w:eastAsia="仿宋"/>
                <w:color w:val="auto"/>
              </w:rPr>
            </w:pPr>
          </w:p>
        </w:tc>
        <w:tc>
          <w:tcPr>
            <w:tcW w:w="927" w:type="dxa"/>
            <w:tcBorders>
              <w:top w:val="single" w:color="auto" w:sz="4" w:space="0"/>
              <w:left w:val="single" w:color="auto" w:sz="4" w:space="0"/>
              <w:bottom w:val="single" w:color="auto" w:sz="4" w:space="0"/>
              <w:right w:val="single" w:color="auto" w:sz="4" w:space="0"/>
            </w:tcBorders>
          </w:tcPr>
          <w:p w14:paraId="64355141">
            <w:pPr>
              <w:pStyle w:val="44"/>
              <w:rPr>
                <w:rFonts w:ascii="仿宋" w:hAnsi="仿宋" w:eastAsia="仿宋"/>
                <w:color w:val="auto"/>
              </w:rPr>
            </w:pPr>
          </w:p>
        </w:tc>
        <w:tc>
          <w:tcPr>
            <w:tcW w:w="948" w:type="dxa"/>
            <w:tcBorders>
              <w:top w:val="single" w:color="auto" w:sz="4" w:space="0"/>
              <w:left w:val="single" w:color="auto" w:sz="4" w:space="0"/>
              <w:bottom w:val="single" w:color="auto" w:sz="4" w:space="0"/>
              <w:right w:val="single" w:color="auto" w:sz="4" w:space="0"/>
            </w:tcBorders>
          </w:tcPr>
          <w:p w14:paraId="337867B5">
            <w:pPr>
              <w:pStyle w:val="44"/>
              <w:rPr>
                <w:rFonts w:ascii="仿宋" w:hAnsi="仿宋" w:eastAsia="仿宋"/>
                <w:color w:val="auto"/>
              </w:rPr>
            </w:pPr>
          </w:p>
        </w:tc>
      </w:tr>
      <w:tr w14:paraId="33FBDD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78" w:type="dxa"/>
            <w:tcBorders>
              <w:top w:val="single" w:color="auto" w:sz="4" w:space="0"/>
              <w:left w:val="single" w:color="auto" w:sz="4" w:space="0"/>
              <w:bottom w:val="single" w:color="auto" w:sz="4" w:space="0"/>
              <w:right w:val="single" w:color="auto" w:sz="4" w:space="0"/>
            </w:tcBorders>
            <w:vAlign w:val="center"/>
          </w:tcPr>
          <w:p w14:paraId="4B9285FB">
            <w:pPr>
              <w:pStyle w:val="44"/>
              <w:rPr>
                <w:rFonts w:ascii="仿宋" w:hAnsi="仿宋" w:eastAsia="仿宋"/>
                <w:color w:val="auto"/>
              </w:rPr>
            </w:pPr>
            <w:r>
              <w:rPr>
                <w:rFonts w:hint="eastAsia" w:ascii="仿宋" w:hAnsi="仿宋" w:eastAsia="仿宋"/>
                <w:color w:val="auto"/>
              </w:rPr>
              <w:t>评定</w:t>
            </w:r>
            <w:r>
              <w:rPr>
                <w:rFonts w:ascii="仿宋" w:hAnsi="仿宋" w:eastAsia="仿宋"/>
                <w:color w:val="auto"/>
              </w:rPr>
              <w:t>等级</w:t>
            </w:r>
          </w:p>
        </w:tc>
        <w:tc>
          <w:tcPr>
            <w:tcW w:w="12788" w:type="dxa"/>
            <w:gridSpan w:val="13"/>
            <w:tcBorders>
              <w:top w:val="single" w:color="auto" w:sz="4" w:space="0"/>
              <w:left w:val="single" w:color="auto" w:sz="4" w:space="0"/>
              <w:bottom w:val="single" w:color="auto" w:sz="4" w:space="0"/>
              <w:right w:val="single" w:color="auto" w:sz="4" w:space="0"/>
            </w:tcBorders>
            <w:vAlign w:val="center"/>
          </w:tcPr>
          <w:p w14:paraId="7ED9822C">
            <w:pPr>
              <w:pStyle w:val="44"/>
              <w:rPr>
                <w:rFonts w:ascii="仿宋" w:hAnsi="仿宋" w:eastAsia="仿宋"/>
                <w:color w:val="auto"/>
              </w:rPr>
            </w:pPr>
          </w:p>
        </w:tc>
      </w:tr>
      <w:tr w14:paraId="09EB64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36" w:hRule="atLeast"/>
        </w:trPr>
        <w:tc>
          <w:tcPr>
            <w:tcW w:w="14066" w:type="dxa"/>
            <w:gridSpan w:val="14"/>
            <w:tcBorders>
              <w:top w:val="single" w:color="auto" w:sz="4" w:space="0"/>
              <w:left w:val="single" w:color="auto" w:sz="4" w:space="0"/>
              <w:bottom w:val="single" w:color="auto" w:sz="4" w:space="0"/>
              <w:right w:val="single" w:color="auto" w:sz="4" w:space="0"/>
            </w:tcBorders>
            <w:vAlign w:val="center"/>
          </w:tcPr>
          <w:p w14:paraId="3DDB7B18">
            <w:pPr>
              <w:pStyle w:val="44"/>
              <w:jc w:val="left"/>
              <w:rPr>
                <w:rFonts w:ascii="仿宋" w:hAnsi="仿宋" w:eastAsia="仿宋"/>
                <w:color w:val="auto"/>
              </w:rPr>
            </w:pPr>
            <w:r>
              <w:rPr>
                <w:rFonts w:ascii="仿宋" w:hAnsi="仿宋" w:eastAsia="仿宋"/>
                <w:color w:val="auto"/>
              </w:rPr>
              <w:t>评语</w:t>
            </w:r>
            <w:r>
              <w:rPr>
                <w:rFonts w:hint="eastAsia" w:ascii="仿宋" w:hAnsi="仿宋" w:eastAsia="仿宋"/>
                <w:color w:val="auto"/>
              </w:rPr>
              <w:t>：</w:t>
            </w:r>
          </w:p>
        </w:tc>
      </w:tr>
      <w:tr w14:paraId="3D1B8C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1278" w:type="dxa"/>
            <w:tcBorders>
              <w:top w:val="single" w:color="auto" w:sz="4" w:space="0"/>
              <w:left w:val="single" w:color="auto" w:sz="4" w:space="0"/>
              <w:bottom w:val="single" w:color="auto" w:sz="4" w:space="0"/>
              <w:right w:val="single" w:color="auto" w:sz="4" w:space="0"/>
            </w:tcBorders>
            <w:vAlign w:val="center"/>
          </w:tcPr>
          <w:p w14:paraId="7559B269">
            <w:pPr>
              <w:pStyle w:val="44"/>
              <w:rPr>
                <w:rFonts w:ascii="仿宋" w:hAnsi="仿宋" w:eastAsia="仿宋"/>
                <w:color w:val="auto"/>
              </w:rPr>
            </w:pPr>
            <w:r>
              <w:rPr>
                <w:rFonts w:hint="eastAsia" w:ascii="仿宋" w:hAnsi="仿宋" w:eastAsia="仿宋"/>
                <w:color w:val="auto"/>
              </w:rPr>
              <w:t>检查单位</w:t>
            </w:r>
          </w:p>
        </w:tc>
        <w:tc>
          <w:tcPr>
            <w:tcW w:w="3704" w:type="dxa"/>
            <w:gridSpan w:val="4"/>
            <w:tcBorders>
              <w:top w:val="single" w:color="auto" w:sz="4" w:space="0"/>
              <w:left w:val="single" w:color="auto" w:sz="4" w:space="0"/>
              <w:bottom w:val="single" w:color="auto" w:sz="4" w:space="0"/>
              <w:right w:val="single" w:color="auto" w:sz="4" w:space="0"/>
            </w:tcBorders>
            <w:vAlign w:val="center"/>
          </w:tcPr>
          <w:p w14:paraId="6F865741">
            <w:pPr>
              <w:pStyle w:val="44"/>
              <w:rPr>
                <w:rFonts w:ascii="仿宋" w:hAnsi="仿宋" w:eastAsia="仿宋"/>
                <w:color w:val="auto"/>
              </w:rPr>
            </w:pPr>
          </w:p>
        </w:tc>
        <w:tc>
          <w:tcPr>
            <w:tcW w:w="990" w:type="dxa"/>
            <w:tcBorders>
              <w:top w:val="single" w:color="auto" w:sz="4" w:space="0"/>
              <w:left w:val="single" w:color="auto" w:sz="4" w:space="0"/>
              <w:bottom w:val="single" w:color="auto" w:sz="4" w:space="0"/>
              <w:right w:val="single" w:color="auto" w:sz="4" w:space="0"/>
            </w:tcBorders>
            <w:vAlign w:val="center"/>
          </w:tcPr>
          <w:p w14:paraId="3AB3D14B">
            <w:pPr>
              <w:pStyle w:val="44"/>
              <w:rPr>
                <w:rFonts w:ascii="仿宋" w:hAnsi="仿宋" w:eastAsia="仿宋"/>
                <w:color w:val="auto"/>
              </w:rPr>
            </w:pPr>
            <w:r>
              <w:rPr>
                <w:rFonts w:hint="eastAsia" w:ascii="仿宋" w:hAnsi="仿宋" w:eastAsia="仿宋"/>
                <w:color w:val="auto"/>
              </w:rPr>
              <w:t>负责人</w:t>
            </w:r>
          </w:p>
        </w:tc>
        <w:tc>
          <w:tcPr>
            <w:tcW w:w="1977" w:type="dxa"/>
            <w:gridSpan w:val="2"/>
            <w:tcBorders>
              <w:top w:val="single" w:color="auto" w:sz="4" w:space="0"/>
              <w:left w:val="single" w:color="auto" w:sz="4" w:space="0"/>
              <w:bottom w:val="single" w:color="auto" w:sz="4" w:space="0"/>
              <w:right w:val="single" w:color="auto" w:sz="4" w:space="0"/>
            </w:tcBorders>
            <w:vAlign w:val="center"/>
          </w:tcPr>
          <w:p w14:paraId="31AB70AE">
            <w:pPr>
              <w:pStyle w:val="44"/>
              <w:rPr>
                <w:rFonts w:ascii="仿宋" w:hAnsi="仿宋" w:eastAsia="仿宋"/>
                <w:color w:val="auto"/>
              </w:rPr>
            </w:pPr>
          </w:p>
        </w:tc>
        <w:tc>
          <w:tcPr>
            <w:tcW w:w="1170" w:type="dxa"/>
            <w:tcBorders>
              <w:top w:val="single" w:color="auto" w:sz="4" w:space="0"/>
              <w:left w:val="single" w:color="auto" w:sz="4" w:space="0"/>
              <w:bottom w:val="single" w:color="auto" w:sz="4" w:space="0"/>
              <w:right w:val="single" w:color="auto" w:sz="4" w:space="0"/>
            </w:tcBorders>
            <w:vAlign w:val="center"/>
          </w:tcPr>
          <w:p w14:paraId="641192F6">
            <w:pPr>
              <w:pStyle w:val="44"/>
              <w:rPr>
                <w:rFonts w:ascii="仿宋" w:hAnsi="仿宋" w:eastAsia="仿宋"/>
                <w:color w:val="auto"/>
              </w:rPr>
            </w:pPr>
            <w:r>
              <w:rPr>
                <w:rFonts w:hint="eastAsia" w:ascii="仿宋" w:hAnsi="仿宋" w:eastAsia="仿宋"/>
                <w:color w:val="auto"/>
              </w:rPr>
              <w:t>受检项目</w:t>
            </w:r>
          </w:p>
        </w:tc>
        <w:tc>
          <w:tcPr>
            <w:tcW w:w="2005" w:type="dxa"/>
            <w:gridSpan w:val="2"/>
            <w:tcBorders>
              <w:top w:val="single" w:color="auto" w:sz="4" w:space="0"/>
              <w:left w:val="single" w:color="auto" w:sz="4" w:space="0"/>
              <w:bottom w:val="single" w:color="auto" w:sz="4" w:space="0"/>
              <w:right w:val="single" w:color="auto" w:sz="4" w:space="0"/>
            </w:tcBorders>
            <w:vAlign w:val="center"/>
          </w:tcPr>
          <w:p w14:paraId="3475B945">
            <w:pPr>
              <w:pStyle w:val="44"/>
              <w:rPr>
                <w:rFonts w:ascii="仿宋" w:hAnsi="仿宋" w:eastAsia="仿宋"/>
                <w:color w:val="auto"/>
              </w:rPr>
            </w:pPr>
          </w:p>
        </w:tc>
        <w:tc>
          <w:tcPr>
            <w:tcW w:w="1067" w:type="dxa"/>
            <w:tcBorders>
              <w:top w:val="single" w:color="auto" w:sz="4" w:space="0"/>
              <w:left w:val="single" w:color="auto" w:sz="4" w:space="0"/>
              <w:bottom w:val="single" w:color="auto" w:sz="4" w:space="0"/>
              <w:right w:val="single" w:color="auto" w:sz="4" w:space="0"/>
            </w:tcBorders>
            <w:vAlign w:val="center"/>
          </w:tcPr>
          <w:p w14:paraId="7894137E">
            <w:pPr>
              <w:pStyle w:val="44"/>
              <w:rPr>
                <w:rFonts w:ascii="仿宋" w:hAnsi="仿宋" w:eastAsia="仿宋"/>
                <w:color w:val="auto"/>
              </w:rPr>
            </w:pPr>
            <w:r>
              <w:rPr>
                <w:rFonts w:hint="eastAsia" w:ascii="仿宋" w:hAnsi="仿宋" w:eastAsia="仿宋"/>
                <w:color w:val="auto"/>
              </w:rPr>
              <w:t>项目经理</w:t>
            </w:r>
          </w:p>
        </w:tc>
        <w:tc>
          <w:tcPr>
            <w:tcW w:w="1875" w:type="dxa"/>
            <w:gridSpan w:val="2"/>
            <w:tcBorders>
              <w:top w:val="single" w:color="auto" w:sz="4" w:space="0"/>
              <w:left w:val="single" w:color="auto" w:sz="4" w:space="0"/>
              <w:bottom w:val="single" w:color="auto" w:sz="4" w:space="0"/>
              <w:right w:val="single" w:color="auto" w:sz="4" w:space="0"/>
            </w:tcBorders>
          </w:tcPr>
          <w:p w14:paraId="19621429">
            <w:pPr>
              <w:pStyle w:val="44"/>
              <w:rPr>
                <w:rFonts w:ascii="仿宋" w:hAnsi="仿宋" w:eastAsia="仿宋"/>
                <w:color w:val="auto"/>
              </w:rPr>
            </w:pPr>
          </w:p>
        </w:tc>
      </w:tr>
    </w:tbl>
    <w:p w14:paraId="5AF3AFE1">
      <w:pPr>
        <w:pStyle w:val="52"/>
        <w:jc w:val="left"/>
        <w:sectPr>
          <w:pgSz w:w="16838" w:h="11906" w:orient="landscape"/>
          <w:pgMar w:top="1800" w:right="1440" w:bottom="1800" w:left="1440" w:header="851" w:footer="992" w:gutter="0"/>
          <w:cols w:space="720" w:num="1"/>
          <w:docGrid w:type="lines" w:linePitch="326" w:charSpace="0"/>
        </w:sectPr>
      </w:pPr>
      <w:r>
        <w:rPr>
          <w:rFonts w:hint="eastAsia"/>
        </w:rPr>
        <w:t>注：项目类别是指</w:t>
      </w:r>
      <w:r>
        <w:t>道路工程、桥梁工程、隧道工程、燃气工程、给排水工程等项目分类</w:t>
      </w:r>
      <w:r>
        <w:rPr>
          <w:rFonts w:hint="eastAsia"/>
        </w:rPr>
        <w:t>。</w:t>
      </w:r>
      <w:bookmarkStart w:id="1" w:name="_Toc427334480"/>
      <w:bookmarkStart w:id="2" w:name="_Toc381186769"/>
      <w:bookmarkStart w:id="3" w:name="_Toc426474735"/>
      <w:bookmarkStart w:id="4" w:name="_Toc405227243"/>
    </w:p>
    <w:p w14:paraId="29773046">
      <w:pPr>
        <w:pStyle w:val="4"/>
        <w:rPr>
          <w:sz w:val="40"/>
          <w:szCs w:val="40"/>
        </w:rPr>
      </w:pPr>
      <w:bookmarkStart w:id="5" w:name="_Toc24918"/>
      <w:bookmarkStart w:id="6" w:name="_Toc633"/>
      <w:bookmarkStart w:id="7" w:name="_Toc18154"/>
      <w:r>
        <w:rPr>
          <w:sz w:val="40"/>
          <w:szCs w:val="40"/>
        </w:rPr>
        <w:t>附录</w:t>
      </w:r>
      <w:r>
        <w:rPr>
          <w:rFonts w:hint="eastAsia"/>
          <w:sz w:val="40"/>
          <w:szCs w:val="40"/>
          <w:lang w:val="en-US" w:eastAsia="zh-CN"/>
        </w:rPr>
        <w:t>4</w:t>
      </w:r>
      <w:r>
        <w:rPr>
          <w:sz w:val="40"/>
          <w:szCs w:val="40"/>
          <w:lang w:eastAsia="zh-CN"/>
        </w:rPr>
        <w:t>-</w:t>
      </w:r>
      <w:r>
        <w:rPr>
          <w:sz w:val="40"/>
          <w:szCs w:val="40"/>
        </w:rPr>
        <w:t xml:space="preserve">B </w:t>
      </w:r>
      <w:bookmarkEnd w:id="1"/>
      <w:bookmarkEnd w:id="2"/>
      <w:bookmarkEnd w:id="3"/>
      <w:bookmarkEnd w:id="4"/>
      <w:r>
        <w:rPr>
          <w:rFonts w:hint="eastAsia"/>
          <w:sz w:val="40"/>
          <w:szCs w:val="40"/>
        </w:rPr>
        <w:t>市政工程施工</w:t>
      </w:r>
      <w:r>
        <w:rPr>
          <w:sz w:val="40"/>
          <w:szCs w:val="40"/>
        </w:rPr>
        <w:t>安全分项检查评分表</w:t>
      </w:r>
      <w:bookmarkEnd w:id="5"/>
      <w:bookmarkEnd w:id="6"/>
      <w:bookmarkEnd w:id="7"/>
    </w:p>
    <w:p w14:paraId="7D5799F9">
      <w:pPr>
        <w:pStyle w:val="5"/>
      </w:pPr>
      <w:bookmarkStart w:id="8" w:name="_Toc23752"/>
      <w:bookmarkStart w:id="9" w:name="_Toc29835"/>
      <w:bookmarkStart w:id="10" w:name="_Toc7304"/>
      <w:r>
        <w:rPr>
          <w:rFonts w:hint="eastAsia"/>
        </w:rPr>
        <w:t>表B.1  安全管理检查</w:t>
      </w:r>
      <w:r>
        <w:t>评分表</w:t>
      </w:r>
      <w:bookmarkEnd w:id="8"/>
      <w:bookmarkEnd w:id="9"/>
      <w:bookmarkEnd w:id="10"/>
    </w:p>
    <w:tbl>
      <w:tblPr>
        <w:tblStyle w:val="19"/>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34189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jc w:val="center"/>
        </w:trPr>
        <w:tc>
          <w:tcPr>
            <w:tcW w:w="539" w:type="dxa"/>
            <w:vAlign w:val="center"/>
          </w:tcPr>
          <w:p w14:paraId="434F79AC">
            <w:pPr>
              <w:pStyle w:val="44"/>
              <w:rPr>
                <w:color w:val="auto"/>
              </w:rPr>
            </w:pPr>
            <w:r>
              <w:rPr>
                <w:rFonts w:hint="eastAsia"/>
                <w:color w:val="auto"/>
              </w:rPr>
              <w:t>序号</w:t>
            </w:r>
          </w:p>
        </w:tc>
        <w:tc>
          <w:tcPr>
            <w:tcW w:w="1441" w:type="dxa"/>
            <w:gridSpan w:val="2"/>
            <w:vAlign w:val="center"/>
          </w:tcPr>
          <w:p w14:paraId="21A121D5">
            <w:pPr>
              <w:pStyle w:val="44"/>
              <w:rPr>
                <w:color w:val="auto"/>
              </w:rPr>
            </w:pPr>
            <w:r>
              <w:rPr>
                <w:rFonts w:hint="eastAsia"/>
                <w:color w:val="auto"/>
              </w:rPr>
              <w:t>检查项目</w:t>
            </w:r>
          </w:p>
        </w:tc>
        <w:tc>
          <w:tcPr>
            <w:tcW w:w="5580" w:type="dxa"/>
            <w:vAlign w:val="center"/>
          </w:tcPr>
          <w:p w14:paraId="525B3218">
            <w:pPr>
              <w:pStyle w:val="44"/>
              <w:rPr>
                <w:color w:val="auto"/>
              </w:rPr>
            </w:pPr>
            <w:r>
              <w:rPr>
                <w:rFonts w:hint="eastAsia"/>
                <w:color w:val="auto"/>
              </w:rPr>
              <w:t>扣 分 标 准</w:t>
            </w:r>
          </w:p>
        </w:tc>
        <w:tc>
          <w:tcPr>
            <w:tcW w:w="720" w:type="dxa"/>
            <w:vAlign w:val="center"/>
          </w:tcPr>
          <w:p w14:paraId="7AB98827">
            <w:pPr>
              <w:pStyle w:val="44"/>
              <w:rPr>
                <w:color w:val="auto"/>
              </w:rPr>
            </w:pPr>
            <w:r>
              <w:rPr>
                <w:rFonts w:hint="eastAsia"/>
                <w:color w:val="auto"/>
              </w:rPr>
              <w:t>应得</w:t>
            </w:r>
          </w:p>
          <w:p w14:paraId="189997D1">
            <w:pPr>
              <w:pStyle w:val="44"/>
              <w:rPr>
                <w:color w:val="auto"/>
              </w:rPr>
            </w:pPr>
            <w:r>
              <w:rPr>
                <w:rFonts w:hint="eastAsia"/>
                <w:color w:val="auto"/>
              </w:rPr>
              <w:t>分数</w:t>
            </w:r>
          </w:p>
        </w:tc>
        <w:tc>
          <w:tcPr>
            <w:tcW w:w="720" w:type="dxa"/>
            <w:vAlign w:val="center"/>
          </w:tcPr>
          <w:p w14:paraId="7E174352">
            <w:pPr>
              <w:pStyle w:val="44"/>
              <w:rPr>
                <w:color w:val="auto"/>
              </w:rPr>
            </w:pPr>
            <w:r>
              <w:rPr>
                <w:rFonts w:hint="eastAsia"/>
                <w:color w:val="auto"/>
              </w:rPr>
              <w:t>扣减</w:t>
            </w:r>
          </w:p>
          <w:p w14:paraId="5D0CE226">
            <w:pPr>
              <w:pStyle w:val="44"/>
              <w:rPr>
                <w:color w:val="auto"/>
              </w:rPr>
            </w:pPr>
            <w:r>
              <w:rPr>
                <w:rFonts w:hint="eastAsia"/>
                <w:color w:val="auto"/>
              </w:rPr>
              <w:t>分数</w:t>
            </w:r>
          </w:p>
        </w:tc>
        <w:tc>
          <w:tcPr>
            <w:tcW w:w="720" w:type="dxa"/>
            <w:vAlign w:val="center"/>
          </w:tcPr>
          <w:p w14:paraId="1B5EF031">
            <w:pPr>
              <w:pStyle w:val="44"/>
              <w:rPr>
                <w:color w:val="auto"/>
              </w:rPr>
            </w:pPr>
            <w:r>
              <w:rPr>
                <w:rFonts w:hint="eastAsia"/>
                <w:color w:val="auto"/>
              </w:rPr>
              <w:t>实得</w:t>
            </w:r>
          </w:p>
          <w:p w14:paraId="0BD7ECB2">
            <w:pPr>
              <w:pStyle w:val="44"/>
              <w:rPr>
                <w:color w:val="auto"/>
              </w:rPr>
            </w:pPr>
            <w:r>
              <w:rPr>
                <w:rFonts w:hint="eastAsia"/>
                <w:color w:val="auto"/>
              </w:rPr>
              <w:t>分数</w:t>
            </w:r>
          </w:p>
        </w:tc>
      </w:tr>
      <w:tr w14:paraId="6E97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7812F68A">
            <w:pPr>
              <w:pStyle w:val="44"/>
              <w:rPr>
                <w:color w:val="auto"/>
              </w:rPr>
            </w:pPr>
            <w:r>
              <w:rPr>
                <w:rFonts w:hint="eastAsia"/>
                <w:color w:val="auto"/>
              </w:rPr>
              <w:t>1</w:t>
            </w:r>
          </w:p>
        </w:tc>
        <w:tc>
          <w:tcPr>
            <w:tcW w:w="543" w:type="dxa"/>
            <w:vMerge w:val="restart"/>
            <w:vAlign w:val="center"/>
          </w:tcPr>
          <w:p w14:paraId="3668BFCE">
            <w:pPr>
              <w:pStyle w:val="44"/>
              <w:rPr>
                <w:color w:val="auto"/>
              </w:rPr>
            </w:pPr>
            <w:r>
              <w:rPr>
                <w:rFonts w:hint="eastAsia"/>
                <w:color w:val="auto"/>
              </w:rPr>
              <w:t>保 证 项 目</w:t>
            </w:r>
          </w:p>
        </w:tc>
        <w:tc>
          <w:tcPr>
            <w:tcW w:w="898" w:type="dxa"/>
            <w:vAlign w:val="center"/>
          </w:tcPr>
          <w:p w14:paraId="40D190EE">
            <w:pPr>
              <w:pStyle w:val="44"/>
              <w:rPr>
                <w:color w:val="auto"/>
              </w:rPr>
            </w:pPr>
            <w:r>
              <w:rPr>
                <w:rFonts w:hint="eastAsia"/>
                <w:color w:val="auto"/>
              </w:rPr>
              <w:t>责任制度与目标管理</w:t>
            </w:r>
          </w:p>
        </w:tc>
        <w:tc>
          <w:tcPr>
            <w:tcW w:w="5580" w:type="dxa"/>
            <w:vAlign w:val="center"/>
          </w:tcPr>
          <w:p w14:paraId="2D1BEB77">
            <w:pPr>
              <w:pStyle w:val="44"/>
              <w:jc w:val="left"/>
              <w:rPr>
                <w:color w:val="auto"/>
              </w:rPr>
            </w:pPr>
            <w:r>
              <w:rPr>
                <w:rFonts w:hint="eastAsia"/>
                <w:color w:val="auto"/>
              </w:rPr>
              <w:t>1）未按标准制定安全生产责任制，扣10分；未经责任人签字确认，扣5分</w:t>
            </w:r>
          </w:p>
          <w:p w14:paraId="57EADCEE">
            <w:pPr>
              <w:pStyle w:val="44"/>
              <w:jc w:val="left"/>
              <w:rPr>
                <w:color w:val="auto"/>
              </w:rPr>
            </w:pPr>
            <w:r>
              <w:rPr>
                <w:rFonts w:hint="eastAsia"/>
                <w:color w:val="auto"/>
              </w:rPr>
              <w:t>2）未制定安全生产管理目标，扣5分；未进行目标分解，扣2-5分</w:t>
            </w:r>
          </w:p>
          <w:p w14:paraId="7D952858">
            <w:pPr>
              <w:pStyle w:val="44"/>
              <w:jc w:val="left"/>
              <w:rPr>
                <w:color w:val="auto"/>
              </w:rPr>
            </w:pPr>
            <w:r>
              <w:rPr>
                <w:rFonts w:hint="eastAsia"/>
                <w:color w:val="auto"/>
              </w:rPr>
              <w:t>3）未制定安全生产资金保障制度，扣5分；未编制安全资金使用计划，扣5分</w:t>
            </w:r>
          </w:p>
          <w:p w14:paraId="44C75418">
            <w:pPr>
              <w:pStyle w:val="44"/>
              <w:jc w:val="left"/>
              <w:rPr>
                <w:color w:val="auto"/>
              </w:rPr>
            </w:pPr>
            <w:r>
              <w:rPr>
                <w:rFonts w:hint="eastAsia"/>
                <w:color w:val="auto"/>
              </w:rPr>
              <w:t>4）未建立安全生产责任制和目标考核制度，扣5分；未对项目管理人员定期进行考核，扣2-5分</w:t>
            </w:r>
          </w:p>
          <w:p w14:paraId="0136A4D3">
            <w:pPr>
              <w:pStyle w:val="44"/>
              <w:jc w:val="left"/>
              <w:rPr>
                <w:color w:val="auto"/>
              </w:rPr>
            </w:pPr>
            <w:r>
              <w:rPr>
                <w:rFonts w:hint="eastAsia"/>
                <w:color w:val="auto"/>
              </w:rPr>
              <w:t>5）未按规定使用安全文明措施费，扣10分，未建立费用登记台账，扣5分</w:t>
            </w:r>
          </w:p>
        </w:tc>
        <w:tc>
          <w:tcPr>
            <w:tcW w:w="720" w:type="dxa"/>
            <w:vAlign w:val="center"/>
          </w:tcPr>
          <w:p w14:paraId="2469D11F">
            <w:pPr>
              <w:pStyle w:val="44"/>
              <w:rPr>
                <w:color w:val="auto"/>
              </w:rPr>
            </w:pPr>
            <w:r>
              <w:rPr>
                <w:rFonts w:hint="eastAsia"/>
                <w:color w:val="auto"/>
              </w:rPr>
              <w:t>10</w:t>
            </w:r>
          </w:p>
        </w:tc>
        <w:tc>
          <w:tcPr>
            <w:tcW w:w="720" w:type="dxa"/>
            <w:vAlign w:val="center"/>
          </w:tcPr>
          <w:p w14:paraId="3D977923">
            <w:pPr>
              <w:pStyle w:val="44"/>
              <w:rPr>
                <w:color w:val="auto"/>
              </w:rPr>
            </w:pPr>
          </w:p>
        </w:tc>
        <w:tc>
          <w:tcPr>
            <w:tcW w:w="720" w:type="dxa"/>
            <w:vAlign w:val="center"/>
          </w:tcPr>
          <w:p w14:paraId="65FA3031">
            <w:pPr>
              <w:pStyle w:val="44"/>
              <w:rPr>
                <w:color w:val="auto"/>
              </w:rPr>
            </w:pPr>
          </w:p>
        </w:tc>
      </w:tr>
      <w:tr w14:paraId="6D9F5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4E1B2D08">
            <w:pPr>
              <w:pStyle w:val="44"/>
              <w:rPr>
                <w:color w:val="auto"/>
              </w:rPr>
            </w:pPr>
            <w:r>
              <w:rPr>
                <w:rFonts w:hint="eastAsia"/>
                <w:color w:val="auto"/>
              </w:rPr>
              <w:t>2</w:t>
            </w:r>
          </w:p>
        </w:tc>
        <w:tc>
          <w:tcPr>
            <w:tcW w:w="543" w:type="dxa"/>
            <w:vMerge w:val="continue"/>
          </w:tcPr>
          <w:p w14:paraId="3535EF84">
            <w:pPr>
              <w:pStyle w:val="44"/>
              <w:rPr>
                <w:color w:val="auto"/>
              </w:rPr>
            </w:pPr>
          </w:p>
        </w:tc>
        <w:tc>
          <w:tcPr>
            <w:tcW w:w="898" w:type="dxa"/>
            <w:vAlign w:val="center"/>
          </w:tcPr>
          <w:p w14:paraId="5706436C">
            <w:pPr>
              <w:pStyle w:val="44"/>
              <w:rPr>
                <w:color w:val="auto"/>
              </w:rPr>
            </w:pPr>
            <w:r>
              <w:rPr>
                <w:rFonts w:hint="eastAsia"/>
                <w:color w:val="auto"/>
              </w:rPr>
              <w:t>施工组织设计及专项施工方案</w:t>
            </w:r>
          </w:p>
        </w:tc>
        <w:tc>
          <w:tcPr>
            <w:tcW w:w="5580" w:type="dxa"/>
            <w:vAlign w:val="center"/>
          </w:tcPr>
          <w:p w14:paraId="6CA07A0F">
            <w:pPr>
              <w:pStyle w:val="44"/>
              <w:jc w:val="left"/>
              <w:rPr>
                <w:color w:val="auto"/>
              </w:rPr>
            </w:pPr>
            <w:r>
              <w:rPr>
                <w:rFonts w:hint="eastAsia"/>
                <w:color w:val="auto"/>
              </w:rPr>
              <w:t>1）未编制施工组织设计，扣10分；</w:t>
            </w:r>
          </w:p>
          <w:p w14:paraId="4D08DA5D">
            <w:pPr>
              <w:pStyle w:val="44"/>
              <w:jc w:val="left"/>
              <w:rPr>
                <w:color w:val="auto"/>
              </w:rPr>
            </w:pPr>
            <w:r>
              <w:rPr>
                <w:rFonts w:hint="eastAsia"/>
                <w:color w:val="auto"/>
              </w:rPr>
              <w:t>2）未制定安全技术措施，扣10分</w:t>
            </w:r>
          </w:p>
          <w:p w14:paraId="4C5DE452">
            <w:pPr>
              <w:pStyle w:val="44"/>
              <w:jc w:val="left"/>
              <w:rPr>
                <w:color w:val="auto"/>
              </w:rPr>
            </w:pPr>
            <w:r>
              <w:rPr>
                <w:rFonts w:hint="eastAsia"/>
                <w:color w:val="auto"/>
              </w:rPr>
              <w:t>3）危险性较大的分部分项工程未编制安全专项施工方案或未按规定进行设计计算，扣10分</w:t>
            </w:r>
          </w:p>
          <w:p w14:paraId="24DB8F94">
            <w:pPr>
              <w:pStyle w:val="44"/>
              <w:jc w:val="left"/>
              <w:rPr>
                <w:color w:val="auto"/>
              </w:rPr>
            </w:pPr>
            <w:r>
              <w:rPr>
                <w:rFonts w:hint="eastAsia"/>
                <w:color w:val="auto"/>
              </w:rPr>
              <w:t>4）安全技术措施、安全专项施工方案无针对性，扣2-8分</w:t>
            </w:r>
          </w:p>
          <w:p w14:paraId="61B91431">
            <w:pPr>
              <w:pStyle w:val="44"/>
              <w:jc w:val="left"/>
              <w:rPr>
                <w:color w:val="auto"/>
              </w:rPr>
            </w:pPr>
            <w:r>
              <w:rPr>
                <w:rFonts w:hint="eastAsia"/>
                <w:color w:val="auto"/>
              </w:rPr>
              <w:t>5）未按规定对超过一定规模危险性较大的分部分项工程专项施工方案进行专家论证，扣10分</w:t>
            </w:r>
          </w:p>
          <w:p w14:paraId="6C263140">
            <w:pPr>
              <w:pStyle w:val="44"/>
              <w:jc w:val="left"/>
              <w:rPr>
                <w:color w:val="auto"/>
              </w:rPr>
            </w:pPr>
            <w:r>
              <w:rPr>
                <w:rFonts w:hint="eastAsia"/>
                <w:color w:val="auto"/>
              </w:rPr>
              <w:t>6）施工组织设计及专项施工方案未按规定进行审核、审批，扣10分</w:t>
            </w:r>
          </w:p>
        </w:tc>
        <w:tc>
          <w:tcPr>
            <w:tcW w:w="720" w:type="dxa"/>
            <w:vAlign w:val="center"/>
          </w:tcPr>
          <w:p w14:paraId="2A33E1D2">
            <w:pPr>
              <w:pStyle w:val="44"/>
              <w:rPr>
                <w:color w:val="auto"/>
              </w:rPr>
            </w:pPr>
            <w:r>
              <w:rPr>
                <w:rFonts w:hint="eastAsia"/>
                <w:color w:val="auto"/>
              </w:rPr>
              <w:t>10</w:t>
            </w:r>
          </w:p>
        </w:tc>
        <w:tc>
          <w:tcPr>
            <w:tcW w:w="720" w:type="dxa"/>
            <w:vAlign w:val="center"/>
          </w:tcPr>
          <w:p w14:paraId="634ED35F">
            <w:pPr>
              <w:pStyle w:val="44"/>
              <w:rPr>
                <w:color w:val="auto"/>
              </w:rPr>
            </w:pPr>
          </w:p>
        </w:tc>
        <w:tc>
          <w:tcPr>
            <w:tcW w:w="720" w:type="dxa"/>
            <w:vAlign w:val="center"/>
          </w:tcPr>
          <w:p w14:paraId="2C7B764B">
            <w:pPr>
              <w:pStyle w:val="44"/>
              <w:rPr>
                <w:color w:val="auto"/>
              </w:rPr>
            </w:pPr>
          </w:p>
        </w:tc>
      </w:tr>
      <w:tr w14:paraId="6F6DE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5BB0AFD">
            <w:pPr>
              <w:pStyle w:val="44"/>
              <w:rPr>
                <w:color w:val="auto"/>
              </w:rPr>
            </w:pPr>
            <w:r>
              <w:rPr>
                <w:rFonts w:hint="eastAsia"/>
                <w:color w:val="auto"/>
              </w:rPr>
              <w:t>3</w:t>
            </w:r>
          </w:p>
        </w:tc>
        <w:tc>
          <w:tcPr>
            <w:tcW w:w="543" w:type="dxa"/>
            <w:vMerge w:val="continue"/>
          </w:tcPr>
          <w:p w14:paraId="01E3D3E6">
            <w:pPr>
              <w:pStyle w:val="44"/>
              <w:rPr>
                <w:color w:val="auto"/>
              </w:rPr>
            </w:pPr>
          </w:p>
        </w:tc>
        <w:tc>
          <w:tcPr>
            <w:tcW w:w="898" w:type="dxa"/>
            <w:vAlign w:val="center"/>
          </w:tcPr>
          <w:p w14:paraId="307EE921">
            <w:pPr>
              <w:pStyle w:val="44"/>
              <w:rPr>
                <w:color w:val="auto"/>
              </w:rPr>
            </w:pPr>
            <w:r>
              <w:rPr>
                <w:rFonts w:hint="eastAsia"/>
                <w:color w:val="auto"/>
              </w:rPr>
              <w:t>单位资质与人员配备</w:t>
            </w:r>
          </w:p>
        </w:tc>
        <w:tc>
          <w:tcPr>
            <w:tcW w:w="5580" w:type="dxa"/>
            <w:vAlign w:val="center"/>
          </w:tcPr>
          <w:p w14:paraId="1FAD1E6E">
            <w:pPr>
              <w:pStyle w:val="44"/>
              <w:jc w:val="left"/>
              <w:rPr>
                <w:color w:val="auto"/>
              </w:rPr>
            </w:pPr>
            <w:r>
              <w:rPr>
                <w:rFonts w:hint="eastAsia"/>
                <w:color w:val="auto"/>
              </w:rPr>
              <w:t>1）施工单位未取得安全生产许可证，扣10分</w:t>
            </w:r>
          </w:p>
          <w:p w14:paraId="06D88D6E">
            <w:pPr>
              <w:pStyle w:val="44"/>
              <w:jc w:val="left"/>
              <w:rPr>
                <w:color w:val="auto"/>
              </w:rPr>
            </w:pPr>
            <w:r>
              <w:rPr>
                <w:rFonts w:hint="eastAsia"/>
                <w:color w:val="auto"/>
              </w:rPr>
              <w:t>2）未设置项目安全生产领导小组或项目安全专职管理机构，扣5分</w:t>
            </w:r>
          </w:p>
          <w:p w14:paraId="39593179">
            <w:pPr>
              <w:pStyle w:val="44"/>
              <w:jc w:val="left"/>
              <w:rPr>
                <w:color w:val="auto"/>
              </w:rPr>
            </w:pPr>
            <w:r>
              <w:rPr>
                <w:rFonts w:hint="eastAsia"/>
                <w:color w:val="auto"/>
              </w:rPr>
              <w:t>3）项目经理部主要管理人员未与施工单位签订劳动合同或无社会养老保险关系，扣5分</w:t>
            </w:r>
          </w:p>
          <w:p w14:paraId="30EDDBD4">
            <w:pPr>
              <w:pStyle w:val="44"/>
              <w:jc w:val="left"/>
              <w:rPr>
                <w:color w:val="auto"/>
              </w:rPr>
            </w:pPr>
            <w:r>
              <w:rPr>
                <w:rFonts w:hint="eastAsia"/>
                <w:color w:val="auto"/>
              </w:rPr>
              <w:t>4）未按规定配备专职安全生产管理人员，扣5分</w:t>
            </w:r>
          </w:p>
          <w:p w14:paraId="1F14C9D8">
            <w:pPr>
              <w:pStyle w:val="44"/>
              <w:jc w:val="left"/>
              <w:rPr>
                <w:color w:val="auto"/>
              </w:rPr>
            </w:pPr>
            <w:r>
              <w:rPr>
                <w:rFonts w:hint="eastAsia"/>
                <w:color w:val="auto"/>
              </w:rPr>
              <w:t>5）项目经理和专职安全生产管理人员无相应执业资格，扣5分</w:t>
            </w:r>
          </w:p>
          <w:p w14:paraId="2CD0C2CE">
            <w:pPr>
              <w:pStyle w:val="44"/>
              <w:jc w:val="left"/>
              <w:rPr>
                <w:color w:val="auto"/>
              </w:rPr>
            </w:pPr>
            <w:r>
              <w:rPr>
                <w:rFonts w:hint="eastAsia"/>
                <w:color w:val="auto"/>
              </w:rPr>
              <w:t>6）项目经理和专职安全生产管理人员同时在两个或两个以上工程项目上担任职务，扣5分</w:t>
            </w:r>
          </w:p>
          <w:p w14:paraId="5419F45D">
            <w:pPr>
              <w:pStyle w:val="44"/>
              <w:jc w:val="left"/>
              <w:rPr>
                <w:color w:val="auto"/>
              </w:rPr>
            </w:pPr>
            <w:r>
              <w:rPr>
                <w:rFonts w:hint="eastAsia"/>
                <w:color w:val="auto"/>
              </w:rPr>
              <w:t>7）特种作业人员无特种作业资格证，扣10分</w:t>
            </w:r>
          </w:p>
        </w:tc>
        <w:tc>
          <w:tcPr>
            <w:tcW w:w="720" w:type="dxa"/>
            <w:vAlign w:val="center"/>
          </w:tcPr>
          <w:p w14:paraId="71B730C1">
            <w:pPr>
              <w:pStyle w:val="44"/>
              <w:rPr>
                <w:color w:val="auto"/>
              </w:rPr>
            </w:pPr>
            <w:r>
              <w:rPr>
                <w:rFonts w:hint="eastAsia"/>
                <w:color w:val="auto"/>
              </w:rPr>
              <w:t>10</w:t>
            </w:r>
          </w:p>
        </w:tc>
        <w:tc>
          <w:tcPr>
            <w:tcW w:w="720" w:type="dxa"/>
            <w:vAlign w:val="center"/>
          </w:tcPr>
          <w:p w14:paraId="71DF6A69">
            <w:pPr>
              <w:pStyle w:val="44"/>
              <w:rPr>
                <w:color w:val="auto"/>
              </w:rPr>
            </w:pPr>
          </w:p>
        </w:tc>
        <w:tc>
          <w:tcPr>
            <w:tcW w:w="720" w:type="dxa"/>
            <w:vAlign w:val="center"/>
          </w:tcPr>
          <w:p w14:paraId="0CF41F61">
            <w:pPr>
              <w:pStyle w:val="44"/>
              <w:rPr>
                <w:color w:val="auto"/>
              </w:rPr>
            </w:pPr>
          </w:p>
        </w:tc>
      </w:tr>
      <w:tr w14:paraId="701BD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673570E">
            <w:pPr>
              <w:pStyle w:val="44"/>
              <w:rPr>
                <w:color w:val="auto"/>
              </w:rPr>
            </w:pPr>
            <w:r>
              <w:rPr>
                <w:rFonts w:hint="eastAsia"/>
                <w:color w:val="auto"/>
              </w:rPr>
              <w:t>4</w:t>
            </w:r>
          </w:p>
        </w:tc>
        <w:tc>
          <w:tcPr>
            <w:tcW w:w="543" w:type="dxa"/>
            <w:vMerge w:val="continue"/>
          </w:tcPr>
          <w:p w14:paraId="2DA86EF8">
            <w:pPr>
              <w:pStyle w:val="44"/>
              <w:rPr>
                <w:color w:val="auto"/>
              </w:rPr>
            </w:pPr>
          </w:p>
        </w:tc>
        <w:tc>
          <w:tcPr>
            <w:tcW w:w="898" w:type="dxa"/>
            <w:vAlign w:val="center"/>
          </w:tcPr>
          <w:p w14:paraId="5BEFDF9D">
            <w:pPr>
              <w:pStyle w:val="44"/>
              <w:rPr>
                <w:color w:val="auto"/>
              </w:rPr>
            </w:pPr>
            <w:r>
              <w:rPr>
                <w:rFonts w:hint="eastAsia"/>
                <w:color w:val="auto"/>
              </w:rPr>
              <w:t>安全技术交底</w:t>
            </w:r>
          </w:p>
        </w:tc>
        <w:tc>
          <w:tcPr>
            <w:tcW w:w="5580" w:type="dxa"/>
            <w:vAlign w:val="center"/>
          </w:tcPr>
          <w:p w14:paraId="6E582319">
            <w:pPr>
              <w:pStyle w:val="44"/>
              <w:jc w:val="left"/>
              <w:rPr>
                <w:color w:val="auto"/>
              </w:rPr>
            </w:pPr>
            <w:r>
              <w:rPr>
                <w:rFonts w:hint="eastAsia"/>
                <w:color w:val="auto"/>
              </w:rPr>
              <w:t>1）未按规定进行安全技术交底，扣10分，交底未履行签字手续，扣5分</w:t>
            </w:r>
          </w:p>
          <w:p w14:paraId="4994BA05">
            <w:pPr>
              <w:pStyle w:val="44"/>
              <w:jc w:val="left"/>
              <w:rPr>
                <w:color w:val="auto"/>
              </w:rPr>
            </w:pPr>
            <w:r>
              <w:rPr>
                <w:rFonts w:hint="eastAsia"/>
                <w:color w:val="auto"/>
              </w:rPr>
              <w:t>2）未制定各工种安全技术操作规程，扣5分，未将操作规程挂设在作业场所显著位置，扣3分</w:t>
            </w:r>
          </w:p>
          <w:p w14:paraId="00C77584">
            <w:pPr>
              <w:pStyle w:val="44"/>
              <w:jc w:val="left"/>
              <w:rPr>
                <w:color w:val="auto"/>
              </w:rPr>
            </w:pPr>
            <w:r>
              <w:rPr>
                <w:rFonts w:hint="eastAsia"/>
                <w:color w:val="auto"/>
              </w:rPr>
              <w:t>3）未结合施工现场情况及作业特点对危险因素、施工方案、标准、操作规程及应急措施进行技术交底，扣2-8分</w:t>
            </w:r>
          </w:p>
          <w:p w14:paraId="123A93EF">
            <w:pPr>
              <w:pStyle w:val="44"/>
              <w:jc w:val="left"/>
              <w:rPr>
                <w:color w:val="auto"/>
              </w:rPr>
            </w:pPr>
            <w:r>
              <w:rPr>
                <w:rFonts w:hint="eastAsia"/>
                <w:color w:val="auto"/>
              </w:rPr>
              <w:t>4）未按施工工序、施工部位及施工环境等因素分部分项进行安全技术交底，扣2-8分</w:t>
            </w:r>
          </w:p>
        </w:tc>
        <w:tc>
          <w:tcPr>
            <w:tcW w:w="720" w:type="dxa"/>
            <w:vAlign w:val="center"/>
          </w:tcPr>
          <w:p w14:paraId="3A4DD465">
            <w:pPr>
              <w:pStyle w:val="44"/>
              <w:rPr>
                <w:color w:val="auto"/>
              </w:rPr>
            </w:pPr>
            <w:r>
              <w:rPr>
                <w:rFonts w:hint="eastAsia"/>
                <w:color w:val="auto"/>
              </w:rPr>
              <w:t>10</w:t>
            </w:r>
          </w:p>
        </w:tc>
        <w:tc>
          <w:tcPr>
            <w:tcW w:w="720" w:type="dxa"/>
            <w:vAlign w:val="center"/>
          </w:tcPr>
          <w:p w14:paraId="10D675C7">
            <w:pPr>
              <w:pStyle w:val="44"/>
              <w:rPr>
                <w:color w:val="auto"/>
              </w:rPr>
            </w:pPr>
          </w:p>
        </w:tc>
        <w:tc>
          <w:tcPr>
            <w:tcW w:w="720" w:type="dxa"/>
            <w:vAlign w:val="center"/>
          </w:tcPr>
          <w:p w14:paraId="6E041B98">
            <w:pPr>
              <w:pStyle w:val="44"/>
              <w:rPr>
                <w:color w:val="auto"/>
              </w:rPr>
            </w:pPr>
          </w:p>
        </w:tc>
      </w:tr>
      <w:tr w14:paraId="0BD4A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6FFD7A36">
            <w:pPr>
              <w:pStyle w:val="44"/>
              <w:rPr>
                <w:color w:val="auto"/>
              </w:rPr>
            </w:pPr>
            <w:r>
              <w:rPr>
                <w:rFonts w:hint="eastAsia"/>
                <w:color w:val="auto"/>
              </w:rPr>
              <w:t>5</w:t>
            </w:r>
          </w:p>
        </w:tc>
        <w:tc>
          <w:tcPr>
            <w:tcW w:w="543" w:type="dxa"/>
            <w:vMerge w:val="continue"/>
          </w:tcPr>
          <w:p w14:paraId="66DED950">
            <w:pPr>
              <w:pStyle w:val="44"/>
              <w:rPr>
                <w:color w:val="auto"/>
              </w:rPr>
            </w:pPr>
          </w:p>
        </w:tc>
        <w:tc>
          <w:tcPr>
            <w:tcW w:w="898" w:type="dxa"/>
            <w:vAlign w:val="center"/>
          </w:tcPr>
          <w:p w14:paraId="732142E5">
            <w:pPr>
              <w:pStyle w:val="44"/>
              <w:rPr>
                <w:color w:val="auto"/>
              </w:rPr>
            </w:pPr>
            <w:r>
              <w:rPr>
                <w:rFonts w:hint="eastAsia"/>
                <w:color w:val="auto"/>
              </w:rPr>
              <w:t>安全教育与班前活动</w:t>
            </w:r>
          </w:p>
        </w:tc>
        <w:tc>
          <w:tcPr>
            <w:tcW w:w="5580" w:type="dxa"/>
            <w:vAlign w:val="center"/>
          </w:tcPr>
          <w:p w14:paraId="21829E79">
            <w:pPr>
              <w:pStyle w:val="44"/>
              <w:jc w:val="left"/>
              <w:rPr>
                <w:color w:val="auto"/>
              </w:rPr>
            </w:pPr>
            <w:r>
              <w:rPr>
                <w:rFonts w:hint="eastAsia"/>
                <w:color w:val="auto"/>
              </w:rPr>
              <w:t>1）未按规定建立安全教育培训制度，扣10分</w:t>
            </w:r>
          </w:p>
          <w:p w14:paraId="5F43281C">
            <w:pPr>
              <w:pStyle w:val="44"/>
              <w:jc w:val="left"/>
              <w:rPr>
                <w:color w:val="auto"/>
              </w:rPr>
            </w:pPr>
            <w:r>
              <w:rPr>
                <w:rFonts w:hint="eastAsia"/>
                <w:color w:val="auto"/>
              </w:rPr>
              <w:t>2）采用新技术、新工艺、新设备、新材料技术施工时，未按规定进行安全教育培训，扣5分</w:t>
            </w:r>
          </w:p>
          <w:p w14:paraId="29B385BB">
            <w:pPr>
              <w:pStyle w:val="44"/>
              <w:jc w:val="left"/>
              <w:rPr>
                <w:color w:val="auto"/>
              </w:rPr>
            </w:pPr>
            <w:r>
              <w:rPr>
                <w:rFonts w:hint="eastAsia"/>
                <w:color w:val="auto"/>
              </w:rPr>
              <w:t>3）企业待岗、转岗、换岗的作业人员在重新上岗前未进行安全教育培训，扣5分</w:t>
            </w:r>
          </w:p>
          <w:p w14:paraId="581CBF50">
            <w:pPr>
              <w:pStyle w:val="44"/>
              <w:jc w:val="left"/>
              <w:rPr>
                <w:color w:val="auto"/>
              </w:rPr>
            </w:pPr>
            <w:r>
              <w:rPr>
                <w:rFonts w:hint="eastAsia"/>
                <w:color w:val="auto"/>
              </w:rPr>
              <w:t>4）施工人员入场时未按规定进行三级安全教育培训和考核，扣5分</w:t>
            </w:r>
          </w:p>
          <w:p w14:paraId="0BF1197F">
            <w:pPr>
              <w:pStyle w:val="44"/>
              <w:jc w:val="left"/>
              <w:rPr>
                <w:color w:val="auto"/>
              </w:rPr>
            </w:pPr>
            <w:r>
              <w:rPr>
                <w:rFonts w:hint="eastAsia"/>
                <w:color w:val="auto"/>
              </w:rPr>
              <w:t>5）每年度进行安全教育培训次数不符合规定，扣5分</w:t>
            </w:r>
          </w:p>
          <w:p w14:paraId="4208AD7B">
            <w:pPr>
              <w:pStyle w:val="44"/>
              <w:jc w:val="left"/>
              <w:rPr>
                <w:color w:val="auto"/>
              </w:rPr>
            </w:pPr>
            <w:r>
              <w:rPr>
                <w:rFonts w:hint="eastAsia"/>
                <w:color w:val="auto"/>
              </w:rPr>
              <w:t>6）未建立班前安全活动制度，扣5分，无安全活动记录，扣3分</w:t>
            </w:r>
          </w:p>
        </w:tc>
        <w:tc>
          <w:tcPr>
            <w:tcW w:w="720" w:type="dxa"/>
            <w:vAlign w:val="center"/>
          </w:tcPr>
          <w:p w14:paraId="1C3976FB">
            <w:pPr>
              <w:pStyle w:val="44"/>
              <w:rPr>
                <w:color w:val="auto"/>
              </w:rPr>
            </w:pPr>
            <w:r>
              <w:rPr>
                <w:rFonts w:hint="eastAsia"/>
                <w:color w:val="auto"/>
              </w:rPr>
              <w:t>10</w:t>
            </w:r>
          </w:p>
        </w:tc>
        <w:tc>
          <w:tcPr>
            <w:tcW w:w="720" w:type="dxa"/>
            <w:vAlign w:val="center"/>
          </w:tcPr>
          <w:p w14:paraId="22BFC31D">
            <w:pPr>
              <w:pStyle w:val="44"/>
              <w:rPr>
                <w:color w:val="auto"/>
              </w:rPr>
            </w:pPr>
          </w:p>
        </w:tc>
        <w:tc>
          <w:tcPr>
            <w:tcW w:w="720" w:type="dxa"/>
            <w:vAlign w:val="center"/>
          </w:tcPr>
          <w:p w14:paraId="50FA01FF">
            <w:pPr>
              <w:pStyle w:val="44"/>
              <w:rPr>
                <w:color w:val="auto"/>
              </w:rPr>
            </w:pPr>
          </w:p>
        </w:tc>
      </w:tr>
      <w:tr w14:paraId="1DFAF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3B131ABF">
            <w:pPr>
              <w:pStyle w:val="44"/>
              <w:rPr>
                <w:color w:val="auto"/>
              </w:rPr>
            </w:pPr>
            <w:r>
              <w:rPr>
                <w:rFonts w:hint="eastAsia"/>
                <w:color w:val="auto"/>
              </w:rPr>
              <w:t>6</w:t>
            </w:r>
          </w:p>
        </w:tc>
        <w:tc>
          <w:tcPr>
            <w:tcW w:w="543" w:type="dxa"/>
            <w:vMerge w:val="continue"/>
            <w:vAlign w:val="center"/>
          </w:tcPr>
          <w:p w14:paraId="4C361AFA">
            <w:pPr>
              <w:pStyle w:val="44"/>
              <w:rPr>
                <w:color w:val="auto"/>
              </w:rPr>
            </w:pPr>
          </w:p>
        </w:tc>
        <w:tc>
          <w:tcPr>
            <w:tcW w:w="898" w:type="dxa"/>
            <w:vAlign w:val="center"/>
          </w:tcPr>
          <w:p w14:paraId="50FAFBC3">
            <w:pPr>
              <w:pStyle w:val="44"/>
              <w:rPr>
                <w:color w:val="auto"/>
              </w:rPr>
            </w:pPr>
            <w:r>
              <w:rPr>
                <w:rFonts w:hint="eastAsia"/>
                <w:color w:val="auto"/>
              </w:rPr>
              <w:t>应急管理</w:t>
            </w:r>
          </w:p>
        </w:tc>
        <w:tc>
          <w:tcPr>
            <w:tcW w:w="5580" w:type="dxa"/>
            <w:vAlign w:val="center"/>
          </w:tcPr>
          <w:p w14:paraId="1B24A19B">
            <w:pPr>
              <w:pStyle w:val="44"/>
              <w:jc w:val="left"/>
              <w:rPr>
                <w:color w:val="auto"/>
              </w:rPr>
            </w:pPr>
            <w:r>
              <w:rPr>
                <w:rFonts w:hint="eastAsia"/>
                <w:color w:val="auto"/>
              </w:rPr>
              <w:t>1）未进行重大危险源的辨识，扣10分，无文字记录，扣5分</w:t>
            </w:r>
          </w:p>
          <w:p w14:paraId="69986E0D">
            <w:pPr>
              <w:pStyle w:val="44"/>
              <w:jc w:val="left"/>
              <w:rPr>
                <w:color w:val="auto"/>
              </w:rPr>
            </w:pPr>
            <w:r>
              <w:rPr>
                <w:rFonts w:hint="eastAsia"/>
                <w:color w:val="auto"/>
              </w:rPr>
              <w:t>2）未制定安全生产事故综合应急预案、专项应急预案和现场处置方案，扣10分</w:t>
            </w:r>
          </w:p>
          <w:p w14:paraId="2C006799">
            <w:pPr>
              <w:pStyle w:val="44"/>
              <w:jc w:val="left"/>
              <w:rPr>
                <w:color w:val="auto"/>
              </w:rPr>
            </w:pPr>
            <w:r>
              <w:rPr>
                <w:rFonts w:hint="eastAsia"/>
                <w:color w:val="auto"/>
              </w:rPr>
              <w:t>3）应急预案不全面、无针对性，扣2-8分</w:t>
            </w:r>
          </w:p>
          <w:p w14:paraId="32522407">
            <w:pPr>
              <w:pStyle w:val="44"/>
              <w:jc w:val="left"/>
              <w:rPr>
                <w:color w:val="auto"/>
              </w:rPr>
            </w:pPr>
            <w:r>
              <w:rPr>
                <w:rFonts w:hint="eastAsia"/>
                <w:color w:val="auto"/>
              </w:rPr>
              <w:t>4）未定期组织员工进行应急救援演练，扣5分</w:t>
            </w:r>
          </w:p>
          <w:p w14:paraId="6DD7EE14">
            <w:pPr>
              <w:pStyle w:val="44"/>
              <w:jc w:val="left"/>
              <w:rPr>
                <w:color w:val="auto"/>
              </w:rPr>
            </w:pPr>
            <w:r>
              <w:rPr>
                <w:rFonts w:hint="eastAsia"/>
                <w:color w:val="auto"/>
              </w:rPr>
              <w:t>5）未按救援预案要求配备应急救援物资、器材及设备，扣5-10分</w:t>
            </w:r>
          </w:p>
        </w:tc>
        <w:tc>
          <w:tcPr>
            <w:tcW w:w="720" w:type="dxa"/>
            <w:vAlign w:val="center"/>
          </w:tcPr>
          <w:p w14:paraId="6E3094B5">
            <w:pPr>
              <w:pStyle w:val="44"/>
              <w:rPr>
                <w:color w:val="auto"/>
              </w:rPr>
            </w:pPr>
            <w:r>
              <w:rPr>
                <w:rFonts w:hint="eastAsia"/>
                <w:color w:val="auto"/>
              </w:rPr>
              <w:t>10</w:t>
            </w:r>
          </w:p>
        </w:tc>
        <w:tc>
          <w:tcPr>
            <w:tcW w:w="720" w:type="dxa"/>
            <w:vAlign w:val="center"/>
          </w:tcPr>
          <w:p w14:paraId="576F0923">
            <w:pPr>
              <w:pStyle w:val="44"/>
              <w:rPr>
                <w:color w:val="auto"/>
              </w:rPr>
            </w:pPr>
          </w:p>
        </w:tc>
        <w:tc>
          <w:tcPr>
            <w:tcW w:w="720" w:type="dxa"/>
            <w:vAlign w:val="center"/>
          </w:tcPr>
          <w:p w14:paraId="1DE9F37F">
            <w:pPr>
              <w:pStyle w:val="44"/>
              <w:rPr>
                <w:color w:val="auto"/>
              </w:rPr>
            </w:pPr>
          </w:p>
        </w:tc>
      </w:tr>
      <w:tr w14:paraId="1A9E5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B092365">
            <w:pPr>
              <w:pStyle w:val="44"/>
              <w:rPr>
                <w:color w:val="auto"/>
              </w:rPr>
            </w:pPr>
            <w:r>
              <w:rPr>
                <w:rFonts w:hint="eastAsia"/>
                <w:color w:val="auto"/>
              </w:rPr>
              <w:t>7</w:t>
            </w:r>
          </w:p>
        </w:tc>
        <w:tc>
          <w:tcPr>
            <w:tcW w:w="543" w:type="dxa"/>
            <w:vMerge w:val="continue"/>
            <w:vAlign w:val="center"/>
          </w:tcPr>
          <w:p w14:paraId="7109E22A">
            <w:pPr>
              <w:pStyle w:val="44"/>
              <w:rPr>
                <w:color w:val="auto"/>
              </w:rPr>
            </w:pPr>
          </w:p>
        </w:tc>
        <w:tc>
          <w:tcPr>
            <w:tcW w:w="898" w:type="dxa"/>
            <w:vAlign w:val="center"/>
          </w:tcPr>
          <w:p w14:paraId="70180597">
            <w:pPr>
              <w:pStyle w:val="44"/>
              <w:rPr>
                <w:color w:val="auto"/>
              </w:rPr>
            </w:pPr>
            <w:r>
              <w:rPr>
                <w:rFonts w:hint="eastAsia"/>
                <w:color w:val="auto"/>
              </w:rPr>
              <w:t>安全检查</w:t>
            </w:r>
          </w:p>
        </w:tc>
        <w:tc>
          <w:tcPr>
            <w:tcW w:w="5580" w:type="dxa"/>
            <w:vAlign w:val="center"/>
          </w:tcPr>
          <w:p w14:paraId="0C2F05A6">
            <w:pPr>
              <w:pStyle w:val="44"/>
              <w:jc w:val="left"/>
              <w:rPr>
                <w:color w:val="auto"/>
              </w:rPr>
            </w:pPr>
            <w:r>
              <w:rPr>
                <w:rFonts w:hint="eastAsia"/>
                <w:color w:val="auto"/>
              </w:rPr>
              <w:t>1）企业负责人或项目经理未按规定进行带班检查或无带班检查记录，扣10分</w:t>
            </w:r>
          </w:p>
          <w:p w14:paraId="28C1D016">
            <w:pPr>
              <w:pStyle w:val="44"/>
              <w:jc w:val="left"/>
              <w:rPr>
                <w:color w:val="auto"/>
              </w:rPr>
            </w:pPr>
            <w:r>
              <w:rPr>
                <w:rFonts w:hint="eastAsia"/>
                <w:color w:val="auto"/>
              </w:rPr>
              <w:t>2）未建立安全检查制度、事故隐患排查治理制度，扣10分</w:t>
            </w:r>
          </w:p>
          <w:p w14:paraId="726A16FD">
            <w:pPr>
              <w:pStyle w:val="44"/>
              <w:jc w:val="left"/>
              <w:rPr>
                <w:color w:val="auto"/>
              </w:rPr>
            </w:pPr>
            <w:r>
              <w:rPr>
                <w:rFonts w:hint="eastAsia"/>
                <w:color w:val="auto"/>
              </w:rPr>
              <w:t>3）未有效开展日常、定期、季节性安全检查和安全专项整治或无检查记录，扣5分</w:t>
            </w:r>
          </w:p>
          <w:p w14:paraId="6092B0BD">
            <w:pPr>
              <w:pStyle w:val="44"/>
              <w:jc w:val="left"/>
              <w:rPr>
                <w:color w:val="auto"/>
              </w:rPr>
            </w:pPr>
            <w:r>
              <w:rPr>
                <w:rFonts w:hint="eastAsia"/>
                <w:color w:val="auto"/>
              </w:rPr>
              <w:t>4）重大事故隐患整改未按期整改和复查，扣5-10分</w:t>
            </w:r>
          </w:p>
          <w:p w14:paraId="5E5F4A3E">
            <w:pPr>
              <w:pStyle w:val="44"/>
              <w:jc w:val="left"/>
              <w:rPr>
                <w:color w:val="auto"/>
              </w:rPr>
            </w:pPr>
            <w:r>
              <w:rPr>
                <w:rFonts w:hint="eastAsia"/>
                <w:color w:val="auto"/>
              </w:rPr>
              <w:t>5）未建立安全检查档案，扣5分</w:t>
            </w:r>
          </w:p>
        </w:tc>
        <w:tc>
          <w:tcPr>
            <w:tcW w:w="720" w:type="dxa"/>
            <w:vAlign w:val="center"/>
          </w:tcPr>
          <w:p w14:paraId="7C971E51">
            <w:pPr>
              <w:pStyle w:val="44"/>
              <w:rPr>
                <w:color w:val="auto"/>
              </w:rPr>
            </w:pPr>
            <w:r>
              <w:rPr>
                <w:rFonts w:hint="eastAsia"/>
                <w:color w:val="auto"/>
              </w:rPr>
              <w:t>10</w:t>
            </w:r>
          </w:p>
        </w:tc>
        <w:tc>
          <w:tcPr>
            <w:tcW w:w="720" w:type="dxa"/>
            <w:vAlign w:val="center"/>
          </w:tcPr>
          <w:p w14:paraId="6A31C1DF">
            <w:pPr>
              <w:pStyle w:val="44"/>
              <w:rPr>
                <w:color w:val="auto"/>
              </w:rPr>
            </w:pPr>
          </w:p>
        </w:tc>
        <w:tc>
          <w:tcPr>
            <w:tcW w:w="720" w:type="dxa"/>
            <w:vAlign w:val="center"/>
          </w:tcPr>
          <w:p w14:paraId="2B14315E">
            <w:pPr>
              <w:pStyle w:val="44"/>
              <w:rPr>
                <w:color w:val="auto"/>
              </w:rPr>
            </w:pPr>
          </w:p>
        </w:tc>
      </w:tr>
      <w:tr w14:paraId="020FA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A40BFDF">
            <w:pPr>
              <w:pStyle w:val="44"/>
              <w:rPr>
                <w:color w:val="auto"/>
              </w:rPr>
            </w:pPr>
          </w:p>
        </w:tc>
        <w:tc>
          <w:tcPr>
            <w:tcW w:w="543" w:type="dxa"/>
            <w:vMerge w:val="continue"/>
          </w:tcPr>
          <w:p w14:paraId="0E17AFF8">
            <w:pPr>
              <w:pStyle w:val="44"/>
              <w:rPr>
                <w:color w:val="auto"/>
              </w:rPr>
            </w:pPr>
          </w:p>
        </w:tc>
        <w:tc>
          <w:tcPr>
            <w:tcW w:w="6478" w:type="dxa"/>
            <w:gridSpan w:val="2"/>
            <w:vAlign w:val="center"/>
          </w:tcPr>
          <w:p w14:paraId="39489104">
            <w:pPr>
              <w:pStyle w:val="44"/>
              <w:rPr>
                <w:b/>
                <w:bCs w:val="0"/>
                <w:color w:val="auto"/>
              </w:rPr>
            </w:pPr>
            <w:r>
              <w:rPr>
                <w:rFonts w:hint="eastAsia"/>
                <w:b/>
                <w:bCs w:val="0"/>
                <w:color w:val="auto"/>
              </w:rPr>
              <w:t>小  计</w:t>
            </w:r>
          </w:p>
        </w:tc>
        <w:tc>
          <w:tcPr>
            <w:tcW w:w="720" w:type="dxa"/>
            <w:vAlign w:val="center"/>
          </w:tcPr>
          <w:p w14:paraId="487AAFF4">
            <w:pPr>
              <w:pStyle w:val="44"/>
              <w:rPr>
                <w:color w:val="auto"/>
              </w:rPr>
            </w:pPr>
            <w:r>
              <w:rPr>
                <w:rFonts w:hint="eastAsia"/>
                <w:color w:val="auto"/>
              </w:rPr>
              <w:t>70</w:t>
            </w:r>
          </w:p>
        </w:tc>
        <w:tc>
          <w:tcPr>
            <w:tcW w:w="720" w:type="dxa"/>
            <w:vAlign w:val="center"/>
          </w:tcPr>
          <w:p w14:paraId="3D6D0310">
            <w:pPr>
              <w:pStyle w:val="44"/>
              <w:rPr>
                <w:color w:val="auto"/>
              </w:rPr>
            </w:pPr>
          </w:p>
        </w:tc>
        <w:tc>
          <w:tcPr>
            <w:tcW w:w="720" w:type="dxa"/>
            <w:vAlign w:val="center"/>
          </w:tcPr>
          <w:p w14:paraId="4FAF204A">
            <w:pPr>
              <w:pStyle w:val="44"/>
              <w:rPr>
                <w:color w:val="auto"/>
              </w:rPr>
            </w:pPr>
          </w:p>
        </w:tc>
      </w:tr>
      <w:tr w14:paraId="7FB32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03B64363">
            <w:pPr>
              <w:pStyle w:val="44"/>
              <w:rPr>
                <w:color w:val="auto"/>
              </w:rPr>
            </w:pPr>
            <w:r>
              <w:rPr>
                <w:rFonts w:hint="eastAsia"/>
                <w:color w:val="auto"/>
              </w:rPr>
              <w:t>1</w:t>
            </w:r>
          </w:p>
        </w:tc>
        <w:tc>
          <w:tcPr>
            <w:tcW w:w="543" w:type="dxa"/>
            <w:vMerge w:val="restart"/>
            <w:vAlign w:val="center"/>
          </w:tcPr>
          <w:p w14:paraId="25271596">
            <w:pPr>
              <w:pStyle w:val="44"/>
              <w:rPr>
                <w:color w:val="auto"/>
              </w:rPr>
            </w:pPr>
            <w:r>
              <w:rPr>
                <w:rFonts w:hint="eastAsia"/>
                <w:color w:val="auto"/>
              </w:rPr>
              <w:t>一</w:t>
            </w:r>
          </w:p>
          <w:p w14:paraId="5F44314C">
            <w:pPr>
              <w:pStyle w:val="44"/>
              <w:rPr>
                <w:color w:val="auto"/>
              </w:rPr>
            </w:pPr>
            <w:r>
              <w:rPr>
                <w:rFonts w:hint="eastAsia"/>
                <w:color w:val="auto"/>
              </w:rPr>
              <w:t>般</w:t>
            </w:r>
          </w:p>
          <w:p w14:paraId="43256D7A">
            <w:pPr>
              <w:pStyle w:val="44"/>
              <w:rPr>
                <w:color w:val="auto"/>
              </w:rPr>
            </w:pPr>
            <w:r>
              <w:rPr>
                <w:rFonts w:hint="eastAsia"/>
                <w:color w:val="auto"/>
              </w:rPr>
              <w:t>项</w:t>
            </w:r>
          </w:p>
          <w:p w14:paraId="53C0008E">
            <w:pPr>
              <w:pStyle w:val="44"/>
              <w:rPr>
                <w:color w:val="auto"/>
              </w:rPr>
            </w:pPr>
            <w:r>
              <w:rPr>
                <w:rFonts w:hint="eastAsia"/>
                <w:color w:val="auto"/>
              </w:rPr>
              <w:t>目</w:t>
            </w:r>
          </w:p>
        </w:tc>
        <w:tc>
          <w:tcPr>
            <w:tcW w:w="898" w:type="dxa"/>
            <w:vAlign w:val="center"/>
          </w:tcPr>
          <w:p w14:paraId="7B065D3A">
            <w:pPr>
              <w:pStyle w:val="44"/>
              <w:rPr>
                <w:color w:val="auto"/>
              </w:rPr>
            </w:pPr>
            <w:r>
              <w:rPr>
                <w:rFonts w:hint="eastAsia"/>
                <w:color w:val="auto"/>
              </w:rPr>
              <w:t>生产安全事故处理</w:t>
            </w:r>
          </w:p>
        </w:tc>
        <w:tc>
          <w:tcPr>
            <w:tcW w:w="5580" w:type="dxa"/>
            <w:vAlign w:val="center"/>
          </w:tcPr>
          <w:p w14:paraId="3B6C246D">
            <w:pPr>
              <w:pStyle w:val="44"/>
              <w:jc w:val="left"/>
              <w:rPr>
                <w:color w:val="auto"/>
              </w:rPr>
            </w:pPr>
            <w:r>
              <w:rPr>
                <w:rFonts w:hint="eastAsia"/>
                <w:color w:val="auto"/>
              </w:rPr>
              <w:t>1）未建立工伤事故报告和调查处理制度，扣10分</w:t>
            </w:r>
          </w:p>
          <w:p w14:paraId="74FFE0DC">
            <w:pPr>
              <w:pStyle w:val="44"/>
              <w:jc w:val="left"/>
              <w:rPr>
                <w:color w:val="auto"/>
              </w:rPr>
            </w:pPr>
            <w:r>
              <w:rPr>
                <w:rFonts w:hint="eastAsia"/>
                <w:color w:val="auto"/>
              </w:rPr>
              <w:t>2）安全事故、险情发生后未及时上报，扣10分</w:t>
            </w:r>
          </w:p>
          <w:p w14:paraId="6E934A24">
            <w:pPr>
              <w:pStyle w:val="44"/>
              <w:jc w:val="left"/>
              <w:rPr>
                <w:color w:val="auto"/>
              </w:rPr>
            </w:pPr>
            <w:r>
              <w:rPr>
                <w:rFonts w:hint="eastAsia"/>
                <w:color w:val="auto"/>
              </w:rPr>
              <w:t>3）未按规定进行调查分析、制定防范措施，扣10分</w:t>
            </w:r>
          </w:p>
          <w:p w14:paraId="78F8CE40">
            <w:pPr>
              <w:pStyle w:val="44"/>
              <w:jc w:val="left"/>
              <w:rPr>
                <w:color w:val="auto"/>
              </w:rPr>
            </w:pPr>
            <w:r>
              <w:rPr>
                <w:rFonts w:hint="eastAsia"/>
                <w:color w:val="auto"/>
              </w:rPr>
              <w:t>4）未建立安全事故档案，扣5分</w:t>
            </w:r>
          </w:p>
          <w:p w14:paraId="6487A36F">
            <w:pPr>
              <w:pStyle w:val="44"/>
              <w:jc w:val="left"/>
              <w:rPr>
                <w:color w:val="auto"/>
              </w:rPr>
            </w:pPr>
            <w:r>
              <w:rPr>
                <w:rFonts w:hint="eastAsia"/>
                <w:color w:val="auto"/>
              </w:rPr>
              <w:t>5）未依法为施工作业人员办理保险，扣5分</w:t>
            </w:r>
          </w:p>
        </w:tc>
        <w:tc>
          <w:tcPr>
            <w:tcW w:w="720" w:type="dxa"/>
            <w:vAlign w:val="center"/>
          </w:tcPr>
          <w:p w14:paraId="34038713">
            <w:pPr>
              <w:pStyle w:val="44"/>
              <w:rPr>
                <w:color w:val="auto"/>
              </w:rPr>
            </w:pPr>
            <w:r>
              <w:rPr>
                <w:rFonts w:hint="eastAsia"/>
                <w:color w:val="auto"/>
              </w:rPr>
              <w:t>10</w:t>
            </w:r>
          </w:p>
        </w:tc>
        <w:tc>
          <w:tcPr>
            <w:tcW w:w="720" w:type="dxa"/>
            <w:vAlign w:val="center"/>
          </w:tcPr>
          <w:p w14:paraId="0D9E6F36">
            <w:pPr>
              <w:pStyle w:val="44"/>
              <w:rPr>
                <w:color w:val="auto"/>
              </w:rPr>
            </w:pPr>
          </w:p>
        </w:tc>
        <w:tc>
          <w:tcPr>
            <w:tcW w:w="720" w:type="dxa"/>
            <w:vAlign w:val="center"/>
          </w:tcPr>
          <w:p w14:paraId="4798EB17">
            <w:pPr>
              <w:pStyle w:val="44"/>
              <w:rPr>
                <w:color w:val="auto"/>
              </w:rPr>
            </w:pPr>
          </w:p>
        </w:tc>
      </w:tr>
      <w:tr w14:paraId="049C6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1384002">
            <w:pPr>
              <w:pStyle w:val="44"/>
              <w:rPr>
                <w:color w:val="auto"/>
              </w:rPr>
            </w:pPr>
            <w:r>
              <w:rPr>
                <w:rFonts w:hint="eastAsia"/>
                <w:color w:val="auto"/>
              </w:rPr>
              <w:t>2</w:t>
            </w:r>
          </w:p>
        </w:tc>
        <w:tc>
          <w:tcPr>
            <w:tcW w:w="543" w:type="dxa"/>
            <w:vMerge w:val="continue"/>
          </w:tcPr>
          <w:p w14:paraId="3FA65E89">
            <w:pPr>
              <w:pStyle w:val="44"/>
              <w:rPr>
                <w:color w:val="auto"/>
              </w:rPr>
            </w:pPr>
          </w:p>
        </w:tc>
        <w:tc>
          <w:tcPr>
            <w:tcW w:w="898" w:type="dxa"/>
            <w:vAlign w:val="center"/>
          </w:tcPr>
          <w:p w14:paraId="7D1615C8">
            <w:pPr>
              <w:pStyle w:val="44"/>
              <w:rPr>
                <w:color w:val="auto"/>
              </w:rPr>
            </w:pPr>
            <w:r>
              <w:rPr>
                <w:rFonts w:hint="eastAsia"/>
                <w:color w:val="auto"/>
              </w:rPr>
              <w:t>分包单位管理</w:t>
            </w:r>
          </w:p>
        </w:tc>
        <w:tc>
          <w:tcPr>
            <w:tcW w:w="5580" w:type="dxa"/>
            <w:vAlign w:val="center"/>
          </w:tcPr>
          <w:p w14:paraId="1AC43040">
            <w:pPr>
              <w:pStyle w:val="44"/>
              <w:jc w:val="left"/>
              <w:rPr>
                <w:color w:val="auto"/>
              </w:rPr>
            </w:pPr>
            <w:r>
              <w:rPr>
                <w:rFonts w:hint="eastAsia"/>
                <w:color w:val="auto"/>
              </w:rPr>
              <w:t>1）分包单位进行资质、安全生产许可证和相关人员安全生产资格不符合要求，扣10分；</w:t>
            </w:r>
          </w:p>
          <w:p w14:paraId="7FB43C4B">
            <w:pPr>
              <w:pStyle w:val="44"/>
              <w:jc w:val="left"/>
              <w:rPr>
                <w:color w:val="auto"/>
              </w:rPr>
            </w:pPr>
            <w:r>
              <w:rPr>
                <w:rFonts w:hint="eastAsia"/>
                <w:color w:val="auto"/>
              </w:rPr>
              <w:t>2）未签订安全生产协议书，扣5分</w:t>
            </w:r>
          </w:p>
          <w:p w14:paraId="4DEB4614">
            <w:pPr>
              <w:pStyle w:val="44"/>
              <w:jc w:val="left"/>
              <w:rPr>
                <w:color w:val="auto"/>
              </w:rPr>
            </w:pPr>
            <w:r>
              <w:rPr>
                <w:rFonts w:hint="eastAsia"/>
                <w:color w:val="auto"/>
              </w:rPr>
              <w:t>3）未按规定建立安全机构或未配备专职安全员，扣5分</w:t>
            </w:r>
          </w:p>
          <w:p w14:paraId="0E71628D">
            <w:pPr>
              <w:pStyle w:val="44"/>
              <w:jc w:val="left"/>
              <w:rPr>
                <w:color w:val="auto"/>
              </w:rPr>
            </w:pPr>
            <w:r>
              <w:rPr>
                <w:rFonts w:hint="eastAsia"/>
                <w:color w:val="auto"/>
              </w:rPr>
              <w:t>4）未对分包队伍开展安全教育或无文字记录，扣5分</w:t>
            </w:r>
          </w:p>
          <w:p w14:paraId="487A5333">
            <w:pPr>
              <w:pStyle w:val="44"/>
              <w:jc w:val="left"/>
              <w:rPr>
                <w:color w:val="auto"/>
              </w:rPr>
            </w:pPr>
            <w:r>
              <w:rPr>
                <w:rFonts w:hint="eastAsia"/>
                <w:color w:val="auto"/>
              </w:rPr>
              <w:t>5）未定期对分包单位开展安全检查或无检查记录，扣5分</w:t>
            </w:r>
          </w:p>
        </w:tc>
        <w:tc>
          <w:tcPr>
            <w:tcW w:w="720" w:type="dxa"/>
            <w:vAlign w:val="center"/>
          </w:tcPr>
          <w:p w14:paraId="7E338338">
            <w:pPr>
              <w:pStyle w:val="44"/>
              <w:rPr>
                <w:color w:val="auto"/>
              </w:rPr>
            </w:pPr>
            <w:r>
              <w:rPr>
                <w:rFonts w:hint="eastAsia"/>
                <w:color w:val="auto"/>
              </w:rPr>
              <w:t>10</w:t>
            </w:r>
          </w:p>
        </w:tc>
        <w:tc>
          <w:tcPr>
            <w:tcW w:w="720" w:type="dxa"/>
            <w:vAlign w:val="center"/>
          </w:tcPr>
          <w:p w14:paraId="2BE5C117">
            <w:pPr>
              <w:pStyle w:val="44"/>
              <w:rPr>
                <w:color w:val="auto"/>
              </w:rPr>
            </w:pPr>
          </w:p>
        </w:tc>
        <w:tc>
          <w:tcPr>
            <w:tcW w:w="720" w:type="dxa"/>
            <w:vAlign w:val="center"/>
          </w:tcPr>
          <w:p w14:paraId="294B4497">
            <w:pPr>
              <w:pStyle w:val="44"/>
              <w:rPr>
                <w:color w:val="auto"/>
              </w:rPr>
            </w:pPr>
          </w:p>
        </w:tc>
      </w:tr>
      <w:tr w14:paraId="3403F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814C916">
            <w:pPr>
              <w:pStyle w:val="44"/>
              <w:rPr>
                <w:color w:val="auto"/>
              </w:rPr>
            </w:pPr>
            <w:r>
              <w:rPr>
                <w:rFonts w:hint="eastAsia"/>
                <w:color w:val="auto"/>
              </w:rPr>
              <w:t>3</w:t>
            </w:r>
          </w:p>
        </w:tc>
        <w:tc>
          <w:tcPr>
            <w:tcW w:w="543" w:type="dxa"/>
            <w:vMerge w:val="continue"/>
          </w:tcPr>
          <w:p w14:paraId="2BC0318F">
            <w:pPr>
              <w:pStyle w:val="44"/>
              <w:rPr>
                <w:color w:val="auto"/>
              </w:rPr>
            </w:pPr>
          </w:p>
        </w:tc>
        <w:tc>
          <w:tcPr>
            <w:tcW w:w="898" w:type="dxa"/>
            <w:vAlign w:val="center"/>
          </w:tcPr>
          <w:p w14:paraId="4F992577">
            <w:pPr>
              <w:pStyle w:val="44"/>
              <w:rPr>
                <w:color w:val="auto"/>
              </w:rPr>
            </w:pPr>
            <w:r>
              <w:rPr>
                <w:rFonts w:hint="eastAsia"/>
                <w:color w:val="auto"/>
              </w:rPr>
              <w:t>安全标志</w:t>
            </w:r>
          </w:p>
        </w:tc>
        <w:tc>
          <w:tcPr>
            <w:tcW w:w="5580" w:type="dxa"/>
            <w:vAlign w:val="center"/>
          </w:tcPr>
          <w:p w14:paraId="26254BC8">
            <w:pPr>
              <w:pStyle w:val="44"/>
              <w:jc w:val="left"/>
              <w:rPr>
                <w:color w:val="auto"/>
              </w:rPr>
            </w:pPr>
            <w:r>
              <w:rPr>
                <w:rFonts w:hint="eastAsia"/>
                <w:color w:val="auto"/>
              </w:rPr>
              <w:t>1）施工现场未设置安全标志布置图，扣5分</w:t>
            </w:r>
          </w:p>
          <w:p w14:paraId="55747E13">
            <w:pPr>
              <w:pStyle w:val="44"/>
              <w:jc w:val="left"/>
              <w:rPr>
                <w:color w:val="auto"/>
              </w:rPr>
            </w:pPr>
            <w:r>
              <w:rPr>
                <w:rFonts w:hint="eastAsia"/>
                <w:color w:val="auto"/>
              </w:rPr>
              <w:t>2）施工现场未设置重大危险源公示牌，扣5分</w:t>
            </w:r>
          </w:p>
          <w:p w14:paraId="4DAA9C3B">
            <w:pPr>
              <w:pStyle w:val="44"/>
              <w:jc w:val="left"/>
              <w:rPr>
                <w:color w:val="auto"/>
              </w:rPr>
            </w:pPr>
            <w:r>
              <w:rPr>
                <w:rFonts w:hint="eastAsia"/>
                <w:color w:val="auto"/>
              </w:rPr>
              <w:t>3）施工现场入口及主要施工区域、危险部位未设置相对应的安全警示标志牌，扣5分</w:t>
            </w:r>
          </w:p>
          <w:p w14:paraId="7CBC6603">
            <w:pPr>
              <w:pStyle w:val="44"/>
              <w:jc w:val="left"/>
              <w:rPr>
                <w:color w:val="auto"/>
              </w:rPr>
            </w:pPr>
            <w:r>
              <w:rPr>
                <w:rFonts w:hint="eastAsia"/>
                <w:color w:val="auto"/>
              </w:rPr>
              <w:t>4）施工现场安全警示牌移动、损坏未及时复原，扣5分</w:t>
            </w:r>
          </w:p>
        </w:tc>
        <w:tc>
          <w:tcPr>
            <w:tcW w:w="720" w:type="dxa"/>
            <w:vAlign w:val="center"/>
          </w:tcPr>
          <w:p w14:paraId="58CCDF52">
            <w:pPr>
              <w:pStyle w:val="44"/>
              <w:rPr>
                <w:color w:val="auto"/>
              </w:rPr>
            </w:pPr>
            <w:r>
              <w:rPr>
                <w:rFonts w:hint="eastAsia"/>
                <w:color w:val="auto"/>
              </w:rPr>
              <w:t>10</w:t>
            </w:r>
          </w:p>
        </w:tc>
        <w:tc>
          <w:tcPr>
            <w:tcW w:w="720" w:type="dxa"/>
            <w:vAlign w:val="center"/>
          </w:tcPr>
          <w:p w14:paraId="255134E3">
            <w:pPr>
              <w:pStyle w:val="44"/>
              <w:rPr>
                <w:color w:val="auto"/>
              </w:rPr>
            </w:pPr>
          </w:p>
        </w:tc>
        <w:tc>
          <w:tcPr>
            <w:tcW w:w="720" w:type="dxa"/>
            <w:vAlign w:val="center"/>
          </w:tcPr>
          <w:p w14:paraId="5AE99B23">
            <w:pPr>
              <w:pStyle w:val="44"/>
              <w:rPr>
                <w:color w:val="auto"/>
              </w:rPr>
            </w:pPr>
          </w:p>
        </w:tc>
      </w:tr>
      <w:tr w14:paraId="442E1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8D7C24F">
            <w:pPr>
              <w:pStyle w:val="44"/>
              <w:rPr>
                <w:color w:val="auto"/>
              </w:rPr>
            </w:pPr>
          </w:p>
        </w:tc>
        <w:tc>
          <w:tcPr>
            <w:tcW w:w="543" w:type="dxa"/>
            <w:vMerge w:val="continue"/>
          </w:tcPr>
          <w:p w14:paraId="29AEB359">
            <w:pPr>
              <w:pStyle w:val="44"/>
              <w:rPr>
                <w:color w:val="auto"/>
              </w:rPr>
            </w:pPr>
          </w:p>
        </w:tc>
        <w:tc>
          <w:tcPr>
            <w:tcW w:w="6478" w:type="dxa"/>
            <w:gridSpan w:val="2"/>
            <w:vAlign w:val="center"/>
          </w:tcPr>
          <w:p w14:paraId="7C669049">
            <w:pPr>
              <w:pStyle w:val="44"/>
              <w:rPr>
                <w:b/>
                <w:bCs w:val="0"/>
                <w:color w:val="auto"/>
              </w:rPr>
            </w:pPr>
            <w:r>
              <w:rPr>
                <w:rFonts w:hint="eastAsia"/>
                <w:b/>
                <w:bCs w:val="0"/>
                <w:color w:val="auto"/>
              </w:rPr>
              <w:t>小  计</w:t>
            </w:r>
          </w:p>
        </w:tc>
        <w:tc>
          <w:tcPr>
            <w:tcW w:w="720" w:type="dxa"/>
            <w:vAlign w:val="center"/>
          </w:tcPr>
          <w:p w14:paraId="4F9FFF83">
            <w:pPr>
              <w:pStyle w:val="44"/>
              <w:rPr>
                <w:color w:val="auto"/>
              </w:rPr>
            </w:pPr>
            <w:r>
              <w:rPr>
                <w:rFonts w:hint="eastAsia"/>
                <w:color w:val="auto"/>
              </w:rPr>
              <w:t>30</w:t>
            </w:r>
          </w:p>
        </w:tc>
        <w:tc>
          <w:tcPr>
            <w:tcW w:w="720" w:type="dxa"/>
            <w:vAlign w:val="center"/>
          </w:tcPr>
          <w:p w14:paraId="4A0EED71">
            <w:pPr>
              <w:pStyle w:val="44"/>
              <w:rPr>
                <w:color w:val="auto"/>
              </w:rPr>
            </w:pPr>
          </w:p>
        </w:tc>
        <w:tc>
          <w:tcPr>
            <w:tcW w:w="720" w:type="dxa"/>
            <w:vAlign w:val="center"/>
          </w:tcPr>
          <w:p w14:paraId="68E469D1">
            <w:pPr>
              <w:pStyle w:val="44"/>
              <w:rPr>
                <w:color w:val="auto"/>
              </w:rPr>
            </w:pPr>
          </w:p>
        </w:tc>
      </w:tr>
      <w:tr w14:paraId="4948C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560" w:type="dxa"/>
            <w:gridSpan w:val="4"/>
            <w:vAlign w:val="center"/>
          </w:tcPr>
          <w:p w14:paraId="1D814F4D">
            <w:pPr>
              <w:pStyle w:val="44"/>
              <w:rPr>
                <w:b/>
                <w:bCs w:val="0"/>
                <w:color w:val="auto"/>
              </w:rPr>
            </w:pPr>
            <w:r>
              <w:rPr>
                <w:rFonts w:hint="eastAsia"/>
                <w:b/>
                <w:bCs w:val="0"/>
                <w:color w:val="auto"/>
              </w:rPr>
              <w:t>检查项目合计</w:t>
            </w:r>
          </w:p>
        </w:tc>
        <w:tc>
          <w:tcPr>
            <w:tcW w:w="720" w:type="dxa"/>
            <w:vAlign w:val="center"/>
          </w:tcPr>
          <w:p w14:paraId="3988099E">
            <w:pPr>
              <w:pStyle w:val="44"/>
              <w:rPr>
                <w:color w:val="auto"/>
              </w:rPr>
            </w:pPr>
            <w:r>
              <w:rPr>
                <w:rFonts w:hint="eastAsia"/>
                <w:color w:val="auto"/>
              </w:rPr>
              <w:t>100</w:t>
            </w:r>
          </w:p>
        </w:tc>
        <w:tc>
          <w:tcPr>
            <w:tcW w:w="720" w:type="dxa"/>
            <w:vAlign w:val="center"/>
          </w:tcPr>
          <w:p w14:paraId="2343B21D">
            <w:pPr>
              <w:pStyle w:val="44"/>
              <w:rPr>
                <w:color w:val="auto"/>
              </w:rPr>
            </w:pPr>
          </w:p>
        </w:tc>
        <w:tc>
          <w:tcPr>
            <w:tcW w:w="720" w:type="dxa"/>
            <w:vAlign w:val="center"/>
          </w:tcPr>
          <w:p w14:paraId="1ED93F2B">
            <w:pPr>
              <w:pStyle w:val="44"/>
              <w:rPr>
                <w:color w:val="auto"/>
              </w:rPr>
            </w:pPr>
          </w:p>
        </w:tc>
      </w:tr>
    </w:tbl>
    <w:p w14:paraId="24A4BE05"/>
    <w:p w14:paraId="1B918716">
      <w:pPr>
        <w:pStyle w:val="5"/>
      </w:pPr>
      <w:r>
        <w:rPr>
          <w:rFonts w:hint="eastAsia"/>
        </w:rPr>
        <w:br w:type="page"/>
      </w:r>
      <w:bookmarkStart w:id="11" w:name="_Toc13427"/>
      <w:bookmarkStart w:id="12" w:name="_Toc30443"/>
      <w:bookmarkStart w:id="13" w:name="_Toc13545"/>
      <w:r>
        <w:rPr>
          <w:rFonts w:hint="eastAsia"/>
        </w:rPr>
        <w:t>表B.</w:t>
      </w:r>
      <w:r>
        <w:t>2</w:t>
      </w:r>
      <w:r>
        <w:rPr>
          <w:rFonts w:hint="eastAsia"/>
        </w:rPr>
        <w:t xml:space="preserve">  文明施工检查</w:t>
      </w:r>
      <w:r>
        <w:t>评分表</w:t>
      </w:r>
      <w:bookmarkEnd w:id="11"/>
      <w:bookmarkEnd w:id="12"/>
      <w:bookmarkEnd w:id="13"/>
    </w:p>
    <w:tbl>
      <w:tblPr>
        <w:tblStyle w:val="19"/>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79131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jc w:val="center"/>
        </w:trPr>
        <w:tc>
          <w:tcPr>
            <w:tcW w:w="539" w:type="dxa"/>
            <w:vAlign w:val="center"/>
          </w:tcPr>
          <w:p w14:paraId="21DBA051">
            <w:pPr>
              <w:pStyle w:val="44"/>
              <w:rPr>
                <w:color w:val="auto"/>
              </w:rPr>
            </w:pPr>
            <w:r>
              <w:rPr>
                <w:rFonts w:hint="eastAsia"/>
                <w:color w:val="auto"/>
              </w:rPr>
              <w:t>序号</w:t>
            </w:r>
          </w:p>
        </w:tc>
        <w:tc>
          <w:tcPr>
            <w:tcW w:w="1441" w:type="dxa"/>
            <w:gridSpan w:val="2"/>
            <w:vAlign w:val="center"/>
          </w:tcPr>
          <w:p w14:paraId="1B654C24">
            <w:pPr>
              <w:pStyle w:val="44"/>
              <w:rPr>
                <w:color w:val="auto"/>
              </w:rPr>
            </w:pPr>
            <w:r>
              <w:rPr>
                <w:rFonts w:hint="eastAsia"/>
                <w:color w:val="auto"/>
              </w:rPr>
              <w:t>检查项目</w:t>
            </w:r>
          </w:p>
        </w:tc>
        <w:tc>
          <w:tcPr>
            <w:tcW w:w="5580" w:type="dxa"/>
            <w:vAlign w:val="center"/>
          </w:tcPr>
          <w:p w14:paraId="48272596">
            <w:pPr>
              <w:pStyle w:val="44"/>
              <w:rPr>
                <w:color w:val="auto"/>
              </w:rPr>
            </w:pPr>
            <w:r>
              <w:rPr>
                <w:rFonts w:hint="eastAsia"/>
                <w:color w:val="auto"/>
              </w:rPr>
              <w:t>扣 分 标 准</w:t>
            </w:r>
          </w:p>
        </w:tc>
        <w:tc>
          <w:tcPr>
            <w:tcW w:w="720" w:type="dxa"/>
            <w:vAlign w:val="center"/>
          </w:tcPr>
          <w:p w14:paraId="7A4D64D8">
            <w:pPr>
              <w:pStyle w:val="44"/>
              <w:rPr>
                <w:color w:val="auto"/>
              </w:rPr>
            </w:pPr>
            <w:r>
              <w:rPr>
                <w:rFonts w:hint="eastAsia"/>
                <w:color w:val="auto"/>
              </w:rPr>
              <w:t>应得</w:t>
            </w:r>
          </w:p>
          <w:p w14:paraId="09FEFDAF">
            <w:pPr>
              <w:pStyle w:val="44"/>
              <w:rPr>
                <w:color w:val="auto"/>
              </w:rPr>
            </w:pPr>
            <w:r>
              <w:rPr>
                <w:rFonts w:hint="eastAsia"/>
                <w:color w:val="auto"/>
              </w:rPr>
              <w:t>分数</w:t>
            </w:r>
          </w:p>
        </w:tc>
        <w:tc>
          <w:tcPr>
            <w:tcW w:w="720" w:type="dxa"/>
            <w:vAlign w:val="center"/>
          </w:tcPr>
          <w:p w14:paraId="2295B1CF">
            <w:pPr>
              <w:pStyle w:val="44"/>
              <w:rPr>
                <w:color w:val="auto"/>
              </w:rPr>
            </w:pPr>
            <w:r>
              <w:rPr>
                <w:rFonts w:hint="eastAsia"/>
                <w:color w:val="auto"/>
              </w:rPr>
              <w:t>扣减</w:t>
            </w:r>
          </w:p>
          <w:p w14:paraId="057BB98B">
            <w:pPr>
              <w:pStyle w:val="44"/>
              <w:rPr>
                <w:color w:val="auto"/>
              </w:rPr>
            </w:pPr>
            <w:r>
              <w:rPr>
                <w:rFonts w:hint="eastAsia"/>
                <w:color w:val="auto"/>
              </w:rPr>
              <w:t>分数</w:t>
            </w:r>
          </w:p>
        </w:tc>
        <w:tc>
          <w:tcPr>
            <w:tcW w:w="720" w:type="dxa"/>
            <w:vAlign w:val="center"/>
          </w:tcPr>
          <w:p w14:paraId="47D5955E">
            <w:pPr>
              <w:pStyle w:val="44"/>
              <w:rPr>
                <w:color w:val="auto"/>
              </w:rPr>
            </w:pPr>
            <w:r>
              <w:rPr>
                <w:rFonts w:hint="eastAsia"/>
                <w:color w:val="auto"/>
              </w:rPr>
              <w:t>实得</w:t>
            </w:r>
          </w:p>
          <w:p w14:paraId="576FFE60">
            <w:pPr>
              <w:pStyle w:val="44"/>
              <w:rPr>
                <w:color w:val="auto"/>
              </w:rPr>
            </w:pPr>
            <w:r>
              <w:rPr>
                <w:rFonts w:hint="eastAsia"/>
                <w:color w:val="auto"/>
              </w:rPr>
              <w:t>分数</w:t>
            </w:r>
          </w:p>
        </w:tc>
      </w:tr>
      <w:tr w14:paraId="02C8E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4851AFAC">
            <w:pPr>
              <w:pStyle w:val="44"/>
              <w:rPr>
                <w:color w:val="auto"/>
              </w:rPr>
            </w:pPr>
            <w:r>
              <w:rPr>
                <w:rFonts w:hint="eastAsia"/>
                <w:color w:val="auto"/>
              </w:rPr>
              <w:t>1</w:t>
            </w:r>
          </w:p>
        </w:tc>
        <w:tc>
          <w:tcPr>
            <w:tcW w:w="543" w:type="dxa"/>
            <w:vMerge w:val="restart"/>
            <w:vAlign w:val="center"/>
          </w:tcPr>
          <w:p w14:paraId="1099E88D">
            <w:pPr>
              <w:pStyle w:val="44"/>
              <w:rPr>
                <w:color w:val="auto"/>
              </w:rPr>
            </w:pPr>
            <w:r>
              <w:rPr>
                <w:rFonts w:hint="eastAsia"/>
                <w:color w:val="auto"/>
              </w:rPr>
              <w:t>保 证 项 目</w:t>
            </w:r>
          </w:p>
        </w:tc>
        <w:tc>
          <w:tcPr>
            <w:tcW w:w="898" w:type="dxa"/>
            <w:vAlign w:val="center"/>
          </w:tcPr>
          <w:p w14:paraId="46803190">
            <w:pPr>
              <w:pStyle w:val="44"/>
              <w:rPr>
                <w:color w:val="auto"/>
              </w:rPr>
            </w:pPr>
            <w:r>
              <w:rPr>
                <w:rFonts w:hint="eastAsia"/>
                <w:color w:val="auto"/>
              </w:rPr>
              <w:t>现场围挡</w:t>
            </w:r>
          </w:p>
        </w:tc>
        <w:tc>
          <w:tcPr>
            <w:tcW w:w="5580" w:type="dxa"/>
            <w:vAlign w:val="center"/>
          </w:tcPr>
          <w:p w14:paraId="7C2E97FF">
            <w:pPr>
              <w:pStyle w:val="44"/>
              <w:jc w:val="left"/>
              <w:rPr>
                <w:color w:val="auto"/>
              </w:rPr>
            </w:pPr>
            <w:r>
              <w:rPr>
                <w:rFonts w:hint="eastAsia"/>
                <w:color w:val="auto"/>
              </w:rPr>
              <w:t>1）市区主要路段的施工现场未设封闭围挡，扣10分；围挡高度低于2.5m，扣5-10分</w:t>
            </w:r>
          </w:p>
          <w:p w14:paraId="7C8DCE02">
            <w:pPr>
              <w:pStyle w:val="44"/>
              <w:jc w:val="left"/>
              <w:rPr>
                <w:color w:val="auto"/>
              </w:rPr>
            </w:pPr>
            <w:r>
              <w:rPr>
                <w:rFonts w:hint="eastAsia"/>
                <w:color w:val="auto"/>
              </w:rPr>
              <w:t>2）一般路段的施工现场未设封闭围挡，扣10分；围挡高度低于1.8m，扣5-10分</w:t>
            </w:r>
          </w:p>
          <w:p w14:paraId="49ED40A8">
            <w:pPr>
              <w:pStyle w:val="44"/>
              <w:jc w:val="left"/>
              <w:rPr>
                <w:color w:val="auto"/>
              </w:rPr>
            </w:pPr>
            <w:r>
              <w:rPr>
                <w:rFonts w:hint="eastAsia"/>
                <w:color w:val="auto"/>
              </w:rPr>
              <w:t>3）围档基础不坚实、牢固，扣5-10分</w:t>
            </w:r>
          </w:p>
          <w:p w14:paraId="32BFA217">
            <w:pPr>
              <w:pStyle w:val="44"/>
              <w:jc w:val="left"/>
              <w:rPr>
                <w:color w:val="auto"/>
              </w:rPr>
            </w:pPr>
            <w:r>
              <w:rPr>
                <w:rFonts w:hint="eastAsia"/>
                <w:color w:val="auto"/>
              </w:rPr>
              <w:t>4）围挡立面不顺直、整洁、美观，扣5分</w:t>
            </w:r>
          </w:p>
        </w:tc>
        <w:tc>
          <w:tcPr>
            <w:tcW w:w="720" w:type="dxa"/>
            <w:vAlign w:val="center"/>
          </w:tcPr>
          <w:p w14:paraId="62A4A578">
            <w:pPr>
              <w:pStyle w:val="44"/>
              <w:rPr>
                <w:color w:val="auto"/>
              </w:rPr>
            </w:pPr>
            <w:r>
              <w:rPr>
                <w:rFonts w:hint="eastAsia"/>
                <w:color w:val="auto"/>
              </w:rPr>
              <w:t>10</w:t>
            </w:r>
          </w:p>
        </w:tc>
        <w:tc>
          <w:tcPr>
            <w:tcW w:w="720" w:type="dxa"/>
            <w:vAlign w:val="center"/>
          </w:tcPr>
          <w:p w14:paraId="32B1E24A">
            <w:pPr>
              <w:pStyle w:val="44"/>
              <w:rPr>
                <w:color w:val="auto"/>
              </w:rPr>
            </w:pPr>
          </w:p>
        </w:tc>
        <w:tc>
          <w:tcPr>
            <w:tcW w:w="720" w:type="dxa"/>
            <w:vAlign w:val="center"/>
          </w:tcPr>
          <w:p w14:paraId="443B7CD3">
            <w:pPr>
              <w:pStyle w:val="44"/>
              <w:rPr>
                <w:color w:val="auto"/>
              </w:rPr>
            </w:pPr>
          </w:p>
        </w:tc>
      </w:tr>
      <w:tr w14:paraId="16544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274FE444">
            <w:pPr>
              <w:pStyle w:val="44"/>
              <w:rPr>
                <w:color w:val="auto"/>
              </w:rPr>
            </w:pPr>
            <w:r>
              <w:rPr>
                <w:rFonts w:hint="eastAsia"/>
                <w:color w:val="auto"/>
              </w:rPr>
              <w:t>2</w:t>
            </w:r>
          </w:p>
        </w:tc>
        <w:tc>
          <w:tcPr>
            <w:tcW w:w="543" w:type="dxa"/>
            <w:vMerge w:val="continue"/>
          </w:tcPr>
          <w:p w14:paraId="197DAEB3">
            <w:pPr>
              <w:pStyle w:val="44"/>
              <w:rPr>
                <w:color w:val="auto"/>
              </w:rPr>
            </w:pPr>
          </w:p>
        </w:tc>
        <w:tc>
          <w:tcPr>
            <w:tcW w:w="898" w:type="dxa"/>
            <w:vAlign w:val="center"/>
          </w:tcPr>
          <w:p w14:paraId="112D05FA">
            <w:pPr>
              <w:pStyle w:val="44"/>
              <w:rPr>
                <w:color w:val="auto"/>
              </w:rPr>
            </w:pPr>
            <w:r>
              <w:rPr>
                <w:rFonts w:hint="eastAsia"/>
                <w:color w:val="auto"/>
              </w:rPr>
              <w:t>封闭管理</w:t>
            </w:r>
          </w:p>
        </w:tc>
        <w:tc>
          <w:tcPr>
            <w:tcW w:w="5580" w:type="dxa"/>
            <w:vAlign w:val="center"/>
          </w:tcPr>
          <w:p w14:paraId="2F5953DC">
            <w:pPr>
              <w:pStyle w:val="44"/>
              <w:jc w:val="left"/>
              <w:rPr>
                <w:color w:val="auto"/>
              </w:rPr>
            </w:pPr>
            <w:r>
              <w:rPr>
                <w:rFonts w:hint="eastAsia"/>
                <w:color w:val="auto"/>
              </w:rPr>
              <w:t>1）施工现场进出口未设置大门，扣10分</w:t>
            </w:r>
          </w:p>
          <w:p w14:paraId="31A0CB57">
            <w:pPr>
              <w:pStyle w:val="44"/>
              <w:jc w:val="left"/>
              <w:rPr>
                <w:color w:val="auto"/>
              </w:rPr>
            </w:pPr>
            <w:r>
              <w:rPr>
                <w:rFonts w:hint="eastAsia"/>
                <w:color w:val="auto"/>
              </w:rPr>
              <w:t>2）大门未设置门卫值班室，扣5分</w:t>
            </w:r>
          </w:p>
          <w:p w14:paraId="05FA1DE8">
            <w:pPr>
              <w:pStyle w:val="44"/>
              <w:jc w:val="left"/>
              <w:rPr>
                <w:color w:val="auto"/>
              </w:rPr>
            </w:pPr>
            <w:r>
              <w:rPr>
                <w:rFonts w:hint="eastAsia"/>
                <w:color w:val="auto"/>
              </w:rPr>
              <w:t>3）施工现场未建立门卫值守制度或未配备门卫值守人员，扣5分</w:t>
            </w:r>
          </w:p>
          <w:p w14:paraId="2ECAF5C3">
            <w:pPr>
              <w:pStyle w:val="44"/>
              <w:jc w:val="left"/>
              <w:rPr>
                <w:color w:val="auto"/>
              </w:rPr>
            </w:pPr>
            <w:r>
              <w:rPr>
                <w:rFonts w:hint="eastAsia"/>
                <w:color w:val="auto"/>
              </w:rPr>
              <w:t>4）施工机械、外来人员出入未登记，扣5分</w:t>
            </w:r>
          </w:p>
          <w:p w14:paraId="1347A3F2">
            <w:pPr>
              <w:pStyle w:val="44"/>
              <w:jc w:val="left"/>
              <w:rPr>
                <w:color w:val="auto"/>
              </w:rPr>
            </w:pPr>
            <w:r>
              <w:rPr>
                <w:rFonts w:hint="eastAsia"/>
                <w:color w:val="auto"/>
              </w:rPr>
              <w:t>5）施工人员进入施工现场未按规定佩戴工作卡或其他有效证件，每人次扣2分</w:t>
            </w:r>
          </w:p>
        </w:tc>
        <w:tc>
          <w:tcPr>
            <w:tcW w:w="720" w:type="dxa"/>
            <w:vAlign w:val="center"/>
          </w:tcPr>
          <w:p w14:paraId="2222CD93">
            <w:pPr>
              <w:pStyle w:val="44"/>
              <w:rPr>
                <w:color w:val="auto"/>
              </w:rPr>
            </w:pPr>
            <w:r>
              <w:rPr>
                <w:rFonts w:hint="eastAsia"/>
                <w:color w:val="auto"/>
              </w:rPr>
              <w:t>10</w:t>
            </w:r>
          </w:p>
        </w:tc>
        <w:tc>
          <w:tcPr>
            <w:tcW w:w="720" w:type="dxa"/>
            <w:vAlign w:val="center"/>
          </w:tcPr>
          <w:p w14:paraId="048DBCA5">
            <w:pPr>
              <w:pStyle w:val="44"/>
              <w:rPr>
                <w:color w:val="auto"/>
              </w:rPr>
            </w:pPr>
          </w:p>
        </w:tc>
        <w:tc>
          <w:tcPr>
            <w:tcW w:w="720" w:type="dxa"/>
            <w:vAlign w:val="center"/>
          </w:tcPr>
          <w:p w14:paraId="3274626C">
            <w:pPr>
              <w:pStyle w:val="44"/>
              <w:rPr>
                <w:color w:val="auto"/>
              </w:rPr>
            </w:pPr>
          </w:p>
        </w:tc>
      </w:tr>
      <w:tr w14:paraId="1ADC8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BAC6B9B">
            <w:pPr>
              <w:pStyle w:val="44"/>
              <w:rPr>
                <w:color w:val="auto"/>
              </w:rPr>
            </w:pPr>
            <w:r>
              <w:rPr>
                <w:rFonts w:hint="eastAsia"/>
                <w:color w:val="auto"/>
              </w:rPr>
              <w:t>3</w:t>
            </w:r>
          </w:p>
        </w:tc>
        <w:tc>
          <w:tcPr>
            <w:tcW w:w="543" w:type="dxa"/>
            <w:vMerge w:val="continue"/>
          </w:tcPr>
          <w:p w14:paraId="0B534291">
            <w:pPr>
              <w:pStyle w:val="44"/>
              <w:rPr>
                <w:color w:val="auto"/>
              </w:rPr>
            </w:pPr>
          </w:p>
        </w:tc>
        <w:tc>
          <w:tcPr>
            <w:tcW w:w="898" w:type="dxa"/>
            <w:vAlign w:val="center"/>
          </w:tcPr>
          <w:p w14:paraId="4129BC0F">
            <w:pPr>
              <w:pStyle w:val="44"/>
              <w:rPr>
                <w:color w:val="auto"/>
              </w:rPr>
            </w:pPr>
            <w:r>
              <w:rPr>
                <w:rFonts w:hint="eastAsia"/>
                <w:color w:val="auto"/>
              </w:rPr>
              <w:t>绿色施工</w:t>
            </w:r>
          </w:p>
        </w:tc>
        <w:tc>
          <w:tcPr>
            <w:tcW w:w="5580" w:type="dxa"/>
            <w:vAlign w:val="center"/>
          </w:tcPr>
          <w:p w14:paraId="56401E27">
            <w:pPr>
              <w:pStyle w:val="44"/>
              <w:jc w:val="left"/>
              <w:rPr>
                <w:color w:val="auto"/>
              </w:rPr>
            </w:pPr>
            <w:r>
              <w:rPr>
                <w:rFonts w:hint="eastAsia"/>
                <w:color w:val="auto"/>
              </w:rPr>
              <w:t>1）施工便道未成环路布置或不畅通，扣5分；</w:t>
            </w:r>
          </w:p>
          <w:p w14:paraId="2F2F357D">
            <w:pPr>
              <w:pStyle w:val="44"/>
              <w:jc w:val="left"/>
              <w:rPr>
                <w:color w:val="auto"/>
              </w:rPr>
            </w:pPr>
            <w:r>
              <w:rPr>
                <w:rFonts w:hint="eastAsia"/>
                <w:color w:val="auto"/>
              </w:rPr>
              <w:t>2）路面不平整坚实，扣5分</w:t>
            </w:r>
          </w:p>
          <w:p w14:paraId="410368D7">
            <w:pPr>
              <w:pStyle w:val="44"/>
              <w:jc w:val="left"/>
              <w:rPr>
                <w:color w:val="auto"/>
              </w:rPr>
            </w:pPr>
            <w:r>
              <w:rPr>
                <w:rFonts w:hint="eastAsia"/>
                <w:color w:val="auto"/>
              </w:rPr>
              <w:t>3）未按规定安装电子监控设施，扣5分</w:t>
            </w:r>
          </w:p>
          <w:p w14:paraId="6EBAEE06">
            <w:pPr>
              <w:pStyle w:val="44"/>
              <w:jc w:val="left"/>
              <w:rPr>
                <w:color w:val="auto"/>
              </w:rPr>
            </w:pPr>
            <w:r>
              <w:rPr>
                <w:rFonts w:hint="eastAsia"/>
                <w:color w:val="auto"/>
              </w:rPr>
              <w:t>4）主要道路、出入口和材料加工区地面未进行硬化处理，扣10分</w:t>
            </w:r>
          </w:p>
          <w:p w14:paraId="134380BE">
            <w:pPr>
              <w:pStyle w:val="44"/>
              <w:jc w:val="left"/>
              <w:rPr>
                <w:color w:val="auto"/>
              </w:rPr>
            </w:pPr>
            <w:r>
              <w:rPr>
                <w:rFonts w:hint="eastAsia"/>
                <w:color w:val="auto"/>
              </w:rPr>
              <w:t>5）无防扬尘措施，扣5分</w:t>
            </w:r>
          </w:p>
          <w:p w14:paraId="0DDFBCD1">
            <w:pPr>
              <w:pStyle w:val="44"/>
              <w:jc w:val="left"/>
              <w:rPr>
                <w:color w:val="auto"/>
              </w:rPr>
            </w:pPr>
            <w:r>
              <w:rPr>
                <w:rFonts w:hint="eastAsia"/>
                <w:color w:val="auto"/>
              </w:rPr>
              <w:t>6）无排水设施或排水不通畅，扣5分</w:t>
            </w:r>
          </w:p>
          <w:p w14:paraId="170F1882">
            <w:pPr>
              <w:pStyle w:val="44"/>
              <w:jc w:val="left"/>
              <w:rPr>
                <w:color w:val="auto"/>
              </w:rPr>
            </w:pPr>
            <w:r>
              <w:rPr>
                <w:rFonts w:hint="eastAsia"/>
                <w:color w:val="auto"/>
              </w:rPr>
              <w:t>7）无防止泥浆、污水、废弃物污染环境或堵塞下水（河）道的措施，扣5-10分</w:t>
            </w:r>
          </w:p>
          <w:p w14:paraId="49F5C28F">
            <w:pPr>
              <w:pStyle w:val="44"/>
              <w:jc w:val="left"/>
              <w:rPr>
                <w:color w:val="auto"/>
              </w:rPr>
            </w:pPr>
            <w:r>
              <w:rPr>
                <w:rFonts w:hint="eastAsia"/>
                <w:color w:val="auto"/>
              </w:rPr>
              <w:t>8）温暖季节无绿化布置，扣3分</w:t>
            </w:r>
          </w:p>
          <w:p w14:paraId="5F0ACB82">
            <w:pPr>
              <w:pStyle w:val="44"/>
              <w:jc w:val="left"/>
              <w:rPr>
                <w:color w:val="auto"/>
              </w:rPr>
            </w:pPr>
            <w:r>
              <w:rPr>
                <w:rFonts w:hint="eastAsia"/>
                <w:color w:val="auto"/>
              </w:rPr>
              <w:t>9）裸露场地和集中堆放的土方无覆盖、固化或绿化等措施，扣5分；</w:t>
            </w:r>
          </w:p>
          <w:p w14:paraId="4C752E2E">
            <w:pPr>
              <w:pStyle w:val="44"/>
              <w:jc w:val="left"/>
              <w:rPr>
                <w:color w:val="auto"/>
              </w:rPr>
            </w:pPr>
            <w:r>
              <w:rPr>
                <w:rFonts w:hint="eastAsia"/>
                <w:color w:val="auto"/>
              </w:rPr>
              <w:t>10）施工现场出入口处未设置车辆冲洗设施，扣5分</w:t>
            </w:r>
          </w:p>
          <w:p w14:paraId="14AD319C">
            <w:pPr>
              <w:pStyle w:val="44"/>
              <w:jc w:val="left"/>
              <w:rPr>
                <w:color w:val="auto"/>
              </w:rPr>
            </w:pPr>
            <w:r>
              <w:rPr>
                <w:rFonts w:hint="eastAsia"/>
                <w:color w:val="auto"/>
              </w:rPr>
              <w:t>11）施工现场未设置吸烟区，扣5分</w:t>
            </w:r>
          </w:p>
        </w:tc>
        <w:tc>
          <w:tcPr>
            <w:tcW w:w="720" w:type="dxa"/>
            <w:vAlign w:val="center"/>
          </w:tcPr>
          <w:p w14:paraId="33FCB3C3">
            <w:pPr>
              <w:pStyle w:val="44"/>
              <w:rPr>
                <w:color w:val="auto"/>
              </w:rPr>
            </w:pPr>
            <w:r>
              <w:rPr>
                <w:rFonts w:hint="eastAsia"/>
                <w:color w:val="auto"/>
              </w:rPr>
              <w:t>10</w:t>
            </w:r>
          </w:p>
        </w:tc>
        <w:tc>
          <w:tcPr>
            <w:tcW w:w="720" w:type="dxa"/>
            <w:vAlign w:val="center"/>
          </w:tcPr>
          <w:p w14:paraId="39A97D50">
            <w:pPr>
              <w:pStyle w:val="44"/>
              <w:rPr>
                <w:color w:val="auto"/>
              </w:rPr>
            </w:pPr>
          </w:p>
        </w:tc>
        <w:tc>
          <w:tcPr>
            <w:tcW w:w="720" w:type="dxa"/>
            <w:vAlign w:val="center"/>
          </w:tcPr>
          <w:p w14:paraId="5A93DB6A">
            <w:pPr>
              <w:pStyle w:val="44"/>
              <w:rPr>
                <w:color w:val="auto"/>
              </w:rPr>
            </w:pPr>
          </w:p>
        </w:tc>
      </w:tr>
      <w:tr w14:paraId="7B250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3045B01">
            <w:pPr>
              <w:pStyle w:val="44"/>
              <w:rPr>
                <w:color w:val="auto"/>
              </w:rPr>
            </w:pPr>
            <w:r>
              <w:rPr>
                <w:rFonts w:hint="eastAsia"/>
                <w:color w:val="auto"/>
              </w:rPr>
              <w:t>4</w:t>
            </w:r>
          </w:p>
        </w:tc>
        <w:tc>
          <w:tcPr>
            <w:tcW w:w="543" w:type="dxa"/>
            <w:vMerge w:val="continue"/>
          </w:tcPr>
          <w:p w14:paraId="522C02DC">
            <w:pPr>
              <w:pStyle w:val="44"/>
              <w:rPr>
                <w:color w:val="auto"/>
              </w:rPr>
            </w:pPr>
          </w:p>
        </w:tc>
        <w:tc>
          <w:tcPr>
            <w:tcW w:w="898" w:type="dxa"/>
            <w:vAlign w:val="center"/>
          </w:tcPr>
          <w:p w14:paraId="58A2B073">
            <w:pPr>
              <w:pStyle w:val="44"/>
              <w:rPr>
                <w:color w:val="auto"/>
              </w:rPr>
            </w:pPr>
            <w:r>
              <w:rPr>
                <w:rFonts w:hint="eastAsia"/>
                <w:color w:val="auto"/>
              </w:rPr>
              <w:t>材料管理</w:t>
            </w:r>
          </w:p>
        </w:tc>
        <w:tc>
          <w:tcPr>
            <w:tcW w:w="5580" w:type="dxa"/>
            <w:vAlign w:val="center"/>
          </w:tcPr>
          <w:p w14:paraId="0A112993">
            <w:pPr>
              <w:pStyle w:val="44"/>
              <w:jc w:val="left"/>
              <w:rPr>
                <w:color w:val="auto"/>
              </w:rPr>
            </w:pPr>
            <w:r>
              <w:rPr>
                <w:rFonts w:hint="eastAsia"/>
                <w:color w:val="auto"/>
              </w:rPr>
              <w:t>1）建筑材料、构件未按施工现场平面布置图分类堆放，扣5分</w:t>
            </w:r>
          </w:p>
          <w:p w14:paraId="225E5E9A">
            <w:pPr>
              <w:pStyle w:val="44"/>
              <w:jc w:val="left"/>
              <w:rPr>
                <w:color w:val="auto"/>
              </w:rPr>
            </w:pPr>
            <w:r>
              <w:rPr>
                <w:rFonts w:hint="eastAsia"/>
                <w:color w:val="auto"/>
              </w:rPr>
              <w:t>2）建筑材料堆码不整齐或未悬挂标志牌，扣5分；标志牌未标明名称、规格，扣2分</w:t>
            </w:r>
          </w:p>
          <w:p w14:paraId="4582AD90">
            <w:pPr>
              <w:pStyle w:val="44"/>
              <w:jc w:val="left"/>
              <w:rPr>
                <w:color w:val="auto"/>
              </w:rPr>
            </w:pPr>
            <w:r>
              <w:rPr>
                <w:rFonts w:hint="eastAsia"/>
                <w:color w:val="auto"/>
              </w:rPr>
              <w:t>3）材料堆码未采取防火、防锈蚀、防雨等措施，扣5-10分</w:t>
            </w:r>
          </w:p>
          <w:p w14:paraId="26FF474C">
            <w:pPr>
              <w:pStyle w:val="44"/>
              <w:jc w:val="left"/>
              <w:rPr>
                <w:color w:val="auto"/>
              </w:rPr>
            </w:pPr>
            <w:r>
              <w:rPr>
                <w:rFonts w:hint="eastAsia"/>
                <w:color w:val="auto"/>
              </w:rPr>
              <w:t>4）易燃易爆物品未分类储藏在专用库房内，扣10分</w:t>
            </w:r>
          </w:p>
          <w:p w14:paraId="3720C533">
            <w:pPr>
              <w:pStyle w:val="44"/>
              <w:jc w:val="left"/>
              <w:rPr>
                <w:color w:val="auto"/>
              </w:rPr>
            </w:pPr>
            <w:r>
              <w:rPr>
                <w:rFonts w:hint="eastAsia"/>
                <w:color w:val="auto"/>
              </w:rPr>
              <w:t>5）库房安全距离不符合标准要求，扣10分</w:t>
            </w:r>
          </w:p>
          <w:p w14:paraId="713CC36F">
            <w:pPr>
              <w:pStyle w:val="44"/>
              <w:jc w:val="left"/>
              <w:rPr>
                <w:color w:val="auto"/>
              </w:rPr>
            </w:pPr>
            <w:r>
              <w:rPr>
                <w:rFonts w:hint="eastAsia"/>
                <w:color w:val="auto"/>
              </w:rPr>
              <w:t>6）未制定防火措施，扣5分</w:t>
            </w:r>
          </w:p>
          <w:p w14:paraId="6FC565D2">
            <w:pPr>
              <w:pStyle w:val="44"/>
              <w:jc w:val="left"/>
              <w:rPr>
                <w:color w:val="auto"/>
              </w:rPr>
            </w:pPr>
            <w:r>
              <w:rPr>
                <w:rFonts w:hint="eastAsia"/>
                <w:color w:val="auto"/>
              </w:rPr>
              <w:t>7）建筑垃圾未及时清理或堆放混乱，扣5分</w:t>
            </w:r>
          </w:p>
        </w:tc>
        <w:tc>
          <w:tcPr>
            <w:tcW w:w="720" w:type="dxa"/>
            <w:vAlign w:val="center"/>
          </w:tcPr>
          <w:p w14:paraId="77C6473D">
            <w:pPr>
              <w:pStyle w:val="44"/>
              <w:rPr>
                <w:color w:val="auto"/>
              </w:rPr>
            </w:pPr>
            <w:r>
              <w:rPr>
                <w:rFonts w:hint="eastAsia"/>
                <w:color w:val="auto"/>
              </w:rPr>
              <w:t>10</w:t>
            </w:r>
          </w:p>
        </w:tc>
        <w:tc>
          <w:tcPr>
            <w:tcW w:w="720" w:type="dxa"/>
            <w:vAlign w:val="center"/>
          </w:tcPr>
          <w:p w14:paraId="7DA5ACDC">
            <w:pPr>
              <w:pStyle w:val="44"/>
              <w:rPr>
                <w:color w:val="auto"/>
              </w:rPr>
            </w:pPr>
          </w:p>
        </w:tc>
        <w:tc>
          <w:tcPr>
            <w:tcW w:w="720" w:type="dxa"/>
            <w:vAlign w:val="center"/>
          </w:tcPr>
          <w:p w14:paraId="4C4C95B4">
            <w:pPr>
              <w:pStyle w:val="44"/>
              <w:rPr>
                <w:color w:val="auto"/>
              </w:rPr>
            </w:pPr>
          </w:p>
        </w:tc>
      </w:tr>
      <w:tr w14:paraId="324EA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1AB72206">
            <w:pPr>
              <w:pStyle w:val="44"/>
              <w:rPr>
                <w:color w:val="auto"/>
              </w:rPr>
            </w:pPr>
            <w:r>
              <w:rPr>
                <w:rFonts w:hint="eastAsia"/>
                <w:color w:val="auto"/>
              </w:rPr>
              <w:t>5</w:t>
            </w:r>
          </w:p>
        </w:tc>
        <w:tc>
          <w:tcPr>
            <w:tcW w:w="543" w:type="dxa"/>
            <w:vMerge w:val="continue"/>
          </w:tcPr>
          <w:p w14:paraId="2FE81CDB">
            <w:pPr>
              <w:pStyle w:val="44"/>
              <w:rPr>
                <w:color w:val="auto"/>
              </w:rPr>
            </w:pPr>
          </w:p>
        </w:tc>
        <w:tc>
          <w:tcPr>
            <w:tcW w:w="898" w:type="dxa"/>
            <w:vAlign w:val="center"/>
          </w:tcPr>
          <w:p w14:paraId="6F6DE2AB">
            <w:pPr>
              <w:pStyle w:val="44"/>
              <w:rPr>
                <w:color w:val="auto"/>
              </w:rPr>
            </w:pPr>
            <w:r>
              <w:rPr>
                <w:rFonts w:hint="eastAsia"/>
                <w:color w:val="auto"/>
              </w:rPr>
              <w:t>防火管理</w:t>
            </w:r>
          </w:p>
        </w:tc>
        <w:tc>
          <w:tcPr>
            <w:tcW w:w="5580" w:type="dxa"/>
            <w:vAlign w:val="center"/>
          </w:tcPr>
          <w:p w14:paraId="1309A00A">
            <w:pPr>
              <w:pStyle w:val="44"/>
              <w:jc w:val="left"/>
              <w:rPr>
                <w:color w:val="auto"/>
              </w:rPr>
            </w:pPr>
            <w:r>
              <w:rPr>
                <w:rFonts w:hint="eastAsia"/>
                <w:color w:val="auto"/>
              </w:rPr>
              <w:t>1）未建立消防安全管理制度，扣10分；制度内容不完善扣5分</w:t>
            </w:r>
          </w:p>
          <w:p w14:paraId="53E022D1">
            <w:pPr>
              <w:pStyle w:val="44"/>
              <w:jc w:val="left"/>
              <w:rPr>
                <w:color w:val="auto"/>
              </w:rPr>
            </w:pPr>
            <w:r>
              <w:rPr>
                <w:rFonts w:hint="eastAsia"/>
                <w:color w:val="auto"/>
              </w:rPr>
              <w:t>2）临时用房和作业场所的防火设计不符合标准要求，扣10分</w:t>
            </w:r>
          </w:p>
          <w:p w14:paraId="6B2D7341">
            <w:pPr>
              <w:pStyle w:val="44"/>
              <w:jc w:val="left"/>
              <w:rPr>
                <w:color w:val="auto"/>
              </w:rPr>
            </w:pPr>
            <w:r>
              <w:rPr>
                <w:rFonts w:hint="eastAsia"/>
                <w:color w:val="auto"/>
              </w:rPr>
              <w:t>3）未设置消防通道、消防水源，扣10分，设置不符合标准要求，扣5-10分</w:t>
            </w:r>
          </w:p>
          <w:p w14:paraId="01B51EB7">
            <w:pPr>
              <w:pStyle w:val="44"/>
              <w:jc w:val="left"/>
              <w:rPr>
                <w:color w:val="auto"/>
              </w:rPr>
            </w:pPr>
            <w:r>
              <w:rPr>
                <w:rFonts w:hint="eastAsia"/>
                <w:color w:val="auto"/>
              </w:rPr>
              <w:t>4)施工现场灭火器材布局、配置不合理或灭火器材失效，扣5分</w:t>
            </w:r>
          </w:p>
          <w:p w14:paraId="01E41372">
            <w:pPr>
              <w:pStyle w:val="44"/>
              <w:jc w:val="left"/>
              <w:rPr>
                <w:color w:val="auto"/>
              </w:rPr>
            </w:pPr>
            <w:r>
              <w:rPr>
                <w:rFonts w:hint="eastAsia"/>
                <w:color w:val="auto"/>
              </w:rPr>
              <w:t>5）动火作业未办理动火审批手续或无动火监护人，扣5-10分</w:t>
            </w:r>
          </w:p>
          <w:p w14:paraId="78BF4BA8">
            <w:pPr>
              <w:pStyle w:val="44"/>
              <w:jc w:val="left"/>
              <w:rPr>
                <w:color w:val="auto"/>
              </w:rPr>
            </w:pPr>
            <w:r>
              <w:rPr>
                <w:rFonts w:hint="eastAsia"/>
                <w:color w:val="auto"/>
              </w:rPr>
              <w:t>6）动火人员未取得相应资格；</w:t>
            </w:r>
          </w:p>
          <w:p w14:paraId="7A7B48FD">
            <w:pPr>
              <w:pStyle w:val="44"/>
              <w:jc w:val="left"/>
              <w:rPr>
                <w:color w:val="auto"/>
              </w:rPr>
            </w:pPr>
            <w:r>
              <w:rPr>
                <w:rFonts w:hint="eastAsia"/>
                <w:color w:val="auto"/>
              </w:rPr>
              <w:t>7）未定期组织火灾疏散演练或无相关记录，扣5分</w:t>
            </w:r>
          </w:p>
        </w:tc>
        <w:tc>
          <w:tcPr>
            <w:tcW w:w="720" w:type="dxa"/>
            <w:vAlign w:val="center"/>
          </w:tcPr>
          <w:p w14:paraId="4EB1589F">
            <w:pPr>
              <w:pStyle w:val="44"/>
              <w:rPr>
                <w:color w:val="auto"/>
              </w:rPr>
            </w:pPr>
            <w:r>
              <w:rPr>
                <w:rFonts w:hint="eastAsia"/>
                <w:color w:val="auto"/>
              </w:rPr>
              <w:t>10</w:t>
            </w:r>
          </w:p>
        </w:tc>
        <w:tc>
          <w:tcPr>
            <w:tcW w:w="720" w:type="dxa"/>
            <w:vAlign w:val="center"/>
          </w:tcPr>
          <w:p w14:paraId="667CD697">
            <w:pPr>
              <w:pStyle w:val="44"/>
              <w:rPr>
                <w:color w:val="auto"/>
              </w:rPr>
            </w:pPr>
          </w:p>
        </w:tc>
        <w:tc>
          <w:tcPr>
            <w:tcW w:w="720" w:type="dxa"/>
            <w:vAlign w:val="center"/>
          </w:tcPr>
          <w:p w14:paraId="39A90E5E">
            <w:pPr>
              <w:pStyle w:val="44"/>
              <w:rPr>
                <w:color w:val="auto"/>
              </w:rPr>
            </w:pPr>
          </w:p>
        </w:tc>
      </w:tr>
      <w:tr w14:paraId="3ABBF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399E79B3">
            <w:pPr>
              <w:pStyle w:val="44"/>
              <w:rPr>
                <w:color w:val="auto"/>
              </w:rPr>
            </w:pPr>
            <w:r>
              <w:rPr>
                <w:rFonts w:hint="eastAsia"/>
                <w:color w:val="auto"/>
              </w:rPr>
              <w:t>6</w:t>
            </w:r>
          </w:p>
        </w:tc>
        <w:tc>
          <w:tcPr>
            <w:tcW w:w="543" w:type="dxa"/>
            <w:vMerge w:val="continue"/>
            <w:vAlign w:val="center"/>
          </w:tcPr>
          <w:p w14:paraId="2DDAB305">
            <w:pPr>
              <w:pStyle w:val="44"/>
              <w:rPr>
                <w:color w:val="auto"/>
              </w:rPr>
            </w:pPr>
          </w:p>
        </w:tc>
        <w:tc>
          <w:tcPr>
            <w:tcW w:w="898" w:type="dxa"/>
            <w:vAlign w:val="center"/>
          </w:tcPr>
          <w:p w14:paraId="3F2AEA2E">
            <w:pPr>
              <w:pStyle w:val="44"/>
              <w:rPr>
                <w:color w:val="auto"/>
              </w:rPr>
            </w:pPr>
            <w:r>
              <w:rPr>
                <w:rFonts w:hint="eastAsia"/>
                <w:color w:val="auto"/>
              </w:rPr>
              <w:t>现场办公与住宿</w:t>
            </w:r>
          </w:p>
        </w:tc>
        <w:tc>
          <w:tcPr>
            <w:tcW w:w="5580" w:type="dxa"/>
            <w:vAlign w:val="center"/>
          </w:tcPr>
          <w:p w14:paraId="31F27F99">
            <w:pPr>
              <w:pStyle w:val="44"/>
              <w:jc w:val="left"/>
              <w:rPr>
                <w:color w:val="auto"/>
              </w:rPr>
            </w:pPr>
            <w:r>
              <w:rPr>
                <w:rFonts w:hint="eastAsia"/>
                <w:color w:val="auto"/>
              </w:rPr>
              <w:t>1）办公区、生活区与作业区未采取隔离措施，扣10分</w:t>
            </w:r>
          </w:p>
          <w:p w14:paraId="4AF892A0">
            <w:pPr>
              <w:pStyle w:val="44"/>
              <w:jc w:val="left"/>
              <w:rPr>
                <w:color w:val="auto"/>
              </w:rPr>
            </w:pPr>
            <w:r>
              <w:rPr>
                <w:rFonts w:hint="eastAsia"/>
                <w:color w:val="auto"/>
              </w:rPr>
              <w:t>2）伙房、库房、尚未竣工的建筑物兼作宿舍使用，扣10分</w:t>
            </w:r>
          </w:p>
          <w:p w14:paraId="35CB9B93">
            <w:pPr>
              <w:pStyle w:val="44"/>
              <w:jc w:val="left"/>
              <w:rPr>
                <w:color w:val="auto"/>
              </w:rPr>
            </w:pPr>
            <w:r>
              <w:rPr>
                <w:rFonts w:hint="eastAsia"/>
                <w:color w:val="auto"/>
              </w:rPr>
              <w:t>3）宿舍未设置可开启窗户，扣5分</w:t>
            </w:r>
          </w:p>
          <w:p w14:paraId="7AD1AC3E">
            <w:pPr>
              <w:pStyle w:val="44"/>
              <w:jc w:val="left"/>
              <w:rPr>
                <w:color w:val="auto"/>
              </w:rPr>
            </w:pPr>
            <w:r>
              <w:rPr>
                <w:rFonts w:hint="eastAsia"/>
                <w:color w:val="auto"/>
              </w:rPr>
              <w:t>4）宿舍未设置床铺、床铺超过2层或通道宽度小于0.9m，扣2-6分</w:t>
            </w:r>
          </w:p>
          <w:p w14:paraId="2597D2B1">
            <w:pPr>
              <w:pStyle w:val="44"/>
              <w:jc w:val="left"/>
              <w:rPr>
                <w:color w:val="auto"/>
              </w:rPr>
            </w:pPr>
            <w:r>
              <w:rPr>
                <w:rFonts w:hint="eastAsia"/>
                <w:color w:val="auto"/>
              </w:rPr>
              <w:t>5）宿舍人均面积或居住人数不符合规定，扣5分</w:t>
            </w:r>
          </w:p>
          <w:p w14:paraId="0F8A0881">
            <w:pPr>
              <w:pStyle w:val="44"/>
              <w:jc w:val="left"/>
              <w:rPr>
                <w:color w:val="auto"/>
              </w:rPr>
            </w:pPr>
            <w:r>
              <w:rPr>
                <w:rFonts w:hint="eastAsia"/>
                <w:color w:val="auto"/>
              </w:rPr>
              <w:t>6）宿舍内违章私拉乱接电线，使用大功率用电设备和明火，扣10分</w:t>
            </w:r>
          </w:p>
          <w:p w14:paraId="2702023F">
            <w:pPr>
              <w:pStyle w:val="44"/>
              <w:jc w:val="left"/>
              <w:rPr>
                <w:color w:val="auto"/>
              </w:rPr>
            </w:pPr>
            <w:r>
              <w:rPr>
                <w:rFonts w:hint="eastAsia"/>
                <w:color w:val="auto"/>
              </w:rPr>
              <w:t>7）宿舍无冬季保暖、夏季消暑、防煤气中毒、防蚊虫叮咬等措施，扣5分</w:t>
            </w:r>
          </w:p>
          <w:p w14:paraId="1C482FFC">
            <w:pPr>
              <w:pStyle w:val="44"/>
              <w:jc w:val="left"/>
              <w:rPr>
                <w:color w:val="auto"/>
              </w:rPr>
            </w:pPr>
            <w:r>
              <w:rPr>
                <w:rFonts w:hint="eastAsia"/>
                <w:color w:val="auto"/>
              </w:rPr>
              <w:t xml:space="preserve">8）住宿、办公用房使用前未按规定履行验收程序，办理验收手续，扣10分 </w:t>
            </w:r>
          </w:p>
          <w:p w14:paraId="6E57818E">
            <w:pPr>
              <w:pStyle w:val="44"/>
              <w:jc w:val="left"/>
              <w:rPr>
                <w:color w:val="auto"/>
              </w:rPr>
            </w:pPr>
            <w:r>
              <w:rPr>
                <w:rFonts w:hint="eastAsia"/>
                <w:color w:val="auto"/>
              </w:rPr>
              <w:t>9）职工宿舍未实行集中管理，扣5分</w:t>
            </w:r>
          </w:p>
          <w:p w14:paraId="74DDE6E9">
            <w:pPr>
              <w:pStyle w:val="44"/>
              <w:jc w:val="left"/>
              <w:rPr>
                <w:color w:val="auto"/>
              </w:rPr>
            </w:pPr>
            <w:r>
              <w:rPr>
                <w:rFonts w:hint="eastAsia"/>
                <w:color w:val="auto"/>
              </w:rPr>
              <w:t>10）住宿人员信息未实行登记管理，扣5分</w:t>
            </w:r>
          </w:p>
          <w:p w14:paraId="0323A780">
            <w:pPr>
              <w:pStyle w:val="44"/>
              <w:jc w:val="left"/>
              <w:rPr>
                <w:color w:val="auto"/>
              </w:rPr>
            </w:pPr>
            <w:r>
              <w:rPr>
                <w:rFonts w:hint="eastAsia"/>
                <w:color w:val="auto"/>
              </w:rPr>
              <w:t>11）生活用品摆放凌乱或环境卫生较差，扣3分</w:t>
            </w:r>
          </w:p>
        </w:tc>
        <w:tc>
          <w:tcPr>
            <w:tcW w:w="720" w:type="dxa"/>
            <w:vAlign w:val="center"/>
          </w:tcPr>
          <w:p w14:paraId="51827C9B">
            <w:pPr>
              <w:pStyle w:val="44"/>
              <w:rPr>
                <w:color w:val="auto"/>
              </w:rPr>
            </w:pPr>
            <w:r>
              <w:rPr>
                <w:rFonts w:hint="eastAsia"/>
                <w:color w:val="auto"/>
              </w:rPr>
              <w:t>10</w:t>
            </w:r>
          </w:p>
        </w:tc>
        <w:tc>
          <w:tcPr>
            <w:tcW w:w="720" w:type="dxa"/>
            <w:vAlign w:val="center"/>
          </w:tcPr>
          <w:p w14:paraId="72DEC09C">
            <w:pPr>
              <w:pStyle w:val="44"/>
              <w:rPr>
                <w:color w:val="auto"/>
              </w:rPr>
            </w:pPr>
          </w:p>
        </w:tc>
        <w:tc>
          <w:tcPr>
            <w:tcW w:w="720" w:type="dxa"/>
            <w:vAlign w:val="center"/>
          </w:tcPr>
          <w:p w14:paraId="702C700C">
            <w:pPr>
              <w:pStyle w:val="44"/>
              <w:rPr>
                <w:color w:val="auto"/>
              </w:rPr>
            </w:pPr>
          </w:p>
        </w:tc>
      </w:tr>
      <w:tr w14:paraId="1366C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36AC4C76">
            <w:pPr>
              <w:pStyle w:val="44"/>
              <w:rPr>
                <w:color w:val="auto"/>
              </w:rPr>
            </w:pPr>
            <w:r>
              <w:rPr>
                <w:rFonts w:hint="eastAsia"/>
                <w:color w:val="auto"/>
              </w:rPr>
              <w:t>7</w:t>
            </w:r>
          </w:p>
        </w:tc>
        <w:tc>
          <w:tcPr>
            <w:tcW w:w="543" w:type="dxa"/>
            <w:vMerge w:val="continue"/>
            <w:vAlign w:val="center"/>
          </w:tcPr>
          <w:p w14:paraId="2E4C5E89">
            <w:pPr>
              <w:pStyle w:val="44"/>
              <w:rPr>
                <w:color w:val="auto"/>
              </w:rPr>
            </w:pPr>
          </w:p>
        </w:tc>
        <w:tc>
          <w:tcPr>
            <w:tcW w:w="898" w:type="dxa"/>
            <w:vAlign w:val="center"/>
          </w:tcPr>
          <w:p w14:paraId="007D7BAD">
            <w:pPr>
              <w:pStyle w:val="44"/>
              <w:rPr>
                <w:color w:val="auto"/>
              </w:rPr>
            </w:pPr>
            <w:r>
              <w:rPr>
                <w:rFonts w:hint="eastAsia"/>
                <w:color w:val="auto"/>
              </w:rPr>
              <w:t>交通疏导</w:t>
            </w:r>
          </w:p>
        </w:tc>
        <w:tc>
          <w:tcPr>
            <w:tcW w:w="5580" w:type="dxa"/>
            <w:vAlign w:val="center"/>
          </w:tcPr>
          <w:p w14:paraId="16F8FA4B">
            <w:pPr>
              <w:pStyle w:val="44"/>
              <w:jc w:val="left"/>
              <w:rPr>
                <w:color w:val="auto"/>
              </w:rPr>
            </w:pPr>
            <w:r>
              <w:rPr>
                <w:rFonts w:hint="eastAsia"/>
                <w:color w:val="auto"/>
              </w:rPr>
              <w:t>1）占用、挖掘道路未按规定设置交通疏解告示、行人绕行提示、文明施工用语等标志，扣5分</w:t>
            </w:r>
          </w:p>
          <w:p w14:paraId="0EA9633A">
            <w:pPr>
              <w:pStyle w:val="44"/>
              <w:jc w:val="left"/>
              <w:rPr>
                <w:color w:val="auto"/>
              </w:rPr>
            </w:pPr>
            <w:r>
              <w:rPr>
                <w:rFonts w:hint="eastAsia"/>
                <w:color w:val="auto"/>
              </w:rPr>
              <w:t>2）道路、基坑边围墙外侧未设置防止来车碰撞墩或交通警示灯，扣10分</w:t>
            </w:r>
          </w:p>
          <w:p w14:paraId="2CD5459E">
            <w:pPr>
              <w:pStyle w:val="44"/>
              <w:jc w:val="left"/>
              <w:rPr>
                <w:color w:val="auto"/>
              </w:rPr>
            </w:pPr>
            <w:r>
              <w:rPr>
                <w:rFonts w:hint="eastAsia"/>
                <w:color w:val="auto"/>
              </w:rPr>
              <w:t>3）基坑上车行便桥未设置限载、限速和禁止超车、停车等标志，扣10分</w:t>
            </w:r>
          </w:p>
          <w:p w14:paraId="24C2EE85">
            <w:pPr>
              <w:pStyle w:val="44"/>
              <w:jc w:val="left"/>
              <w:rPr>
                <w:color w:val="auto"/>
              </w:rPr>
            </w:pPr>
            <w:r>
              <w:rPr>
                <w:rFonts w:hint="eastAsia"/>
                <w:color w:val="auto"/>
              </w:rPr>
              <w:t>4）临时改道未按规定设置导向、减速设施及标志标线，扣10分</w:t>
            </w:r>
          </w:p>
        </w:tc>
        <w:tc>
          <w:tcPr>
            <w:tcW w:w="720" w:type="dxa"/>
            <w:vAlign w:val="center"/>
          </w:tcPr>
          <w:p w14:paraId="607A8114">
            <w:pPr>
              <w:pStyle w:val="44"/>
              <w:rPr>
                <w:color w:val="auto"/>
              </w:rPr>
            </w:pPr>
            <w:r>
              <w:rPr>
                <w:rFonts w:hint="eastAsia"/>
                <w:color w:val="auto"/>
              </w:rPr>
              <w:t>10</w:t>
            </w:r>
          </w:p>
        </w:tc>
        <w:tc>
          <w:tcPr>
            <w:tcW w:w="720" w:type="dxa"/>
            <w:vAlign w:val="center"/>
          </w:tcPr>
          <w:p w14:paraId="298ED666">
            <w:pPr>
              <w:pStyle w:val="44"/>
              <w:rPr>
                <w:color w:val="auto"/>
              </w:rPr>
            </w:pPr>
          </w:p>
        </w:tc>
        <w:tc>
          <w:tcPr>
            <w:tcW w:w="720" w:type="dxa"/>
            <w:vAlign w:val="center"/>
          </w:tcPr>
          <w:p w14:paraId="2E38822E">
            <w:pPr>
              <w:pStyle w:val="44"/>
              <w:rPr>
                <w:color w:val="auto"/>
              </w:rPr>
            </w:pPr>
          </w:p>
        </w:tc>
      </w:tr>
      <w:tr w14:paraId="1D83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AEE661F">
            <w:pPr>
              <w:pStyle w:val="44"/>
              <w:rPr>
                <w:color w:val="auto"/>
              </w:rPr>
            </w:pPr>
          </w:p>
        </w:tc>
        <w:tc>
          <w:tcPr>
            <w:tcW w:w="543" w:type="dxa"/>
            <w:vMerge w:val="continue"/>
          </w:tcPr>
          <w:p w14:paraId="19129FFB">
            <w:pPr>
              <w:pStyle w:val="44"/>
              <w:rPr>
                <w:color w:val="auto"/>
              </w:rPr>
            </w:pPr>
          </w:p>
        </w:tc>
        <w:tc>
          <w:tcPr>
            <w:tcW w:w="6478" w:type="dxa"/>
            <w:gridSpan w:val="2"/>
            <w:vAlign w:val="center"/>
          </w:tcPr>
          <w:p w14:paraId="3D489F60">
            <w:pPr>
              <w:pStyle w:val="44"/>
              <w:rPr>
                <w:b/>
                <w:bCs w:val="0"/>
                <w:color w:val="auto"/>
              </w:rPr>
            </w:pPr>
            <w:r>
              <w:rPr>
                <w:rFonts w:hint="eastAsia"/>
                <w:b/>
                <w:bCs w:val="0"/>
                <w:color w:val="auto"/>
              </w:rPr>
              <w:t>小  计</w:t>
            </w:r>
          </w:p>
        </w:tc>
        <w:tc>
          <w:tcPr>
            <w:tcW w:w="720" w:type="dxa"/>
            <w:vAlign w:val="center"/>
          </w:tcPr>
          <w:p w14:paraId="127BAC17">
            <w:pPr>
              <w:pStyle w:val="44"/>
              <w:rPr>
                <w:color w:val="auto"/>
              </w:rPr>
            </w:pPr>
            <w:r>
              <w:rPr>
                <w:rFonts w:hint="eastAsia"/>
                <w:color w:val="auto"/>
              </w:rPr>
              <w:t>70</w:t>
            </w:r>
          </w:p>
        </w:tc>
        <w:tc>
          <w:tcPr>
            <w:tcW w:w="720" w:type="dxa"/>
            <w:vAlign w:val="center"/>
          </w:tcPr>
          <w:p w14:paraId="7AEEE9E2">
            <w:pPr>
              <w:pStyle w:val="44"/>
              <w:rPr>
                <w:color w:val="auto"/>
              </w:rPr>
            </w:pPr>
          </w:p>
        </w:tc>
        <w:tc>
          <w:tcPr>
            <w:tcW w:w="720" w:type="dxa"/>
            <w:vAlign w:val="center"/>
          </w:tcPr>
          <w:p w14:paraId="35234687">
            <w:pPr>
              <w:pStyle w:val="44"/>
              <w:rPr>
                <w:color w:val="auto"/>
              </w:rPr>
            </w:pPr>
          </w:p>
        </w:tc>
      </w:tr>
      <w:tr w14:paraId="6078B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047E3504">
            <w:pPr>
              <w:pStyle w:val="44"/>
              <w:rPr>
                <w:color w:val="auto"/>
              </w:rPr>
            </w:pPr>
            <w:r>
              <w:rPr>
                <w:rFonts w:hint="eastAsia"/>
                <w:color w:val="auto"/>
              </w:rPr>
              <w:t>1</w:t>
            </w:r>
          </w:p>
        </w:tc>
        <w:tc>
          <w:tcPr>
            <w:tcW w:w="543" w:type="dxa"/>
            <w:vMerge w:val="restart"/>
            <w:vAlign w:val="center"/>
          </w:tcPr>
          <w:p w14:paraId="504D7ECC">
            <w:pPr>
              <w:pStyle w:val="44"/>
              <w:rPr>
                <w:color w:val="auto"/>
              </w:rPr>
            </w:pPr>
            <w:r>
              <w:rPr>
                <w:rFonts w:hint="eastAsia"/>
                <w:color w:val="auto"/>
              </w:rPr>
              <w:t>一</w:t>
            </w:r>
          </w:p>
          <w:p w14:paraId="71829656">
            <w:pPr>
              <w:pStyle w:val="44"/>
              <w:rPr>
                <w:color w:val="auto"/>
              </w:rPr>
            </w:pPr>
            <w:r>
              <w:rPr>
                <w:rFonts w:hint="eastAsia"/>
                <w:color w:val="auto"/>
              </w:rPr>
              <w:t>般</w:t>
            </w:r>
          </w:p>
          <w:p w14:paraId="5A6D4759">
            <w:pPr>
              <w:pStyle w:val="44"/>
              <w:rPr>
                <w:color w:val="auto"/>
              </w:rPr>
            </w:pPr>
            <w:r>
              <w:rPr>
                <w:rFonts w:hint="eastAsia"/>
                <w:color w:val="auto"/>
              </w:rPr>
              <w:t>项</w:t>
            </w:r>
          </w:p>
          <w:p w14:paraId="0E2566E7">
            <w:pPr>
              <w:pStyle w:val="44"/>
              <w:rPr>
                <w:color w:val="auto"/>
              </w:rPr>
            </w:pPr>
            <w:r>
              <w:rPr>
                <w:rFonts w:hint="eastAsia"/>
                <w:color w:val="auto"/>
              </w:rPr>
              <w:t>目</w:t>
            </w:r>
          </w:p>
        </w:tc>
        <w:tc>
          <w:tcPr>
            <w:tcW w:w="898" w:type="dxa"/>
            <w:vAlign w:val="center"/>
          </w:tcPr>
          <w:p w14:paraId="7E2968D5">
            <w:pPr>
              <w:pStyle w:val="44"/>
              <w:rPr>
                <w:color w:val="auto"/>
              </w:rPr>
            </w:pPr>
            <w:r>
              <w:rPr>
                <w:rFonts w:hint="eastAsia"/>
                <w:color w:val="auto"/>
              </w:rPr>
              <w:t>施工现场标牌</w:t>
            </w:r>
          </w:p>
        </w:tc>
        <w:tc>
          <w:tcPr>
            <w:tcW w:w="5580" w:type="dxa"/>
            <w:vAlign w:val="center"/>
          </w:tcPr>
          <w:p w14:paraId="4058894B">
            <w:pPr>
              <w:pStyle w:val="44"/>
              <w:jc w:val="left"/>
              <w:rPr>
                <w:color w:val="auto"/>
              </w:rPr>
            </w:pPr>
            <w:r>
              <w:rPr>
                <w:rFonts w:hint="eastAsia"/>
                <w:color w:val="auto"/>
              </w:rPr>
              <w:t>1）施工现场出入口未标有企业名称或企业标志，扣5分</w:t>
            </w:r>
          </w:p>
          <w:p w14:paraId="3E5AB541">
            <w:pPr>
              <w:pStyle w:val="44"/>
              <w:jc w:val="left"/>
              <w:rPr>
                <w:color w:val="auto"/>
              </w:rPr>
            </w:pPr>
            <w:r>
              <w:rPr>
                <w:rFonts w:hint="eastAsia"/>
                <w:color w:val="auto"/>
              </w:rPr>
              <w:t>2）未在施工现场大门口处明显位置设置公示标牌，扣5分，公示标牌内容不全面，扣2-5分</w:t>
            </w:r>
          </w:p>
          <w:p w14:paraId="6F0041E1">
            <w:pPr>
              <w:rPr>
                <w:rFonts w:eastAsia="宋体" w:cs="宋体"/>
                <w:bCs/>
                <w:kern w:val="0"/>
                <w:sz w:val="21"/>
                <w:szCs w:val="21"/>
              </w:rPr>
            </w:pPr>
            <w:r>
              <w:rPr>
                <w:rFonts w:hint="eastAsia" w:eastAsia="宋体" w:cs="宋体"/>
                <w:bCs/>
                <w:kern w:val="0"/>
                <w:sz w:val="21"/>
                <w:szCs w:val="21"/>
              </w:rPr>
              <w:t>3）标牌不规范、整齐、统一，扣3分；</w:t>
            </w:r>
          </w:p>
          <w:p w14:paraId="4505082D">
            <w:pPr>
              <w:pStyle w:val="44"/>
              <w:jc w:val="left"/>
              <w:rPr>
                <w:color w:val="auto"/>
              </w:rPr>
            </w:pPr>
            <w:r>
              <w:rPr>
                <w:rFonts w:hint="eastAsia"/>
                <w:color w:val="auto"/>
              </w:rPr>
              <w:t>4）未设置禁止标志、警示标志、指令标志、提示标志，扣5分，未配以相应的安全标语，扣2-3分</w:t>
            </w:r>
          </w:p>
          <w:p w14:paraId="67400AE6">
            <w:pPr>
              <w:pStyle w:val="44"/>
              <w:jc w:val="left"/>
              <w:rPr>
                <w:color w:val="auto"/>
              </w:rPr>
            </w:pPr>
            <w:r>
              <w:rPr>
                <w:rFonts w:hint="eastAsia"/>
                <w:color w:val="auto"/>
              </w:rPr>
              <w:t>5）未设置宣传栏、黑板报、读报栏，扣5分</w:t>
            </w:r>
          </w:p>
        </w:tc>
        <w:tc>
          <w:tcPr>
            <w:tcW w:w="720" w:type="dxa"/>
            <w:vAlign w:val="center"/>
          </w:tcPr>
          <w:p w14:paraId="3AAEAE27">
            <w:pPr>
              <w:pStyle w:val="44"/>
              <w:rPr>
                <w:color w:val="auto"/>
              </w:rPr>
            </w:pPr>
            <w:r>
              <w:rPr>
                <w:rFonts w:hint="eastAsia"/>
                <w:color w:val="auto"/>
              </w:rPr>
              <w:t>5</w:t>
            </w:r>
          </w:p>
        </w:tc>
        <w:tc>
          <w:tcPr>
            <w:tcW w:w="720" w:type="dxa"/>
            <w:vAlign w:val="center"/>
          </w:tcPr>
          <w:p w14:paraId="1ED81B4A">
            <w:pPr>
              <w:pStyle w:val="44"/>
              <w:rPr>
                <w:color w:val="auto"/>
              </w:rPr>
            </w:pPr>
          </w:p>
        </w:tc>
        <w:tc>
          <w:tcPr>
            <w:tcW w:w="720" w:type="dxa"/>
            <w:vAlign w:val="center"/>
          </w:tcPr>
          <w:p w14:paraId="5C2A12C7">
            <w:pPr>
              <w:pStyle w:val="44"/>
              <w:rPr>
                <w:color w:val="auto"/>
              </w:rPr>
            </w:pPr>
          </w:p>
        </w:tc>
      </w:tr>
      <w:tr w14:paraId="637A2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1A89E82">
            <w:pPr>
              <w:pStyle w:val="44"/>
              <w:rPr>
                <w:color w:val="auto"/>
              </w:rPr>
            </w:pPr>
            <w:r>
              <w:rPr>
                <w:rFonts w:hint="eastAsia"/>
                <w:color w:val="auto"/>
              </w:rPr>
              <w:t>2</w:t>
            </w:r>
          </w:p>
        </w:tc>
        <w:tc>
          <w:tcPr>
            <w:tcW w:w="543" w:type="dxa"/>
            <w:vMerge w:val="continue"/>
          </w:tcPr>
          <w:p w14:paraId="52520B5B">
            <w:pPr>
              <w:pStyle w:val="44"/>
              <w:rPr>
                <w:color w:val="auto"/>
              </w:rPr>
            </w:pPr>
          </w:p>
        </w:tc>
        <w:tc>
          <w:tcPr>
            <w:tcW w:w="898" w:type="dxa"/>
            <w:vAlign w:val="center"/>
          </w:tcPr>
          <w:p w14:paraId="4D7DCFB9">
            <w:pPr>
              <w:pStyle w:val="44"/>
              <w:rPr>
                <w:color w:val="auto"/>
              </w:rPr>
            </w:pPr>
            <w:r>
              <w:rPr>
                <w:rFonts w:hint="eastAsia"/>
                <w:color w:val="auto"/>
              </w:rPr>
              <w:t>保健急救</w:t>
            </w:r>
          </w:p>
        </w:tc>
        <w:tc>
          <w:tcPr>
            <w:tcW w:w="5580" w:type="dxa"/>
            <w:vAlign w:val="center"/>
          </w:tcPr>
          <w:p w14:paraId="679729EF">
            <w:pPr>
              <w:pStyle w:val="44"/>
              <w:jc w:val="left"/>
              <w:rPr>
                <w:color w:val="auto"/>
              </w:rPr>
            </w:pPr>
            <w:r>
              <w:rPr>
                <w:rFonts w:hint="eastAsia"/>
                <w:color w:val="auto"/>
              </w:rPr>
              <w:t>1）无急救措施，未配保健备医药箱和急救器材，扣5分</w:t>
            </w:r>
          </w:p>
          <w:p w14:paraId="329E856D">
            <w:pPr>
              <w:pStyle w:val="44"/>
              <w:jc w:val="left"/>
              <w:rPr>
                <w:color w:val="auto"/>
              </w:rPr>
            </w:pPr>
            <w:r>
              <w:rPr>
                <w:rFonts w:hint="eastAsia"/>
                <w:color w:val="auto"/>
              </w:rPr>
              <w:t>2）未配备经培训合格的急救人员，扣5分</w:t>
            </w:r>
          </w:p>
          <w:p w14:paraId="18D0C318">
            <w:pPr>
              <w:pStyle w:val="44"/>
              <w:jc w:val="left"/>
              <w:rPr>
                <w:color w:val="auto"/>
              </w:rPr>
            </w:pPr>
            <w:r>
              <w:rPr>
                <w:rFonts w:hint="eastAsia"/>
                <w:color w:val="auto"/>
              </w:rPr>
              <w:t>3）未开展卫生防病宣传教育，扣5分</w:t>
            </w:r>
          </w:p>
        </w:tc>
        <w:tc>
          <w:tcPr>
            <w:tcW w:w="720" w:type="dxa"/>
            <w:vAlign w:val="center"/>
          </w:tcPr>
          <w:p w14:paraId="3E99F51D">
            <w:pPr>
              <w:pStyle w:val="44"/>
              <w:rPr>
                <w:color w:val="auto"/>
              </w:rPr>
            </w:pPr>
            <w:r>
              <w:rPr>
                <w:rFonts w:hint="eastAsia"/>
                <w:color w:val="auto"/>
              </w:rPr>
              <w:t>5</w:t>
            </w:r>
          </w:p>
        </w:tc>
        <w:tc>
          <w:tcPr>
            <w:tcW w:w="720" w:type="dxa"/>
            <w:vAlign w:val="center"/>
          </w:tcPr>
          <w:p w14:paraId="1B0B7752">
            <w:pPr>
              <w:pStyle w:val="44"/>
              <w:rPr>
                <w:color w:val="auto"/>
              </w:rPr>
            </w:pPr>
          </w:p>
        </w:tc>
        <w:tc>
          <w:tcPr>
            <w:tcW w:w="720" w:type="dxa"/>
            <w:vAlign w:val="center"/>
          </w:tcPr>
          <w:p w14:paraId="6236A833">
            <w:pPr>
              <w:pStyle w:val="44"/>
              <w:rPr>
                <w:color w:val="auto"/>
              </w:rPr>
            </w:pPr>
          </w:p>
        </w:tc>
      </w:tr>
      <w:tr w14:paraId="7A7EC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94D0EE6">
            <w:pPr>
              <w:pStyle w:val="44"/>
              <w:rPr>
                <w:color w:val="auto"/>
              </w:rPr>
            </w:pPr>
            <w:r>
              <w:rPr>
                <w:rFonts w:hint="eastAsia"/>
                <w:color w:val="auto"/>
              </w:rPr>
              <w:t>3</w:t>
            </w:r>
          </w:p>
        </w:tc>
        <w:tc>
          <w:tcPr>
            <w:tcW w:w="543" w:type="dxa"/>
            <w:vMerge w:val="continue"/>
          </w:tcPr>
          <w:p w14:paraId="49CC1E16">
            <w:pPr>
              <w:pStyle w:val="44"/>
              <w:rPr>
                <w:color w:val="auto"/>
              </w:rPr>
            </w:pPr>
          </w:p>
        </w:tc>
        <w:tc>
          <w:tcPr>
            <w:tcW w:w="898" w:type="dxa"/>
            <w:vAlign w:val="center"/>
          </w:tcPr>
          <w:p w14:paraId="2AEF5849">
            <w:pPr>
              <w:pStyle w:val="44"/>
              <w:rPr>
                <w:color w:val="auto"/>
              </w:rPr>
            </w:pPr>
            <w:r>
              <w:rPr>
                <w:rFonts w:hint="eastAsia"/>
                <w:color w:val="auto"/>
              </w:rPr>
              <w:t>生活设施</w:t>
            </w:r>
          </w:p>
        </w:tc>
        <w:tc>
          <w:tcPr>
            <w:tcW w:w="5580" w:type="dxa"/>
            <w:vAlign w:val="center"/>
          </w:tcPr>
          <w:p w14:paraId="54644BF1">
            <w:pPr>
              <w:pStyle w:val="44"/>
              <w:jc w:val="left"/>
              <w:rPr>
                <w:color w:val="auto"/>
              </w:rPr>
            </w:pPr>
            <w:r>
              <w:rPr>
                <w:rFonts w:hint="eastAsia"/>
                <w:color w:val="auto"/>
              </w:rPr>
              <w:t>1）未设置文体活动室、职工夜校等设施，扣5分</w:t>
            </w:r>
          </w:p>
          <w:p w14:paraId="534ECF5F">
            <w:pPr>
              <w:pStyle w:val="44"/>
              <w:jc w:val="left"/>
              <w:rPr>
                <w:color w:val="auto"/>
              </w:rPr>
            </w:pPr>
            <w:r>
              <w:rPr>
                <w:rFonts w:hint="eastAsia"/>
                <w:color w:val="auto"/>
              </w:rPr>
              <w:t>2）未设置淋浴室，或淋浴室不满足现场人员需求，扣5分</w:t>
            </w:r>
          </w:p>
          <w:p w14:paraId="73FB7F53">
            <w:pPr>
              <w:pStyle w:val="44"/>
              <w:jc w:val="left"/>
              <w:rPr>
                <w:color w:val="auto"/>
              </w:rPr>
            </w:pPr>
            <w:r>
              <w:rPr>
                <w:rFonts w:hint="eastAsia"/>
                <w:color w:val="auto"/>
              </w:rPr>
              <w:t>3）食堂未建立责任制和卫生管理制度，10分</w:t>
            </w:r>
          </w:p>
          <w:p w14:paraId="7FF98605">
            <w:pPr>
              <w:pStyle w:val="44"/>
              <w:jc w:val="left"/>
              <w:rPr>
                <w:color w:val="auto"/>
              </w:rPr>
            </w:pPr>
            <w:r>
              <w:rPr>
                <w:rFonts w:hint="eastAsia"/>
                <w:color w:val="auto"/>
              </w:rPr>
              <w:t>4）食堂未吊顶、四周、地面未贴瓷砖、未设排烟设施，每项扣3分</w:t>
            </w:r>
          </w:p>
          <w:p w14:paraId="59532FC6">
            <w:pPr>
              <w:pStyle w:val="44"/>
              <w:jc w:val="left"/>
              <w:rPr>
                <w:color w:val="auto"/>
              </w:rPr>
            </w:pPr>
            <w:r>
              <w:rPr>
                <w:rFonts w:hint="eastAsia"/>
                <w:color w:val="auto"/>
              </w:rPr>
              <w:t>5）燃气罐未单独设置存放间，扣5分，存放间通风条件不好，扣2分</w:t>
            </w:r>
          </w:p>
          <w:p w14:paraId="7023EE87">
            <w:pPr>
              <w:pStyle w:val="44"/>
              <w:jc w:val="left"/>
              <w:rPr>
                <w:color w:val="auto"/>
              </w:rPr>
            </w:pPr>
            <w:r>
              <w:rPr>
                <w:rFonts w:hint="eastAsia"/>
                <w:color w:val="auto"/>
              </w:rPr>
              <w:t>6）食堂与厕所、垃圾站、有毒有害场所的距离不符合规定，扣2-6分</w:t>
            </w:r>
          </w:p>
          <w:p w14:paraId="44501CC0">
            <w:pPr>
              <w:pStyle w:val="44"/>
              <w:jc w:val="left"/>
              <w:rPr>
                <w:color w:val="auto"/>
              </w:rPr>
            </w:pPr>
            <w:r>
              <w:rPr>
                <w:rFonts w:hint="eastAsia"/>
                <w:color w:val="auto"/>
              </w:rPr>
              <w:t>7）食堂未有卫生许可证，扣10分</w:t>
            </w:r>
          </w:p>
          <w:p w14:paraId="1BF53016">
            <w:pPr>
              <w:pStyle w:val="44"/>
              <w:jc w:val="left"/>
              <w:rPr>
                <w:color w:val="auto"/>
              </w:rPr>
            </w:pPr>
            <w:r>
              <w:rPr>
                <w:rFonts w:hint="eastAsia"/>
                <w:color w:val="auto"/>
              </w:rPr>
              <w:t>8）炊事人员无身体健康证，每人次扣3分</w:t>
            </w:r>
          </w:p>
          <w:p w14:paraId="252ACCE2">
            <w:pPr>
              <w:pStyle w:val="44"/>
              <w:jc w:val="left"/>
              <w:rPr>
                <w:color w:val="auto"/>
              </w:rPr>
            </w:pPr>
            <w:r>
              <w:rPr>
                <w:rFonts w:hint="eastAsia"/>
                <w:color w:val="auto"/>
              </w:rPr>
              <w:t>9）食堂生熟食未分开存放，扣5分</w:t>
            </w:r>
          </w:p>
          <w:p w14:paraId="571EEBE6">
            <w:pPr>
              <w:pStyle w:val="44"/>
              <w:jc w:val="left"/>
              <w:rPr>
                <w:color w:val="auto"/>
              </w:rPr>
            </w:pPr>
            <w:r>
              <w:rPr>
                <w:rFonts w:hint="eastAsia"/>
                <w:color w:val="auto"/>
              </w:rPr>
              <w:t>10）食堂未采取防蝇、蚊、鼠、蟑螂等措施，扣5分</w:t>
            </w:r>
          </w:p>
          <w:p w14:paraId="1DFA045D">
            <w:pPr>
              <w:pStyle w:val="44"/>
              <w:jc w:val="left"/>
              <w:rPr>
                <w:color w:val="auto"/>
              </w:rPr>
            </w:pPr>
            <w:r>
              <w:rPr>
                <w:rFonts w:hint="eastAsia"/>
                <w:color w:val="auto"/>
              </w:rPr>
              <w:t>11）生活区未设置开水炉、电热水器或饮用水保温桶，扣5分</w:t>
            </w:r>
          </w:p>
          <w:p w14:paraId="20EE3DF4">
            <w:pPr>
              <w:pStyle w:val="44"/>
              <w:jc w:val="left"/>
              <w:rPr>
                <w:color w:val="auto"/>
              </w:rPr>
            </w:pPr>
            <w:r>
              <w:rPr>
                <w:rFonts w:hint="eastAsia"/>
                <w:color w:val="auto"/>
              </w:rPr>
              <w:t>12）厕所内的设施数量、布局、卫生、排放不符合标准要求，扣5分</w:t>
            </w:r>
          </w:p>
          <w:p w14:paraId="6A624123">
            <w:pPr>
              <w:pStyle w:val="44"/>
              <w:jc w:val="left"/>
              <w:rPr>
                <w:color w:val="auto"/>
              </w:rPr>
            </w:pPr>
            <w:r>
              <w:rPr>
                <w:rFonts w:hint="eastAsia"/>
                <w:color w:val="auto"/>
              </w:rPr>
              <w:t>13）生活垃圾未装入密闭式容器或未及时清理，扣3-5分</w:t>
            </w:r>
          </w:p>
        </w:tc>
        <w:tc>
          <w:tcPr>
            <w:tcW w:w="720" w:type="dxa"/>
            <w:vAlign w:val="center"/>
          </w:tcPr>
          <w:p w14:paraId="6701B851">
            <w:pPr>
              <w:pStyle w:val="44"/>
              <w:rPr>
                <w:color w:val="auto"/>
              </w:rPr>
            </w:pPr>
            <w:r>
              <w:rPr>
                <w:rFonts w:hint="eastAsia"/>
                <w:color w:val="auto"/>
              </w:rPr>
              <w:t>10</w:t>
            </w:r>
          </w:p>
        </w:tc>
        <w:tc>
          <w:tcPr>
            <w:tcW w:w="720" w:type="dxa"/>
            <w:vAlign w:val="center"/>
          </w:tcPr>
          <w:p w14:paraId="1AE41902">
            <w:pPr>
              <w:pStyle w:val="44"/>
              <w:rPr>
                <w:color w:val="auto"/>
              </w:rPr>
            </w:pPr>
          </w:p>
        </w:tc>
        <w:tc>
          <w:tcPr>
            <w:tcW w:w="720" w:type="dxa"/>
            <w:vAlign w:val="center"/>
          </w:tcPr>
          <w:p w14:paraId="306A03EC">
            <w:pPr>
              <w:pStyle w:val="44"/>
              <w:rPr>
                <w:color w:val="auto"/>
              </w:rPr>
            </w:pPr>
          </w:p>
        </w:tc>
      </w:tr>
      <w:tr w14:paraId="50E08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74ACABF">
            <w:pPr>
              <w:pStyle w:val="44"/>
              <w:rPr>
                <w:color w:val="auto"/>
              </w:rPr>
            </w:pPr>
            <w:r>
              <w:rPr>
                <w:rFonts w:hint="eastAsia"/>
                <w:color w:val="auto"/>
              </w:rPr>
              <w:t>4</w:t>
            </w:r>
          </w:p>
        </w:tc>
        <w:tc>
          <w:tcPr>
            <w:tcW w:w="543" w:type="dxa"/>
            <w:vMerge w:val="continue"/>
          </w:tcPr>
          <w:p w14:paraId="232E168C">
            <w:pPr>
              <w:pStyle w:val="44"/>
              <w:rPr>
                <w:color w:val="auto"/>
              </w:rPr>
            </w:pPr>
          </w:p>
        </w:tc>
        <w:tc>
          <w:tcPr>
            <w:tcW w:w="898" w:type="dxa"/>
            <w:vAlign w:val="center"/>
          </w:tcPr>
          <w:p w14:paraId="57C3AAC5">
            <w:pPr>
              <w:pStyle w:val="44"/>
              <w:rPr>
                <w:color w:val="auto"/>
              </w:rPr>
            </w:pPr>
            <w:r>
              <w:rPr>
                <w:rFonts w:hint="eastAsia"/>
                <w:color w:val="auto"/>
              </w:rPr>
              <w:t>社区服务</w:t>
            </w:r>
          </w:p>
        </w:tc>
        <w:tc>
          <w:tcPr>
            <w:tcW w:w="5580" w:type="dxa"/>
            <w:vAlign w:val="center"/>
          </w:tcPr>
          <w:p w14:paraId="16606107">
            <w:pPr>
              <w:pStyle w:val="44"/>
              <w:jc w:val="left"/>
              <w:rPr>
                <w:color w:val="auto"/>
              </w:rPr>
            </w:pPr>
            <w:r>
              <w:rPr>
                <w:rFonts w:hint="eastAsia"/>
                <w:color w:val="auto"/>
              </w:rPr>
              <w:t>1）施工现场未制定防粉尘、防噪音、防废气措施，扣3-8分</w:t>
            </w:r>
          </w:p>
          <w:p w14:paraId="7AC44708">
            <w:pPr>
              <w:pStyle w:val="44"/>
              <w:jc w:val="left"/>
              <w:rPr>
                <w:color w:val="auto"/>
              </w:rPr>
            </w:pPr>
            <w:r>
              <w:rPr>
                <w:rFonts w:hint="eastAsia"/>
                <w:color w:val="auto"/>
              </w:rPr>
              <w:t>2）施工单位未对古树名木、文物采取保护措施，扣8分</w:t>
            </w:r>
          </w:p>
          <w:p w14:paraId="455EFFA5">
            <w:pPr>
              <w:pStyle w:val="44"/>
              <w:jc w:val="left"/>
              <w:rPr>
                <w:color w:val="auto"/>
              </w:rPr>
            </w:pPr>
            <w:r>
              <w:rPr>
                <w:rFonts w:hint="eastAsia"/>
                <w:color w:val="auto"/>
              </w:rPr>
              <w:t>3）夜间施工未办理夜间施工许可证，扣10分</w:t>
            </w:r>
          </w:p>
          <w:p w14:paraId="10E27266">
            <w:pPr>
              <w:pStyle w:val="44"/>
              <w:jc w:val="left"/>
              <w:rPr>
                <w:color w:val="auto"/>
              </w:rPr>
            </w:pPr>
            <w:r>
              <w:rPr>
                <w:rFonts w:hint="eastAsia"/>
                <w:color w:val="auto"/>
              </w:rPr>
              <w:t>4）施工现场焚烧有毒、有害、恶臭的物质，扣5分</w:t>
            </w:r>
          </w:p>
          <w:p w14:paraId="3C6AB557">
            <w:pPr>
              <w:pStyle w:val="44"/>
              <w:jc w:val="left"/>
              <w:rPr>
                <w:color w:val="auto"/>
              </w:rPr>
            </w:pPr>
            <w:r>
              <w:rPr>
                <w:rFonts w:hint="eastAsia"/>
                <w:color w:val="auto"/>
              </w:rPr>
              <w:t>5）施工现场未制定施工不扰民措施，扣5分</w:t>
            </w:r>
          </w:p>
          <w:p w14:paraId="1D2791A3">
            <w:pPr>
              <w:pStyle w:val="44"/>
              <w:jc w:val="left"/>
              <w:rPr>
                <w:color w:val="auto"/>
              </w:rPr>
            </w:pPr>
            <w:r>
              <w:rPr>
                <w:rFonts w:hint="eastAsia"/>
                <w:color w:val="auto"/>
              </w:rPr>
              <w:t>6）工程竣工后未在规定时间内拆除临时设施、恢复道路，扣5分</w:t>
            </w:r>
          </w:p>
        </w:tc>
        <w:tc>
          <w:tcPr>
            <w:tcW w:w="720" w:type="dxa"/>
            <w:vAlign w:val="center"/>
          </w:tcPr>
          <w:p w14:paraId="44661174">
            <w:pPr>
              <w:pStyle w:val="44"/>
              <w:rPr>
                <w:color w:val="auto"/>
              </w:rPr>
            </w:pPr>
            <w:r>
              <w:rPr>
                <w:rFonts w:hint="eastAsia"/>
                <w:color w:val="auto"/>
              </w:rPr>
              <w:t>10</w:t>
            </w:r>
          </w:p>
        </w:tc>
        <w:tc>
          <w:tcPr>
            <w:tcW w:w="720" w:type="dxa"/>
            <w:vAlign w:val="center"/>
          </w:tcPr>
          <w:p w14:paraId="662F49D9">
            <w:pPr>
              <w:pStyle w:val="44"/>
              <w:rPr>
                <w:color w:val="auto"/>
              </w:rPr>
            </w:pPr>
          </w:p>
        </w:tc>
        <w:tc>
          <w:tcPr>
            <w:tcW w:w="720" w:type="dxa"/>
            <w:vAlign w:val="center"/>
          </w:tcPr>
          <w:p w14:paraId="7921C91E">
            <w:pPr>
              <w:pStyle w:val="44"/>
              <w:rPr>
                <w:color w:val="auto"/>
              </w:rPr>
            </w:pPr>
          </w:p>
        </w:tc>
      </w:tr>
      <w:tr w14:paraId="5D963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EC0D11F">
            <w:pPr>
              <w:pStyle w:val="44"/>
              <w:rPr>
                <w:color w:val="auto"/>
              </w:rPr>
            </w:pPr>
          </w:p>
        </w:tc>
        <w:tc>
          <w:tcPr>
            <w:tcW w:w="543" w:type="dxa"/>
            <w:vMerge w:val="continue"/>
          </w:tcPr>
          <w:p w14:paraId="575E556A">
            <w:pPr>
              <w:pStyle w:val="44"/>
              <w:rPr>
                <w:color w:val="auto"/>
              </w:rPr>
            </w:pPr>
          </w:p>
        </w:tc>
        <w:tc>
          <w:tcPr>
            <w:tcW w:w="6478" w:type="dxa"/>
            <w:gridSpan w:val="2"/>
            <w:vAlign w:val="center"/>
          </w:tcPr>
          <w:p w14:paraId="008A43E1">
            <w:pPr>
              <w:pStyle w:val="44"/>
              <w:rPr>
                <w:b/>
                <w:bCs w:val="0"/>
                <w:color w:val="auto"/>
              </w:rPr>
            </w:pPr>
            <w:r>
              <w:rPr>
                <w:rFonts w:hint="eastAsia"/>
                <w:b/>
                <w:bCs w:val="0"/>
                <w:color w:val="auto"/>
              </w:rPr>
              <w:t>小  计</w:t>
            </w:r>
          </w:p>
        </w:tc>
        <w:tc>
          <w:tcPr>
            <w:tcW w:w="720" w:type="dxa"/>
            <w:vAlign w:val="center"/>
          </w:tcPr>
          <w:p w14:paraId="7B9522FF">
            <w:pPr>
              <w:pStyle w:val="44"/>
              <w:rPr>
                <w:color w:val="auto"/>
              </w:rPr>
            </w:pPr>
            <w:r>
              <w:rPr>
                <w:rFonts w:hint="eastAsia"/>
                <w:color w:val="auto"/>
              </w:rPr>
              <w:t>30</w:t>
            </w:r>
          </w:p>
        </w:tc>
        <w:tc>
          <w:tcPr>
            <w:tcW w:w="720" w:type="dxa"/>
            <w:vAlign w:val="center"/>
          </w:tcPr>
          <w:p w14:paraId="7CCC650D">
            <w:pPr>
              <w:pStyle w:val="44"/>
              <w:rPr>
                <w:color w:val="auto"/>
              </w:rPr>
            </w:pPr>
          </w:p>
        </w:tc>
        <w:tc>
          <w:tcPr>
            <w:tcW w:w="720" w:type="dxa"/>
            <w:vAlign w:val="center"/>
          </w:tcPr>
          <w:p w14:paraId="324405D7">
            <w:pPr>
              <w:pStyle w:val="44"/>
              <w:rPr>
                <w:color w:val="auto"/>
              </w:rPr>
            </w:pPr>
          </w:p>
        </w:tc>
      </w:tr>
      <w:tr w14:paraId="53ECD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560" w:type="dxa"/>
            <w:gridSpan w:val="4"/>
            <w:vAlign w:val="center"/>
          </w:tcPr>
          <w:p w14:paraId="1DA30B10">
            <w:pPr>
              <w:pStyle w:val="44"/>
              <w:rPr>
                <w:b/>
                <w:bCs w:val="0"/>
                <w:color w:val="auto"/>
              </w:rPr>
            </w:pPr>
            <w:r>
              <w:rPr>
                <w:rFonts w:hint="eastAsia"/>
                <w:b/>
                <w:bCs w:val="0"/>
                <w:color w:val="auto"/>
              </w:rPr>
              <w:t>检查项目合计</w:t>
            </w:r>
          </w:p>
        </w:tc>
        <w:tc>
          <w:tcPr>
            <w:tcW w:w="720" w:type="dxa"/>
            <w:vAlign w:val="center"/>
          </w:tcPr>
          <w:p w14:paraId="0AF79D2A">
            <w:pPr>
              <w:pStyle w:val="44"/>
              <w:rPr>
                <w:color w:val="auto"/>
              </w:rPr>
            </w:pPr>
            <w:r>
              <w:rPr>
                <w:rFonts w:hint="eastAsia"/>
                <w:color w:val="auto"/>
              </w:rPr>
              <w:t>100</w:t>
            </w:r>
          </w:p>
        </w:tc>
        <w:tc>
          <w:tcPr>
            <w:tcW w:w="720" w:type="dxa"/>
            <w:vAlign w:val="center"/>
          </w:tcPr>
          <w:p w14:paraId="7611BA1C">
            <w:pPr>
              <w:pStyle w:val="44"/>
              <w:rPr>
                <w:color w:val="auto"/>
              </w:rPr>
            </w:pPr>
          </w:p>
        </w:tc>
        <w:tc>
          <w:tcPr>
            <w:tcW w:w="720" w:type="dxa"/>
            <w:vAlign w:val="center"/>
          </w:tcPr>
          <w:p w14:paraId="7A778921">
            <w:pPr>
              <w:pStyle w:val="44"/>
              <w:rPr>
                <w:color w:val="auto"/>
              </w:rPr>
            </w:pPr>
          </w:p>
        </w:tc>
      </w:tr>
    </w:tbl>
    <w:p w14:paraId="75772ECC"/>
    <w:p w14:paraId="57854676">
      <w:pPr>
        <w:pStyle w:val="5"/>
      </w:pPr>
      <w:r>
        <w:rPr>
          <w:rFonts w:hint="eastAsia"/>
        </w:rPr>
        <w:br w:type="page"/>
      </w:r>
      <w:bookmarkStart w:id="14" w:name="_Toc13377"/>
      <w:bookmarkStart w:id="15" w:name="_Toc1289"/>
      <w:bookmarkStart w:id="16" w:name="_Toc16278"/>
      <w:r>
        <w:rPr>
          <w:rFonts w:hint="eastAsia"/>
        </w:rPr>
        <w:t>表B.</w:t>
      </w:r>
      <w:r>
        <w:t>3</w:t>
      </w:r>
      <w:r>
        <w:rPr>
          <w:rFonts w:hint="eastAsia"/>
        </w:rPr>
        <w:t xml:space="preserve">  高处作业检查</w:t>
      </w:r>
      <w:r>
        <w:t>评分表</w:t>
      </w:r>
      <w:bookmarkEnd w:id="14"/>
      <w:bookmarkEnd w:id="15"/>
      <w:bookmarkEnd w:id="16"/>
    </w:p>
    <w:tbl>
      <w:tblPr>
        <w:tblStyle w:val="19"/>
        <w:tblW w:w="9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1170"/>
        <w:gridCol w:w="5308"/>
        <w:gridCol w:w="720"/>
        <w:gridCol w:w="720"/>
        <w:gridCol w:w="720"/>
      </w:tblGrid>
      <w:tr w14:paraId="03AD8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jc w:val="center"/>
        </w:trPr>
        <w:tc>
          <w:tcPr>
            <w:tcW w:w="539" w:type="dxa"/>
            <w:vAlign w:val="center"/>
          </w:tcPr>
          <w:p w14:paraId="784003A0">
            <w:pPr>
              <w:pStyle w:val="44"/>
              <w:rPr>
                <w:color w:val="auto"/>
              </w:rPr>
            </w:pPr>
            <w:r>
              <w:rPr>
                <w:rFonts w:hint="eastAsia"/>
                <w:color w:val="auto"/>
              </w:rPr>
              <w:t>序号</w:t>
            </w:r>
          </w:p>
        </w:tc>
        <w:tc>
          <w:tcPr>
            <w:tcW w:w="1170" w:type="dxa"/>
            <w:vAlign w:val="center"/>
          </w:tcPr>
          <w:p w14:paraId="2FC938E0">
            <w:pPr>
              <w:pStyle w:val="44"/>
              <w:rPr>
                <w:color w:val="auto"/>
              </w:rPr>
            </w:pPr>
            <w:r>
              <w:rPr>
                <w:rFonts w:hint="eastAsia"/>
                <w:color w:val="auto"/>
              </w:rPr>
              <w:t>检查项目</w:t>
            </w:r>
          </w:p>
        </w:tc>
        <w:tc>
          <w:tcPr>
            <w:tcW w:w="5308" w:type="dxa"/>
            <w:vAlign w:val="center"/>
          </w:tcPr>
          <w:p w14:paraId="5E42C986">
            <w:pPr>
              <w:pStyle w:val="44"/>
              <w:rPr>
                <w:color w:val="auto"/>
              </w:rPr>
            </w:pPr>
            <w:r>
              <w:rPr>
                <w:rFonts w:hint="eastAsia"/>
                <w:color w:val="auto"/>
              </w:rPr>
              <w:t>扣 分 标 准</w:t>
            </w:r>
          </w:p>
        </w:tc>
        <w:tc>
          <w:tcPr>
            <w:tcW w:w="720" w:type="dxa"/>
            <w:vAlign w:val="center"/>
          </w:tcPr>
          <w:p w14:paraId="5A9B84AF">
            <w:pPr>
              <w:pStyle w:val="44"/>
              <w:rPr>
                <w:color w:val="auto"/>
              </w:rPr>
            </w:pPr>
            <w:r>
              <w:rPr>
                <w:rFonts w:hint="eastAsia"/>
                <w:color w:val="auto"/>
              </w:rPr>
              <w:t>应得</w:t>
            </w:r>
          </w:p>
          <w:p w14:paraId="72868AD2">
            <w:pPr>
              <w:pStyle w:val="44"/>
              <w:rPr>
                <w:color w:val="auto"/>
              </w:rPr>
            </w:pPr>
            <w:r>
              <w:rPr>
                <w:rFonts w:hint="eastAsia"/>
                <w:color w:val="auto"/>
              </w:rPr>
              <w:t>分数</w:t>
            </w:r>
          </w:p>
        </w:tc>
        <w:tc>
          <w:tcPr>
            <w:tcW w:w="720" w:type="dxa"/>
            <w:vAlign w:val="center"/>
          </w:tcPr>
          <w:p w14:paraId="7618197F">
            <w:pPr>
              <w:pStyle w:val="44"/>
              <w:rPr>
                <w:color w:val="auto"/>
              </w:rPr>
            </w:pPr>
            <w:r>
              <w:rPr>
                <w:rFonts w:hint="eastAsia"/>
                <w:color w:val="auto"/>
              </w:rPr>
              <w:t>扣减</w:t>
            </w:r>
          </w:p>
          <w:p w14:paraId="6E514204">
            <w:pPr>
              <w:pStyle w:val="44"/>
              <w:rPr>
                <w:color w:val="auto"/>
              </w:rPr>
            </w:pPr>
            <w:r>
              <w:rPr>
                <w:rFonts w:hint="eastAsia"/>
                <w:color w:val="auto"/>
              </w:rPr>
              <w:t>分数</w:t>
            </w:r>
          </w:p>
        </w:tc>
        <w:tc>
          <w:tcPr>
            <w:tcW w:w="720" w:type="dxa"/>
            <w:vAlign w:val="center"/>
          </w:tcPr>
          <w:p w14:paraId="252EFEC2">
            <w:pPr>
              <w:pStyle w:val="44"/>
              <w:rPr>
                <w:color w:val="auto"/>
              </w:rPr>
            </w:pPr>
            <w:r>
              <w:rPr>
                <w:rFonts w:hint="eastAsia"/>
                <w:color w:val="auto"/>
              </w:rPr>
              <w:t>实得</w:t>
            </w:r>
          </w:p>
          <w:p w14:paraId="59D49189">
            <w:pPr>
              <w:pStyle w:val="44"/>
              <w:rPr>
                <w:color w:val="auto"/>
              </w:rPr>
            </w:pPr>
            <w:r>
              <w:rPr>
                <w:rFonts w:hint="eastAsia"/>
                <w:color w:val="auto"/>
              </w:rPr>
              <w:t>分数</w:t>
            </w:r>
          </w:p>
        </w:tc>
      </w:tr>
      <w:tr w14:paraId="45615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035F1BF1">
            <w:pPr>
              <w:pStyle w:val="44"/>
              <w:rPr>
                <w:color w:val="auto"/>
              </w:rPr>
            </w:pPr>
            <w:r>
              <w:rPr>
                <w:rFonts w:hint="eastAsia"/>
                <w:color w:val="auto"/>
              </w:rPr>
              <w:t>1</w:t>
            </w:r>
          </w:p>
        </w:tc>
        <w:tc>
          <w:tcPr>
            <w:tcW w:w="1170" w:type="dxa"/>
            <w:vAlign w:val="center"/>
          </w:tcPr>
          <w:p w14:paraId="5C733972">
            <w:pPr>
              <w:pStyle w:val="44"/>
              <w:rPr>
                <w:color w:val="auto"/>
              </w:rPr>
            </w:pPr>
            <w:r>
              <w:rPr>
                <w:rFonts w:hint="eastAsia"/>
                <w:color w:val="auto"/>
              </w:rPr>
              <w:t>安全帽</w:t>
            </w:r>
          </w:p>
        </w:tc>
        <w:tc>
          <w:tcPr>
            <w:tcW w:w="5308" w:type="dxa"/>
            <w:vAlign w:val="center"/>
          </w:tcPr>
          <w:p w14:paraId="1A9CB117">
            <w:pPr>
              <w:pStyle w:val="44"/>
              <w:jc w:val="left"/>
              <w:rPr>
                <w:color w:val="auto"/>
              </w:rPr>
            </w:pPr>
            <w:r>
              <w:rPr>
                <w:color w:val="auto"/>
              </w:rPr>
              <w:t>1）施工现场人员未佩戴安全帽，每人扣5分</w:t>
            </w:r>
          </w:p>
          <w:p w14:paraId="18C0D5C7">
            <w:pPr>
              <w:pStyle w:val="44"/>
              <w:jc w:val="left"/>
              <w:rPr>
                <w:color w:val="auto"/>
              </w:rPr>
            </w:pPr>
            <w:r>
              <w:rPr>
                <w:color w:val="auto"/>
              </w:rPr>
              <w:t>2）未按规定正确佩戴安全帽，每人扣2分</w:t>
            </w:r>
          </w:p>
          <w:p w14:paraId="3A6B499B">
            <w:pPr>
              <w:pStyle w:val="44"/>
              <w:jc w:val="left"/>
              <w:rPr>
                <w:color w:val="auto"/>
              </w:rPr>
            </w:pPr>
            <w:r>
              <w:rPr>
                <w:color w:val="auto"/>
              </w:rPr>
              <w:t>3）安全帽质量不符合现行国家相关标准的要求，扣5分</w:t>
            </w:r>
          </w:p>
        </w:tc>
        <w:tc>
          <w:tcPr>
            <w:tcW w:w="720" w:type="dxa"/>
            <w:vAlign w:val="center"/>
          </w:tcPr>
          <w:p w14:paraId="00F41D8C">
            <w:pPr>
              <w:pStyle w:val="44"/>
              <w:rPr>
                <w:color w:val="auto"/>
              </w:rPr>
            </w:pPr>
            <w:r>
              <w:rPr>
                <w:rFonts w:hint="eastAsia"/>
                <w:color w:val="auto"/>
              </w:rPr>
              <w:t>5</w:t>
            </w:r>
          </w:p>
        </w:tc>
        <w:tc>
          <w:tcPr>
            <w:tcW w:w="720" w:type="dxa"/>
            <w:vAlign w:val="center"/>
          </w:tcPr>
          <w:p w14:paraId="792AC7F7">
            <w:pPr>
              <w:pStyle w:val="44"/>
              <w:rPr>
                <w:color w:val="auto"/>
              </w:rPr>
            </w:pPr>
          </w:p>
        </w:tc>
        <w:tc>
          <w:tcPr>
            <w:tcW w:w="720" w:type="dxa"/>
            <w:vAlign w:val="center"/>
          </w:tcPr>
          <w:p w14:paraId="21ABDE1D">
            <w:pPr>
              <w:pStyle w:val="44"/>
              <w:rPr>
                <w:color w:val="auto"/>
              </w:rPr>
            </w:pPr>
          </w:p>
        </w:tc>
      </w:tr>
      <w:tr w14:paraId="66ECF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1F789A3F">
            <w:pPr>
              <w:pStyle w:val="44"/>
              <w:rPr>
                <w:color w:val="auto"/>
              </w:rPr>
            </w:pPr>
            <w:r>
              <w:rPr>
                <w:rFonts w:hint="eastAsia"/>
                <w:color w:val="auto"/>
              </w:rPr>
              <w:t>2</w:t>
            </w:r>
          </w:p>
        </w:tc>
        <w:tc>
          <w:tcPr>
            <w:tcW w:w="1170" w:type="dxa"/>
            <w:vAlign w:val="center"/>
          </w:tcPr>
          <w:p w14:paraId="515E4853">
            <w:pPr>
              <w:pStyle w:val="44"/>
              <w:rPr>
                <w:color w:val="auto"/>
              </w:rPr>
            </w:pPr>
            <w:r>
              <w:rPr>
                <w:rFonts w:hint="eastAsia"/>
                <w:color w:val="auto"/>
              </w:rPr>
              <w:t>安全网</w:t>
            </w:r>
          </w:p>
        </w:tc>
        <w:tc>
          <w:tcPr>
            <w:tcW w:w="5308" w:type="dxa"/>
            <w:vAlign w:val="center"/>
          </w:tcPr>
          <w:p w14:paraId="58FEB4CF">
            <w:pPr>
              <w:pStyle w:val="44"/>
              <w:jc w:val="left"/>
              <w:rPr>
                <w:color w:val="auto"/>
              </w:rPr>
            </w:pPr>
            <w:r>
              <w:rPr>
                <w:color w:val="auto"/>
              </w:rPr>
              <w:t>1）临边防护栏杆未张挂密目式安全立网或网间连接不紧密，扣2-10分</w:t>
            </w:r>
          </w:p>
          <w:p w14:paraId="514D68EA">
            <w:pPr>
              <w:pStyle w:val="44"/>
              <w:jc w:val="left"/>
              <w:rPr>
                <w:color w:val="auto"/>
              </w:rPr>
            </w:pPr>
            <w:r>
              <w:rPr>
                <w:color w:val="auto"/>
              </w:rPr>
              <w:t>2）边长大于1500mm的水平洞口位置未张设安全平网，扣10分</w:t>
            </w:r>
          </w:p>
          <w:p w14:paraId="10854005">
            <w:pPr>
              <w:pStyle w:val="44"/>
              <w:jc w:val="left"/>
              <w:rPr>
                <w:color w:val="auto"/>
              </w:rPr>
            </w:pPr>
            <w:r>
              <w:rPr>
                <w:color w:val="auto"/>
              </w:rPr>
              <w:t>3）高度超过3.2m无外脚手架的工作面外侧未张设安全平网，扣5分</w:t>
            </w:r>
          </w:p>
          <w:p w14:paraId="518C5ECC">
            <w:pPr>
              <w:pStyle w:val="44"/>
              <w:jc w:val="left"/>
              <w:rPr>
                <w:color w:val="auto"/>
              </w:rPr>
            </w:pPr>
            <w:r>
              <w:rPr>
                <w:color w:val="auto"/>
              </w:rPr>
              <w:t>4）脚手架与构筑物之间距离超过200mm的间隙未张设安全平网，扣3分</w:t>
            </w:r>
          </w:p>
          <w:p w14:paraId="05CBACD8">
            <w:pPr>
              <w:pStyle w:val="44"/>
              <w:jc w:val="left"/>
              <w:rPr>
                <w:color w:val="auto"/>
              </w:rPr>
            </w:pPr>
            <w:r>
              <w:rPr>
                <w:color w:val="auto"/>
              </w:rPr>
              <w:t>5）当需采用平网进行防护时采用密目式安全立网代替平网使用，扣10分</w:t>
            </w:r>
          </w:p>
          <w:p w14:paraId="4928E9AA">
            <w:pPr>
              <w:pStyle w:val="44"/>
              <w:jc w:val="left"/>
              <w:rPr>
                <w:color w:val="auto"/>
              </w:rPr>
            </w:pPr>
            <w:r>
              <w:rPr>
                <w:color w:val="auto"/>
              </w:rPr>
              <w:t>6）安全网与支撑件的拉结不牢固</w:t>
            </w:r>
          </w:p>
          <w:p w14:paraId="0805F742">
            <w:pPr>
              <w:pStyle w:val="44"/>
              <w:jc w:val="left"/>
              <w:rPr>
                <w:color w:val="auto"/>
              </w:rPr>
            </w:pPr>
            <w:r>
              <w:rPr>
                <w:color w:val="auto"/>
              </w:rPr>
              <w:t>7）安全网质量不符合现行国家相关标准的要求，扣10分</w:t>
            </w:r>
          </w:p>
        </w:tc>
        <w:tc>
          <w:tcPr>
            <w:tcW w:w="720" w:type="dxa"/>
            <w:vAlign w:val="center"/>
          </w:tcPr>
          <w:p w14:paraId="0E3454D5">
            <w:pPr>
              <w:pStyle w:val="44"/>
              <w:rPr>
                <w:color w:val="auto"/>
              </w:rPr>
            </w:pPr>
            <w:r>
              <w:rPr>
                <w:rFonts w:hint="eastAsia"/>
                <w:color w:val="auto"/>
              </w:rPr>
              <w:t>10</w:t>
            </w:r>
          </w:p>
        </w:tc>
        <w:tc>
          <w:tcPr>
            <w:tcW w:w="720" w:type="dxa"/>
            <w:vAlign w:val="center"/>
          </w:tcPr>
          <w:p w14:paraId="2D418587">
            <w:pPr>
              <w:pStyle w:val="44"/>
              <w:rPr>
                <w:color w:val="auto"/>
              </w:rPr>
            </w:pPr>
          </w:p>
        </w:tc>
        <w:tc>
          <w:tcPr>
            <w:tcW w:w="720" w:type="dxa"/>
            <w:vAlign w:val="center"/>
          </w:tcPr>
          <w:p w14:paraId="028B2075">
            <w:pPr>
              <w:pStyle w:val="44"/>
              <w:rPr>
                <w:color w:val="auto"/>
              </w:rPr>
            </w:pPr>
          </w:p>
        </w:tc>
      </w:tr>
      <w:tr w14:paraId="5521C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3E24920">
            <w:pPr>
              <w:pStyle w:val="44"/>
              <w:rPr>
                <w:color w:val="auto"/>
              </w:rPr>
            </w:pPr>
            <w:r>
              <w:rPr>
                <w:rFonts w:hint="eastAsia"/>
                <w:color w:val="auto"/>
              </w:rPr>
              <w:t>3</w:t>
            </w:r>
          </w:p>
        </w:tc>
        <w:tc>
          <w:tcPr>
            <w:tcW w:w="1170" w:type="dxa"/>
            <w:vAlign w:val="center"/>
          </w:tcPr>
          <w:p w14:paraId="65F60F17">
            <w:pPr>
              <w:pStyle w:val="44"/>
              <w:rPr>
                <w:color w:val="auto"/>
              </w:rPr>
            </w:pPr>
            <w:r>
              <w:rPr>
                <w:rFonts w:hint="eastAsia"/>
                <w:color w:val="auto"/>
              </w:rPr>
              <w:t>安全带</w:t>
            </w:r>
          </w:p>
        </w:tc>
        <w:tc>
          <w:tcPr>
            <w:tcW w:w="5308" w:type="dxa"/>
            <w:vAlign w:val="center"/>
          </w:tcPr>
          <w:p w14:paraId="063C175B">
            <w:pPr>
              <w:pStyle w:val="44"/>
              <w:jc w:val="left"/>
              <w:rPr>
                <w:color w:val="auto"/>
              </w:rPr>
            </w:pPr>
            <w:r>
              <w:rPr>
                <w:color w:val="auto"/>
              </w:rPr>
              <w:t>1）高空作业人员未按规定系挂安全带，每人扣5分</w:t>
            </w:r>
          </w:p>
          <w:p w14:paraId="05AA4A3B">
            <w:pPr>
              <w:pStyle w:val="44"/>
              <w:jc w:val="left"/>
              <w:rPr>
                <w:color w:val="auto"/>
              </w:rPr>
            </w:pPr>
            <w:r>
              <w:rPr>
                <w:color w:val="auto"/>
              </w:rPr>
              <w:t>2）安全带系挂不符合标准要求，每人扣5分</w:t>
            </w:r>
          </w:p>
          <w:p w14:paraId="1695E19B">
            <w:pPr>
              <w:pStyle w:val="44"/>
              <w:jc w:val="left"/>
              <w:rPr>
                <w:color w:val="auto"/>
              </w:rPr>
            </w:pPr>
            <w:r>
              <w:rPr>
                <w:color w:val="auto"/>
              </w:rPr>
              <w:t>3）安全带质量不符合现行国家相关标准的要求，扣10分</w:t>
            </w:r>
          </w:p>
        </w:tc>
        <w:tc>
          <w:tcPr>
            <w:tcW w:w="720" w:type="dxa"/>
            <w:vAlign w:val="center"/>
          </w:tcPr>
          <w:p w14:paraId="29A6877C">
            <w:pPr>
              <w:pStyle w:val="44"/>
              <w:rPr>
                <w:color w:val="auto"/>
              </w:rPr>
            </w:pPr>
            <w:r>
              <w:rPr>
                <w:rFonts w:hint="eastAsia"/>
                <w:color w:val="auto"/>
              </w:rPr>
              <w:t>8</w:t>
            </w:r>
          </w:p>
        </w:tc>
        <w:tc>
          <w:tcPr>
            <w:tcW w:w="720" w:type="dxa"/>
            <w:vAlign w:val="center"/>
          </w:tcPr>
          <w:p w14:paraId="05FCD217">
            <w:pPr>
              <w:pStyle w:val="44"/>
              <w:rPr>
                <w:color w:val="auto"/>
              </w:rPr>
            </w:pPr>
          </w:p>
        </w:tc>
        <w:tc>
          <w:tcPr>
            <w:tcW w:w="720" w:type="dxa"/>
            <w:vAlign w:val="center"/>
          </w:tcPr>
          <w:p w14:paraId="70E4E6E0">
            <w:pPr>
              <w:pStyle w:val="44"/>
              <w:rPr>
                <w:color w:val="auto"/>
              </w:rPr>
            </w:pPr>
          </w:p>
        </w:tc>
      </w:tr>
      <w:tr w14:paraId="26217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9542C72">
            <w:pPr>
              <w:pStyle w:val="44"/>
              <w:rPr>
                <w:color w:val="auto"/>
              </w:rPr>
            </w:pPr>
            <w:r>
              <w:rPr>
                <w:rFonts w:hint="eastAsia"/>
                <w:color w:val="auto"/>
              </w:rPr>
              <w:t>4</w:t>
            </w:r>
          </w:p>
        </w:tc>
        <w:tc>
          <w:tcPr>
            <w:tcW w:w="1170" w:type="dxa"/>
            <w:vAlign w:val="center"/>
          </w:tcPr>
          <w:p w14:paraId="6CB10245">
            <w:pPr>
              <w:pStyle w:val="44"/>
              <w:rPr>
                <w:color w:val="auto"/>
              </w:rPr>
            </w:pPr>
            <w:r>
              <w:rPr>
                <w:rFonts w:hint="eastAsia"/>
                <w:color w:val="auto"/>
              </w:rPr>
              <w:t>防尘口罩</w:t>
            </w:r>
          </w:p>
        </w:tc>
        <w:tc>
          <w:tcPr>
            <w:tcW w:w="5308" w:type="dxa"/>
            <w:vAlign w:val="center"/>
          </w:tcPr>
          <w:p w14:paraId="2CD2F751">
            <w:pPr>
              <w:pStyle w:val="44"/>
              <w:jc w:val="left"/>
              <w:rPr>
                <w:color w:val="auto"/>
              </w:rPr>
            </w:pPr>
            <w:r>
              <w:rPr>
                <w:color w:val="auto"/>
              </w:rPr>
              <w:t>1）从事钻孔、注浆、喷射混凝土、切割、打磨等扬尘作业的人员未戴防尘口罩，每人扣1分</w:t>
            </w:r>
          </w:p>
          <w:p w14:paraId="481E6EB0">
            <w:pPr>
              <w:pStyle w:val="44"/>
              <w:jc w:val="left"/>
              <w:rPr>
                <w:color w:val="auto"/>
              </w:rPr>
            </w:pPr>
            <w:r>
              <w:rPr>
                <w:color w:val="auto"/>
              </w:rPr>
              <w:t>2）防尘口罩的质量不符合现行国家相关标准的要求，扣3分</w:t>
            </w:r>
          </w:p>
        </w:tc>
        <w:tc>
          <w:tcPr>
            <w:tcW w:w="720" w:type="dxa"/>
            <w:vAlign w:val="center"/>
          </w:tcPr>
          <w:p w14:paraId="3BC03ED4">
            <w:pPr>
              <w:pStyle w:val="44"/>
              <w:rPr>
                <w:color w:val="auto"/>
              </w:rPr>
            </w:pPr>
            <w:r>
              <w:rPr>
                <w:rFonts w:hint="eastAsia"/>
                <w:color w:val="auto"/>
              </w:rPr>
              <w:t>5</w:t>
            </w:r>
          </w:p>
        </w:tc>
        <w:tc>
          <w:tcPr>
            <w:tcW w:w="720" w:type="dxa"/>
            <w:vAlign w:val="center"/>
          </w:tcPr>
          <w:p w14:paraId="1540199E">
            <w:pPr>
              <w:pStyle w:val="44"/>
              <w:rPr>
                <w:color w:val="auto"/>
              </w:rPr>
            </w:pPr>
          </w:p>
        </w:tc>
        <w:tc>
          <w:tcPr>
            <w:tcW w:w="720" w:type="dxa"/>
            <w:vAlign w:val="center"/>
          </w:tcPr>
          <w:p w14:paraId="4769D94C">
            <w:pPr>
              <w:pStyle w:val="44"/>
              <w:rPr>
                <w:color w:val="auto"/>
              </w:rPr>
            </w:pPr>
          </w:p>
        </w:tc>
      </w:tr>
      <w:tr w14:paraId="316F1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65E750E9">
            <w:pPr>
              <w:pStyle w:val="44"/>
              <w:rPr>
                <w:color w:val="auto"/>
              </w:rPr>
            </w:pPr>
            <w:r>
              <w:rPr>
                <w:rFonts w:hint="eastAsia"/>
                <w:color w:val="auto"/>
              </w:rPr>
              <w:t>5</w:t>
            </w:r>
          </w:p>
        </w:tc>
        <w:tc>
          <w:tcPr>
            <w:tcW w:w="1170" w:type="dxa"/>
            <w:vAlign w:val="center"/>
          </w:tcPr>
          <w:p w14:paraId="7D4244A7">
            <w:pPr>
              <w:pStyle w:val="44"/>
              <w:rPr>
                <w:color w:val="auto"/>
              </w:rPr>
            </w:pPr>
            <w:r>
              <w:rPr>
                <w:rFonts w:hint="eastAsia"/>
                <w:color w:val="auto"/>
              </w:rPr>
              <w:t>临边防护</w:t>
            </w:r>
          </w:p>
        </w:tc>
        <w:tc>
          <w:tcPr>
            <w:tcW w:w="5308" w:type="dxa"/>
            <w:vAlign w:val="center"/>
          </w:tcPr>
          <w:p w14:paraId="02E62B08">
            <w:pPr>
              <w:pStyle w:val="44"/>
              <w:jc w:val="left"/>
              <w:rPr>
                <w:color w:val="auto"/>
              </w:rPr>
            </w:pPr>
            <w:r>
              <w:rPr>
                <w:color w:val="auto"/>
              </w:rPr>
              <w:t>1）高度2m以上且无外脚手架的临边作业面边缘未设置临边防护设施，扣10分</w:t>
            </w:r>
          </w:p>
          <w:p w14:paraId="4D54A54E">
            <w:pPr>
              <w:pStyle w:val="44"/>
              <w:jc w:val="left"/>
              <w:rPr>
                <w:color w:val="auto"/>
              </w:rPr>
            </w:pPr>
            <w:r>
              <w:rPr>
                <w:color w:val="auto"/>
              </w:rPr>
              <w:t>2）临边防护设施设置不连续、严密，扣5分</w:t>
            </w:r>
          </w:p>
          <w:p w14:paraId="260C67C5">
            <w:pPr>
              <w:pStyle w:val="44"/>
              <w:jc w:val="left"/>
              <w:rPr>
                <w:color w:val="auto"/>
              </w:rPr>
            </w:pPr>
            <w:r>
              <w:rPr>
                <w:color w:val="auto"/>
              </w:rPr>
              <w:t>3）临边防护设施的承载力和构造不符合标准要求，扣5分</w:t>
            </w:r>
          </w:p>
          <w:p w14:paraId="7E1EAC37">
            <w:pPr>
              <w:pStyle w:val="44"/>
              <w:jc w:val="left"/>
              <w:rPr>
                <w:color w:val="auto"/>
              </w:rPr>
            </w:pPr>
            <w:r>
              <w:rPr>
                <w:color w:val="auto"/>
              </w:rPr>
              <w:t>4）临边防护设施未实现定型化、工具式，扣3分</w:t>
            </w:r>
          </w:p>
          <w:p w14:paraId="48F30B17">
            <w:pPr>
              <w:pStyle w:val="44"/>
              <w:jc w:val="left"/>
              <w:rPr>
                <w:color w:val="auto"/>
              </w:rPr>
            </w:pPr>
            <w:r>
              <w:rPr>
                <w:color w:val="auto"/>
              </w:rPr>
              <w:t>5）临边防护栏杆未设置防物体、火花等坠落的挡脚板或挡脚笆，扣3分</w:t>
            </w:r>
          </w:p>
        </w:tc>
        <w:tc>
          <w:tcPr>
            <w:tcW w:w="720" w:type="dxa"/>
            <w:vAlign w:val="center"/>
          </w:tcPr>
          <w:p w14:paraId="7D729ED9">
            <w:pPr>
              <w:pStyle w:val="44"/>
              <w:rPr>
                <w:color w:val="auto"/>
              </w:rPr>
            </w:pPr>
            <w:r>
              <w:rPr>
                <w:rFonts w:hint="eastAsia"/>
                <w:color w:val="auto"/>
              </w:rPr>
              <w:t>7</w:t>
            </w:r>
          </w:p>
        </w:tc>
        <w:tc>
          <w:tcPr>
            <w:tcW w:w="720" w:type="dxa"/>
            <w:vAlign w:val="center"/>
          </w:tcPr>
          <w:p w14:paraId="150556E0">
            <w:pPr>
              <w:pStyle w:val="44"/>
              <w:rPr>
                <w:color w:val="auto"/>
              </w:rPr>
            </w:pPr>
          </w:p>
        </w:tc>
        <w:tc>
          <w:tcPr>
            <w:tcW w:w="720" w:type="dxa"/>
            <w:vAlign w:val="center"/>
          </w:tcPr>
          <w:p w14:paraId="1977C508">
            <w:pPr>
              <w:pStyle w:val="44"/>
              <w:rPr>
                <w:color w:val="auto"/>
              </w:rPr>
            </w:pPr>
          </w:p>
        </w:tc>
      </w:tr>
      <w:tr w14:paraId="1B69B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9C87B8F">
            <w:pPr>
              <w:pStyle w:val="44"/>
              <w:rPr>
                <w:color w:val="auto"/>
              </w:rPr>
            </w:pPr>
            <w:r>
              <w:rPr>
                <w:rFonts w:hint="eastAsia"/>
                <w:color w:val="auto"/>
              </w:rPr>
              <w:t>6</w:t>
            </w:r>
          </w:p>
        </w:tc>
        <w:tc>
          <w:tcPr>
            <w:tcW w:w="1170" w:type="dxa"/>
            <w:vAlign w:val="center"/>
          </w:tcPr>
          <w:p w14:paraId="7CD9A468">
            <w:pPr>
              <w:pStyle w:val="44"/>
              <w:rPr>
                <w:color w:val="auto"/>
              </w:rPr>
            </w:pPr>
            <w:r>
              <w:rPr>
                <w:rFonts w:hint="eastAsia"/>
                <w:color w:val="auto"/>
              </w:rPr>
              <w:t>洞口防护</w:t>
            </w:r>
          </w:p>
        </w:tc>
        <w:tc>
          <w:tcPr>
            <w:tcW w:w="5308" w:type="dxa"/>
            <w:vAlign w:val="center"/>
          </w:tcPr>
          <w:p w14:paraId="6CF9C011">
            <w:pPr>
              <w:pStyle w:val="44"/>
              <w:jc w:val="left"/>
              <w:rPr>
                <w:color w:val="auto"/>
              </w:rPr>
            </w:pPr>
            <w:r>
              <w:rPr>
                <w:color w:val="auto"/>
              </w:rPr>
              <w:t>1）各类孔、洞未采取防护措施，每处扣5分</w:t>
            </w:r>
          </w:p>
          <w:p w14:paraId="68456CF4">
            <w:pPr>
              <w:pStyle w:val="44"/>
              <w:jc w:val="left"/>
              <w:rPr>
                <w:color w:val="auto"/>
              </w:rPr>
            </w:pPr>
            <w:r>
              <w:rPr>
                <w:color w:val="auto"/>
              </w:rPr>
              <w:t>2）孔、洞围挡不严密，每处扣2分</w:t>
            </w:r>
          </w:p>
          <w:p w14:paraId="307B44BE">
            <w:pPr>
              <w:pStyle w:val="44"/>
              <w:jc w:val="left"/>
              <w:rPr>
                <w:color w:val="auto"/>
              </w:rPr>
            </w:pPr>
            <w:r>
              <w:rPr>
                <w:color w:val="auto"/>
              </w:rPr>
              <w:t>3）洞口防护措施、设施的构造不符合标准要求，每处扣2分</w:t>
            </w:r>
          </w:p>
          <w:p w14:paraId="5E84DFAF">
            <w:pPr>
              <w:pStyle w:val="44"/>
              <w:jc w:val="left"/>
              <w:rPr>
                <w:color w:val="auto"/>
              </w:rPr>
            </w:pPr>
            <w:r>
              <w:rPr>
                <w:color w:val="auto"/>
              </w:rPr>
              <w:t>4）洞口防护设施未实现定型化、工具式，扣3分</w:t>
            </w:r>
          </w:p>
          <w:p w14:paraId="673D5D4C">
            <w:pPr>
              <w:pStyle w:val="44"/>
              <w:jc w:val="left"/>
              <w:rPr>
                <w:color w:val="auto"/>
              </w:rPr>
            </w:pPr>
            <w:r>
              <w:rPr>
                <w:color w:val="auto"/>
              </w:rPr>
              <w:t>5）电梯井、管道井、风道井内未按每隔2层且不大于10m应设置安全平网防护，扣5分</w:t>
            </w:r>
          </w:p>
          <w:p w14:paraId="743D051F">
            <w:pPr>
              <w:pStyle w:val="44"/>
              <w:jc w:val="left"/>
              <w:rPr>
                <w:color w:val="auto"/>
              </w:rPr>
            </w:pPr>
            <w:r>
              <w:rPr>
                <w:color w:val="auto"/>
              </w:rPr>
              <w:t>6）洞口未在醒目位置设置安全警示牌，夜间应设红灯示警，扣3分</w:t>
            </w:r>
          </w:p>
        </w:tc>
        <w:tc>
          <w:tcPr>
            <w:tcW w:w="720" w:type="dxa"/>
            <w:vAlign w:val="center"/>
          </w:tcPr>
          <w:p w14:paraId="69633F47">
            <w:pPr>
              <w:pStyle w:val="44"/>
              <w:rPr>
                <w:color w:val="auto"/>
              </w:rPr>
            </w:pPr>
            <w:r>
              <w:rPr>
                <w:rFonts w:hint="eastAsia"/>
                <w:color w:val="auto"/>
              </w:rPr>
              <w:t>7</w:t>
            </w:r>
          </w:p>
        </w:tc>
        <w:tc>
          <w:tcPr>
            <w:tcW w:w="720" w:type="dxa"/>
            <w:vAlign w:val="center"/>
          </w:tcPr>
          <w:p w14:paraId="1036309B">
            <w:pPr>
              <w:pStyle w:val="44"/>
              <w:rPr>
                <w:color w:val="auto"/>
              </w:rPr>
            </w:pPr>
          </w:p>
        </w:tc>
        <w:tc>
          <w:tcPr>
            <w:tcW w:w="720" w:type="dxa"/>
            <w:vAlign w:val="center"/>
          </w:tcPr>
          <w:p w14:paraId="361902AA">
            <w:pPr>
              <w:pStyle w:val="44"/>
              <w:rPr>
                <w:color w:val="auto"/>
              </w:rPr>
            </w:pPr>
          </w:p>
        </w:tc>
      </w:tr>
      <w:tr w14:paraId="4F53D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29F0843">
            <w:pPr>
              <w:pStyle w:val="44"/>
              <w:rPr>
                <w:color w:val="auto"/>
              </w:rPr>
            </w:pPr>
            <w:r>
              <w:rPr>
                <w:rFonts w:hint="eastAsia"/>
                <w:color w:val="auto"/>
              </w:rPr>
              <w:t>7</w:t>
            </w:r>
          </w:p>
        </w:tc>
        <w:tc>
          <w:tcPr>
            <w:tcW w:w="1170" w:type="dxa"/>
            <w:vAlign w:val="center"/>
          </w:tcPr>
          <w:p w14:paraId="0A27333B">
            <w:pPr>
              <w:pStyle w:val="44"/>
              <w:rPr>
                <w:color w:val="auto"/>
              </w:rPr>
            </w:pPr>
            <w:r>
              <w:rPr>
                <w:rFonts w:hint="eastAsia"/>
                <w:color w:val="auto"/>
              </w:rPr>
              <w:t>通道口防护</w:t>
            </w:r>
          </w:p>
        </w:tc>
        <w:tc>
          <w:tcPr>
            <w:tcW w:w="5308" w:type="dxa"/>
            <w:vAlign w:val="center"/>
          </w:tcPr>
          <w:p w14:paraId="45C89A21">
            <w:pPr>
              <w:pStyle w:val="44"/>
              <w:jc w:val="left"/>
              <w:rPr>
                <w:color w:val="auto"/>
              </w:rPr>
            </w:pPr>
            <w:r>
              <w:rPr>
                <w:color w:val="auto"/>
              </w:rPr>
              <w:t>1）各类人员进出的通道口的上部未设置安全防护棚，或防护不严、不牢固，扣3-8分</w:t>
            </w:r>
          </w:p>
          <w:p w14:paraId="58AE7D89">
            <w:pPr>
              <w:pStyle w:val="44"/>
              <w:jc w:val="left"/>
              <w:rPr>
                <w:color w:val="auto"/>
              </w:rPr>
            </w:pPr>
            <w:r>
              <w:rPr>
                <w:color w:val="auto"/>
              </w:rPr>
              <w:t>2）防护棚两侧未采取封闭措施，扣3分</w:t>
            </w:r>
          </w:p>
          <w:p w14:paraId="6B5B2104">
            <w:pPr>
              <w:pStyle w:val="44"/>
              <w:jc w:val="left"/>
              <w:rPr>
                <w:color w:val="auto"/>
              </w:rPr>
            </w:pPr>
            <w:r>
              <w:rPr>
                <w:color w:val="auto"/>
              </w:rPr>
              <w:t>3）防护棚宽度小于通道口宽度，扣3分</w:t>
            </w:r>
          </w:p>
          <w:p w14:paraId="7B6B72E8">
            <w:pPr>
              <w:pStyle w:val="44"/>
              <w:jc w:val="left"/>
              <w:rPr>
                <w:color w:val="auto"/>
              </w:rPr>
            </w:pPr>
            <w:r>
              <w:rPr>
                <w:color w:val="auto"/>
              </w:rPr>
              <w:t>4）防护棚长度小于高处作业坠落半径，扣3分</w:t>
            </w:r>
          </w:p>
          <w:p w14:paraId="32A75162">
            <w:pPr>
              <w:pStyle w:val="44"/>
              <w:jc w:val="left"/>
              <w:rPr>
                <w:color w:val="auto"/>
              </w:rPr>
            </w:pPr>
            <w:r>
              <w:rPr>
                <w:color w:val="auto"/>
              </w:rPr>
              <w:t>5）防护棚的材质和构造不符合标准要求，扣2-5分</w:t>
            </w:r>
          </w:p>
        </w:tc>
        <w:tc>
          <w:tcPr>
            <w:tcW w:w="720" w:type="dxa"/>
            <w:vAlign w:val="center"/>
          </w:tcPr>
          <w:p w14:paraId="17D35060">
            <w:pPr>
              <w:pStyle w:val="44"/>
              <w:rPr>
                <w:color w:val="auto"/>
              </w:rPr>
            </w:pPr>
            <w:r>
              <w:rPr>
                <w:rFonts w:hint="eastAsia"/>
                <w:color w:val="auto"/>
              </w:rPr>
              <w:t>8</w:t>
            </w:r>
          </w:p>
        </w:tc>
        <w:tc>
          <w:tcPr>
            <w:tcW w:w="720" w:type="dxa"/>
            <w:vAlign w:val="center"/>
          </w:tcPr>
          <w:p w14:paraId="64BA9507">
            <w:pPr>
              <w:pStyle w:val="44"/>
              <w:rPr>
                <w:color w:val="auto"/>
              </w:rPr>
            </w:pPr>
          </w:p>
        </w:tc>
        <w:tc>
          <w:tcPr>
            <w:tcW w:w="720" w:type="dxa"/>
            <w:vAlign w:val="center"/>
          </w:tcPr>
          <w:p w14:paraId="1B7D78AE">
            <w:pPr>
              <w:pStyle w:val="44"/>
              <w:rPr>
                <w:color w:val="auto"/>
              </w:rPr>
            </w:pPr>
          </w:p>
        </w:tc>
      </w:tr>
      <w:tr w14:paraId="7AE05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23B5F269">
            <w:pPr>
              <w:pStyle w:val="44"/>
              <w:rPr>
                <w:color w:val="auto"/>
              </w:rPr>
            </w:pPr>
            <w:r>
              <w:rPr>
                <w:rFonts w:hint="eastAsia"/>
                <w:color w:val="auto"/>
              </w:rPr>
              <w:t>8</w:t>
            </w:r>
          </w:p>
        </w:tc>
        <w:tc>
          <w:tcPr>
            <w:tcW w:w="1170" w:type="dxa"/>
            <w:vAlign w:val="center"/>
          </w:tcPr>
          <w:p w14:paraId="257E22A7">
            <w:pPr>
              <w:pStyle w:val="44"/>
              <w:rPr>
                <w:color w:val="auto"/>
              </w:rPr>
            </w:pPr>
            <w:r>
              <w:rPr>
                <w:rFonts w:hint="eastAsia"/>
                <w:color w:val="auto"/>
              </w:rPr>
              <w:t>攀登作业</w:t>
            </w:r>
          </w:p>
        </w:tc>
        <w:tc>
          <w:tcPr>
            <w:tcW w:w="5308" w:type="dxa"/>
            <w:vAlign w:val="center"/>
          </w:tcPr>
          <w:p w14:paraId="03CC4EDF">
            <w:pPr>
              <w:pStyle w:val="44"/>
              <w:jc w:val="left"/>
              <w:rPr>
                <w:color w:val="auto"/>
              </w:rPr>
            </w:pPr>
            <w:r>
              <w:rPr>
                <w:color w:val="auto"/>
              </w:rPr>
              <w:t>1）单梯垫高使用，扣3分</w:t>
            </w:r>
          </w:p>
          <w:p w14:paraId="7A0075AF">
            <w:pPr>
              <w:pStyle w:val="44"/>
              <w:jc w:val="left"/>
              <w:rPr>
                <w:color w:val="auto"/>
              </w:rPr>
            </w:pPr>
            <w:r>
              <w:rPr>
                <w:color w:val="auto"/>
              </w:rPr>
              <w:t>2）直梯接头超过1处，扣3分</w:t>
            </w:r>
          </w:p>
          <w:p w14:paraId="6751C996">
            <w:pPr>
              <w:pStyle w:val="44"/>
              <w:jc w:val="left"/>
              <w:rPr>
                <w:color w:val="auto"/>
              </w:rPr>
            </w:pPr>
            <w:r>
              <w:rPr>
                <w:color w:val="auto"/>
              </w:rPr>
              <w:t>3）折梯未设置可靠的拉撑装置，扣5分</w:t>
            </w:r>
          </w:p>
          <w:p w14:paraId="6996D8CD">
            <w:pPr>
              <w:pStyle w:val="44"/>
              <w:jc w:val="left"/>
              <w:rPr>
                <w:color w:val="auto"/>
              </w:rPr>
            </w:pPr>
            <w:r>
              <w:rPr>
                <w:color w:val="auto"/>
              </w:rPr>
              <w:t>4）两人同时在梯子上作业或上下，扣5分</w:t>
            </w:r>
          </w:p>
          <w:p w14:paraId="718908F7">
            <w:pPr>
              <w:pStyle w:val="44"/>
              <w:jc w:val="left"/>
              <w:rPr>
                <w:color w:val="auto"/>
              </w:rPr>
            </w:pPr>
            <w:r>
              <w:rPr>
                <w:color w:val="auto"/>
              </w:rPr>
              <w:t>5）脚手架操作层上使用梯子作业，扣7分</w:t>
            </w:r>
          </w:p>
          <w:p w14:paraId="4AA1FA5E">
            <w:pPr>
              <w:pStyle w:val="44"/>
              <w:jc w:val="left"/>
              <w:rPr>
                <w:color w:val="auto"/>
              </w:rPr>
            </w:pPr>
            <w:r>
              <w:rPr>
                <w:color w:val="auto"/>
              </w:rPr>
              <w:t>6）上下直梯时人员背向梯子或手持器物，扣3分</w:t>
            </w:r>
          </w:p>
          <w:p w14:paraId="1B828A9B">
            <w:pPr>
              <w:pStyle w:val="44"/>
              <w:jc w:val="left"/>
              <w:rPr>
                <w:color w:val="auto"/>
              </w:rPr>
            </w:pPr>
            <w:r>
              <w:rPr>
                <w:color w:val="auto"/>
              </w:rPr>
              <w:t>7）直梯攀登高度超过10m，扣7分</w:t>
            </w:r>
          </w:p>
          <w:p w14:paraId="1344F2F6">
            <w:pPr>
              <w:pStyle w:val="44"/>
              <w:jc w:val="left"/>
              <w:rPr>
                <w:color w:val="auto"/>
              </w:rPr>
            </w:pPr>
            <w:r>
              <w:rPr>
                <w:color w:val="auto"/>
              </w:rPr>
              <w:t>8）直梯攀登高度超过8m时未设置梯间平台，扣3分</w:t>
            </w:r>
          </w:p>
          <w:p w14:paraId="49FBE9E3">
            <w:pPr>
              <w:pStyle w:val="44"/>
              <w:jc w:val="left"/>
              <w:rPr>
                <w:color w:val="auto"/>
              </w:rPr>
            </w:pPr>
            <w:r>
              <w:rPr>
                <w:color w:val="auto"/>
              </w:rPr>
              <w:t>9）人行塔梯顶部和各平台未牢固满铺防滑板，或未在四周按临边作业要求设置防护栏杆，扣7分</w:t>
            </w:r>
          </w:p>
          <w:p w14:paraId="6C856656">
            <w:pPr>
              <w:pStyle w:val="44"/>
              <w:jc w:val="left"/>
              <w:rPr>
                <w:color w:val="auto"/>
              </w:rPr>
            </w:pPr>
            <w:r>
              <w:rPr>
                <w:color w:val="auto"/>
              </w:rPr>
              <w:t>10）高度超过5m的人行塔梯未与建筑结构间设置连墙件，扣7分</w:t>
            </w:r>
          </w:p>
          <w:p w14:paraId="4A680AFB">
            <w:pPr>
              <w:pStyle w:val="44"/>
              <w:jc w:val="left"/>
              <w:rPr>
                <w:color w:val="auto"/>
              </w:rPr>
            </w:pPr>
            <w:r>
              <w:rPr>
                <w:color w:val="auto"/>
              </w:rPr>
              <w:t>11）梯子的材料或制作质量不符合标准要求，扣7分</w:t>
            </w:r>
          </w:p>
        </w:tc>
        <w:tc>
          <w:tcPr>
            <w:tcW w:w="720" w:type="dxa"/>
            <w:vAlign w:val="center"/>
          </w:tcPr>
          <w:p w14:paraId="2EEE11FA">
            <w:pPr>
              <w:pStyle w:val="44"/>
              <w:rPr>
                <w:color w:val="auto"/>
              </w:rPr>
            </w:pPr>
            <w:r>
              <w:rPr>
                <w:rFonts w:hint="eastAsia"/>
                <w:color w:val="auto"/>
              </w:rPr>
              <w:t>7</w:t>
            </w:r>
          </w:p>
        </w:tc>
        <w:tc>
          <w:tcPr>
            <w:tcW w:w="720" w:type="dxa"/>
            <w:vAlign w:val="center"/>
          </w:tcPr>
          <w:p w14:paraId="73B239E1">
            <w:pPr>
              <w:pStyle w:val="44"/>
              <w:rPr>
                <w:color w:val="auto"/>
              </w:rPr>
            </w:pPr>
          </w:p>
        </w:tc>
        <w:tc>
          <w:tcPr>
            <w:tcW w:w="720" w:type="dxa"/>
            <w:vAlign w:val="center"/>
          </w:tcPr>
          <w:p w14:paraId="3AD05E56">
            <w:pPr>
              <w:pStyle w:val="44"/>
              <w:rPr>
                <w:color w:val="auto"/>
              </w:rPr>
            </w:pPr>
          </w:p>
        </w:tc>
      </w:tr>
      <w:tr w14:paraId="72C2F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4469003">
            <w:pPr>
              <w:pStyle w:val="44"/>
              <w:rPr>
                <w:color w:val="auto"/>
              </w:rPr>
            </w:pPr>
            <w:r>
              <w:rPr>
                <w:rFonts w:hint="eastAsia"/>
                <w:color w:val="auto"/>
              </w:rPr>
              <w:t>9</w:t>
            </w:r>
          </w:p>
        </w:tc>
        <w:tc>
          <w:tcPr>
            <w:tcW w:w="1170" w:type="dxa"/>
            <w:vAlign w:val="center"/>
          </w:tcPr>
          <w:p w14:paraId="5C9DCB03">
            <w:pPr>
              <w:pStyle w:val="44"/>
              <w:rPr>
                <w:color w:val="auto"/>
              </w:rPr>
            </w:pPr>
            <w:r>
              <w:rPr>
                <w:rFonts w:hint="eastAsia"/>
                <w:color w:val="auto"/>
              </w:rPr>
              <w:t>悬空作业</w:t>
            </w:r>
          </w:p>
        </w:tc>
        <w:tc>
          <w:tcPr>
            <w:tcW w:w="5308" w:type="dxa"/>
            <w:vAlign w:val="center"/>
          </w:tcPr>
          <w:p w14:paraId="0B1E5D6E">
            <w:pPr>
              <w:pStyle w:val="44"/>
              <w:jc w:val="left"/>
              <w:rPr>
                <w:color w:val="auto"/>
              </w:rPr>
            </w:pPr>
            <w:r>
              <w:rPr>
                <w:color w:val="auto"/>
              </w:rPr>
              <w:t>1）悬空作业处未设置牢固的落脚点，扣8分</w:t>
            </w:r>
          </w:p>
          <w:p w14:paraId="227E345D">
            <w:pPr>
              <w:pStyle w:val="44"/>
              <w:jc w:val="left"/>
              <w:rPr>
                <w:color w:val="auto"/>
              </w:rPr>
            </w:pPr>
            <w:r>
              <w:rPr>
                <w:color w:val="auto"/>
              </w:rPr>
              <w:t>2）悬空作业处未设置防护栏杆或采取其他可靠的安全措施，扣3-7分</w:t>
            </w:r>
          </w:p>
          <w:p w14:paraId="1FF5AEBC">
            <w:pPr>
              <w:pStyle w:val="44"/>
              <w:jc w:val="left"/>
              <w:rPr>
                <w:color w:val="auto"/>
              </w:rPr>
            </w:pPr>
            <w:r>
              <w:rPr>
                <w:color w:val="auto"/>
              </w:rPr>
              <w:t>3）悬空作业所使用的索具、吊具等未经验收，扣5分</w:t>
            </w:r>
          </w:p>
          <w:p w14:paraId="73EE6034">
            <w:pPr>
              <w:pStyle w:val="44"/>
              <w:jc w:val="left"/>
              <w:rPr>
                <w:color w:val="auto"/>
              </w:rPr>
            </w:pPr>
            <w:r>
              <w:rPr>
                <w:color w:val="auto"/>
              </w:rPr>
              <w:t>4）人员在未固定、无防护的构件及安装中的管道上作业或通行，扣7分</w:t>
            </w:r>
          </w:p>
          <w:p w14:paraId="5CADC65D">
            <w:pPr>
              <w:pStyle w:val="44"/>
              <w:jc w:val="left"/>
              <w:rPr>
                <w:color w:val="auto"/>
              </w:rPr>
            </w:pPr>
            <w:r>
              <w:rPr>
                <w:color w:val="auto"/>
              </w:rPr>
              <w:t>5）悬空作业人员未系挂安全带或未佩戴工具袋，每人扣2分</w:t>
            </w:r>
          </w:p>
        </w:tc>
        <w:tc>
          <w:tcPr>
            <w:tcW w:w="720" w:type="dxa"/>
            <w:vAlign w:val="center"/>
          </w:tcPr>
          <w:p w14:paraId="57CF5FE5">
            <w:pPr>
              <w:pStyle w:val="44"/>
              <w:rPr>
                <w:color w:val="auto"/>
              </w:rPr>
            </w:pPr>
            <w:r>
              <w:rPr>
                <w:rFonts w:hint="eastAsia"/>
                <w:color w:val="auto"/>
              </w:rPr>
              <w:t>8</w:t>
            </w:r>
          </w:p>
        </w:tc>
        <w:tc>
          <w:tcPr>
            <w:tcW w:w="720" w:type="dxa"/>
            <w:vAlign w:val="center"/>
          </w:tcPr>
          <w:p w14:paraId="391E3319">
            <w:pPr>
              <w:pStyle w:val="44"/>
              <w:rPr>
                <w:color w:val="auto"/>
              </w:rPr>
            </w:pPr>
          </w:p>
        </w:tc>
        <w:tc>
          <w:tcPr>
            <w:tcW w:w="720" w:type="dxa"/>
            <w:vAlign w:val="center"/>
          </w:tcPr>
          <w:p w14:paraId="226B83EF">
            <w:pPr>
              <w:pStyle w:val="44"/>
              <w:rPr>
                <w:color w:val="auto"/>
              </w:rPr>
            </w:pPr>
          </w:p>
        </w:tc>
      </w:tr>
      <w:tr w14:paraId="48EC1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E6B8C0E">
            <w:pPr>
              <w:pStyle w:val="44"/>
              <w:rPr>
                <w:color w:val="auto"/>
              </w:rPr>
            </w:pPr>
            <w:r>
              <w:rPr>
                <w:rFonts w:hint="eastAsia"/>
                <w:color w:val="auto"/>
              </w:rPr>
              <w:t>10</w:t>
            </w:r>
          </w:p>
        </w:tc>
        <w:tc>
          <w:tcPr>
            <w:tcW w:w="1170" w:type="dxa"/>
            <w:vAlign w:val="center"/>
          </w:tcPr>
          <w:p w14:paraId="0F24FFD5">
            <w:pPr>
              <w:pStyle w:val="44"/>
              <w:rPr>
                <w:color w:val="auto"/>
              </w:rPr>
            </w:pPr>
            <w:r>
              <w:rPr>
                <w:rFonts w:hint="eastAsia"/>
                <w:color w:val="auto"/>
              </w:rPr>
              <w:t>高空水平</w:t>
            </w:r>
            <w:r>
              <w:rPr>
                <w:color w:val="auto"/>
              </w:rPr>
              <w:t>通道</w:t>
            </w:r>
          </w:p>
        </w:tc>
        <w:tc>
          <w:tcPr>
            <w:tcW w:w="5308" w:type="dxa"/>
            <w:vAlign w:val="center"/>
          </w:tcPr>
          <w:p w14:paraId="221443FE">
            <w:pPr>
              <w:pStyle w:val="44"/>
              <w:jc w:val="left"/>
              <w:rPr>
                <w:color w:val="auto"/>
              </w:rPr>
            </w:pPr>
            <w:r>
              <w:rPr>
                <w:color w:val="auto"/>
              </w:rPr>
              <w:t>1</w:t>
            </w:r>
            <w:r>
              <w:rPr>
                <w:rFonts w:hint="eastAsia"/>
                <w:color w:val="auto"/>
              </w:rPr>
              <w:t>）梁</w:t>
            </w:r>
            <w:r>
              <w:rPr>
                <w:color w:val="auto"/>
              </w:rPr>
              <w:t>式通道承重梁</w:t>
            </w:r>
            <w:r>
              <w:rPr>
                <w:rFonts w:hint="eastAsia"/>
                <w:color w:val="auto"/>
              </w:rPr>
              <w:t>、承载结构未经</w:t>
            </w:r>
            <w:r>
              <w:rPr>
                <w:color w:val="auto"/>
              </w:rPr>
              <w:t>设计计算</w:t>
            </w:r>
            <w:r>
              <w:rPr>
                <w:rFonts w:hint="eastAsia"/>
                <w:color w:val="auto"/>
              </w:rPr>
              <w:t>，或</w:t>
            </w:r>
            <w:r>
              <w:rPr>
                <w:color w:val="auto"/>
              </w:rPr>
              <w:t>搁置端应固定</w:t>
            </w:r>
            <w:r>
              <w:rPr>
                <w:rFonts w:hint="eastAsia"/>
                <w:color w:val="auto"/>
              </w:rPr>
              <w:t>不</w:t>
            </w:r>
            <w:r>
              <w:rPr>
                <w:color w:val="auto"/>
              </w:rPr>
              <w:t>牢固</w:t>
            </w:r>
            <w:r>
              <w:rPr>
                <w:rFonts w:hint="eastAsia"/>
                <w:color w:val="auto"/>
              </w:rPr>
              <w:t>，</w:t>
            </w:r>
            <w:r>
              <w:rPr>
                <w:color w:val="auto"/>
              </w:rPr>
              <w:t>扣</w:t>
            </w:r>
            <w:r>
              <w:rPr>
                <w:rFonts w:hint="eastAsia"/>
                <w:color w:val="auto"/>
              </w:rPr>
              <w:t>7分</w:t>
            </w:r>
          </w:p>
          <w:p w14:paraId="44781804">
            <w:pPr>
              <w:pStyle w:val="44"/>
              <w:jc w:val="left"/>
              <w:rPr>
                <w:color w:val="auto"/>
              </w:rPr>
            </w:pPr>
            <w:r>
              <w:rPr>
                <w:color w:val="auto"/>
              </w:rPr>
              <w:t>2</w:t>
            </w:r>
            <w:r>
              <w:rPr>
                <w:rFonts w:hint="eastAsia"/>
                <w:color w:val="auto"/>
              </w:rPr>
              <w:t>）通行</w:t>
            </w:r>
            <w:r>
              <w:rPr>
                <w:color w:val="auto"/>
              </w:rPr>
              <w:t>面未牢固满铺防滑板，或未在四周按临边作业要求设置防护栏杆</w:t>
            </w:r>
            <w:r>
              <w:rPr>
                <w:rFonts w:hint="eastAsia"/>
                <w:color w:val="auto"/>
              </w:rPr>
              <w:t>，</w:t>
            </w:r>
            <w:r>
              <w:rPr>
                <w:color w:val="auto"/>
              </w:rPr>
              <w:t>扣</w:t>
            </w:r>
            <w:r>
              <w:rPr>
                <w:rFonts w:hint="eastAsia"/>
                <w:color w:val="auto"/>
              </w:rPr>
              <w:t>7分</w:t>
            </w:r>
          </w:p>
          <w:p w14:paraId="4898C2B8">
            <w:pPr>
              <w:pStyle w:val="44"/>
              <w:jc w:val="left"/>
              <w:rPr>
                <w:color w:val="auto"/>
              </w:rPr>
            </w:pPr>
            <w:r>
              <w:rPr>
                <w:color w:val="auto"/>
              </w:rPr>
              <w:t>3</w:t>
            </w:r>
            <w:r>
              <w:rPr>
                <w:rFonts w:hint="eastAsia"/>
                <w:color w:val="auto"/>
              </w:rPr>
              <w:t>）高空</w:t>
            </w:r>
            <w:r>
              <w:rPr>
                <w:color w:val="auto"/>
              </w:rPr>
              <w:t>结构物间采用简易跳板通行</w:t>
            </w:r>
            <w:r>
              <w:rPr>
                <w:rFonts w:hint="eastAsia"/>
                <w:color w:val="auto"/>
              </w:rPr>
              <w:t>，</w:t>
            </w:r>
            <w:r>
              <w:rPr>
                <w:color w:val="auto"/>
              </w:rPr>
              <w:t>扣</w:t>
            </w:r>
            <w:r>
              <w:rPr>
                <w:rFonts w:hint="eastAsia"/>
                <w:color w:val="auto"/>
              </w:rPr>
              <w:t>7分</w:t>
            </w:r>
          </w:p>
          <w:p w14:paraId="07B51446">
            <w:pPr>
              <w:pStyle w:val="44"/>
              <w:jc w:val="left"/>
              <w:rPr>
                <w:color w:val="auto"/>
              </w:rPr>
            </w:pPr>
            <w:r>
              <w:rPr>
                <w:color w:val="auto"/>
              </w:rPr>
              <w:t>4</w:t>
            </w:r>
            <w:r>
              <w:rPr>
                <w:rFonts w:hint="eastAsia"/>
                <w:color w:val="auto"/>
              </w:rPr>
              <w:t>）当利用已安装的构件或既有的结构构件作为高空水平通道时，临空面未采取</w:t>
            </w:r>
            <w:r>
              <w:rPr>
                <w:color w:val="auto"/>
              </w:rPr>
              <w:t>临边防护</w:t>
            </w:r>
            <w:r>
              <w:rPr>
                <w:rFonts w:hint="eastAsia"/>
                <w:color w:val="auto"/>
              </w:rPr>
              <w:t>措施</w:t>
            </w:r>
            <w:r>
              <w:rPr>
                <w:color w:val="auto"/>
              </w:rPr>
              <w:t>，扣</w:t>
            </w:r>
            <w:r>
              <w:rPr>
                <w:rFonts w:hint="eastAsia"/>
                <w:color w:val="auto"/>
              </w:rPr>
              <w:t>7分</w:t>
            </w:r>
          </w:p>
        </w:tc>
        <w:tc>
          <w:tcPr>
            <w:tcW w:w="720" w:type="dxa"/>
            <w:vAlign w:val="center"/>
          </w:tcPr>
          <w:p w14:paraId="0511B4A3">
            <w:pPr>
              <w:pStyle w:val="44"/>
              <w:rPr>
                <w:color w:val="auto"/>
              </w:rPr>
            </w:pPr>
            <w:r>
              <w:rPr>
                <w:rFonts w:hint="eastAsia"/>
                <w:color w:val="auto"/>
              </w:rPr>
              <w:t>7</w:t>
            </w:r>
          </w:p>
        </w:tc>
        <w:tc>
          <w:tcPr>
            <w:tcW w:w="720" w:type="dxa"/>
            <w:vAlign w:val="center"/>
          </w:tcPr>
          <w:p w14:paraId="6D9C0F4A">
            <w:pPr>
              <w:pStyle w:val="44"/>
              <w:rPr>
                <w:color w:val="auto"/>
              </w:rPr>
            </w:pPr>
          </w:p>
        </w:tc>
        <w:tc>
          <w:tcPr>
            <w:tcW w:w="720" w:type="dxa"/>
            <w:vAlign w:val="center"/>
          </w:tcPr>
          <w:p w14:paraId="79D41150">
            <w:pPr>
              <w:pStyle w:val="44"/>
              <w:rPr>
                <w:color w:val="auto"/>
              </w:rPr>
            </w:pPr>
          </w:p>
        </w:tc>
      </w:tr>
      <w:tr w14:paraId="78F6F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A902328">
            <w:pPr>
              <w:pStyle w:val="44"/>
              <w:rPr>
                <w:color w:val="auto"/>
              </w:rPr>
            </w:pPr>
            <w:r>
              <w:rPr>
                <w:rFonts w:hint="eastAsia"/>
                <w:color w:val="auto"/>
              </w:rPr>
              <w:t>11</w:t>
            </w:r>
          </w:p>
        </w:tc>
        <w:tc>
          <w:tcPr>
            <w:tcW w:w="1170" w:type="dxa"/>
            <w:vAlign w:val="center"/>
          </w:tcPr>
          <w:p w14:paraId="77795D5C">
            <w:pPr>
              <w:pStyle w:val="44"/>
              <w:rPr>
                <w:color w:val="auto"/>
              </w:rPr>
            </w:pPr>
            <w:r>
              <w:rPr>
                <w:color w:val="auto"/>
              </w:rPr>
              <w:t>落地式移动操作平台</w:t>
            </w:r>
          </w:p>
        </w:tc>
        <w:tc>
          <w:tcPr>
            <w:tcW w:w="5308" w:type="dxa"/>
            <w:vAlign w:val="center"/>
          </w:tcPr>
          <w:p w14:paraId="0BBC38F8">
            <w:pPr>
              <w:pStyle w:val="44"/>
              <w:jc w:val="left"/>
              <w:rPr>
                <w:color w:val="auto"/>
              </w:rPr>
            </w:pPr>
            <w:r>
              <w:rPr>
                <w:color w:val="auto"/>
              </w:rPr>
              <w:t>1）操作平台未按规定进行设计计算，扣8分</w:t>
            </w:r>
          </w:p>
          <w:p w14:paraId="08AD5094">
            <w:pPr>
              <w:pStyle w:val="44"/>
              <w:jc w:val="left"/>
              <w:rPr>
                <w:color w:val="auto"/>
              </w:rPr>
            </w:pPr>
            <w:r>
              <w:rPr>
                <w:color w:val="auto"/>
              </w:rPr>
              <w:t>2）操作平台的面积、高度超过标准规定的上限值，扣8分</w:t>
            </w:r>
          </w:p>
          <w:p w14:paraId="53A1ED31">
            <w:pPr>
              <w:pStyle w:val="44"/>
              <w:jc w:val="left"/>
              <w:rPr>
                <w:color w:val="auto"/>
              </w:rPr>
            </w:pPr>
            <w:r>
              <w:rPr>
                <w:color w:val="auto"/>
              </w:rPr>
              <w:t>3）装设轮子的移动式操作平台，轮子与平台的接合处不牢固可靠，或不具有自锁功能，扣5分</w:t>
            </w:r>
          </w:p>
          <w:p w14:paraId="2677E18D">
            <w:pPr>
              <w:pStyle w:val="44"/>
              <w:jc w:val="left"/>
              <w:rPr>
                <w:color w:val="auto"/>
              </w:rPr>
            </w:pPr>
            <w:r>
              <w:rPr>
                <w:color w:val="auto"/>
              </w:rPr>
              <w:t>4）立柱底端距地面距离大于80mm，扣3分</w:t>
            </w:r>
          </w:p>
          <w:p w14:paraId="4B264CA1">
            <w:pPr>
              <w:pStyle w:val="44"/>
              <w:jc w:val="left"/>
              <w:rPr>
                <w:color w:val="auto"/>
              </w:rPr>
            </w:pPr>
            <w:r>
              <w:rPr>
                <w:color w:val="auto"/>
              </w:rPr>
              <w:t>5）操作平台未按设计和产品使用要求进行组装，扣8分；</w:t>
            </w:r>
          </w:p>
          <w:p w14:paraId="4A0FE2E3">
            <w:pPr>
              <w:pStyle w:val="44"/>
              <w:jc w:val="left"/>
              <w:rPr>
                <w:color w:val="auto"/>
              </w:rPr>
            </w:pPr>
            <w:r>
              <w:rPr>
                <w:color w:val="auto"/>
              </w:rPr>
              <w:t>6）平台面未牢固满铺防滑板，</w:t>
            </w:r>
            <w:r>
              <w:rPr>
                <w:rFonts w:hint="eastAsia"/>
                <w:color w:val="auto"/>
              </w:rPr>
              <w:t>扣8分</w:t>
            </w:r>
          </w:p>
          <w:p w14:paraId="0EE59503">
            <w:pPr>
              <w:pStyle w:val="44"/>
              <w:jc w:val="left"/>
              <w:rPr>
                <w:color w:val="auto"/>
              </w:rPr>
            </w:pPr>
            <w:r>
              <w:rPr>
                <w:color w:val="auto"/>
              </w:rPr>
              <w:t>7</w:t>
            </w:r>
            <w:r>
              <w:rPr>
                <w:rFonts w:hint="eastAsia"/>
                <w:color w:val="auto"/>
              </w:rPr>
              <w:t>）平台面</w:t>
            </w:r>
            <w:r>
              <w:rPr>
                <w:color w:val="auto"/>
              </w:rPr>
              <w:t>未在四周按临边作业要求设置防护栏杆，扣8分</w:t>
            </w:r>
          </w:p>
          <w:p w14:paraId="75D169AB">
            <w:pPr>
              <w:pStyle w:val="44"/>
              <w:jc w:val="left"/>
              <w:rPr>
                <w:color w:val="auto"/>
              </w:rPr>
            </w:pPr>
            <w:r>
              <w:rPr>
                <w:rFonts w:hint="eastAsia"/>
                <w:color w:val="auto"/>
              </w:rPr>
              <w:t>8</w:t>
            </w:r>
            <w:r>
              <w:rPr>
                <w:color w:val="auto"/>
              </w:rPr>
              <w:t>）未设置专用登高扶梯，扣</w:t>
            </w:r>
            <w:r>
              <w:rPr>
                <w:rFonts w:hint="eastAsia"/>
                <w:color w:val="auto"/>
              </w:rPr>
              <w:t>3</w:t>
            </w:r>
            <w:r>
              <w:rPr>
                <w:color w:val="auto"/>
              </w:rPr>
              <w:t>分</w:t>
            </w:r>
          </w:p>
          <w:p w14:paraId="1CEDCC8E">
            <w:pPr>
              <w:pStyle w:val="44"/>
              <w:jc w:val="left"/>
              <w:rPr>
                <w:color w:val="auto"/>
              </w:rPr>
            </w:pPr>
            <w:r>
              <w:rPr>
                <w:rFonts w:hint="eastAsia"/>
                <w:color w:val="auto"/>
              </w:rPr>
              <w:t>9</w:t>
            </w:r>
            <w:r>
              <w:rPr>
                <w:color w:val="auto"/>
              </w:rPr>
              <w:t>）构配件的规格、材质不符合标准和设计要求，扣8分</w:t>
            </w:r>
          </w:p>
          <w:p w14:paraId="453A8F6D">
            <w:pPr>
              <w:pStyle w:val="44"/>
              <w:jc w:val="left"/>
              <w:rPr>
                <w:color w:val="auto"/>
              </w:rPr>
            </w:pPr>
            <w:r>
              <w:rPr>
                <w:rFonts w:hint="eastAsia"/>
                <w:color w:val="auto"/>
              </w:rPr>
              <w:t>10</w:t>
            </w:r>
            <w:r>
              <w:rPr>
                <w:color w:val="auto"/>
              </w:rPr>
              <w:t>）基础处理不满足设计和产品使用要求，扣8分</w:t>
            </w:r>
          </w:p>
          <w:p w14:paraId="1FDB425D">
            <w:pPr>
              <w:pStyle w:val="44"/>
              <w:jc w:val="left"/>
              <w:rPr>
                <w:color w:val="auto"/>
              </w:rPr>
            </w:pPr>
            <w:r>
              <w:rPr>
                <w:rFonts w:hint="eastAsia"/>
                <w:color w:val="auto"/>
              </w:rPr>
              <w:t>11</w:t>
            </w:r>
            <w:r>
              <w:rPr>
                <w:color w:val="auto"/>
              </w:rPr>
              <w:t>）平台上人员和物料的总重量超过设计</w:t>
            </w:r>
            <w:r>
              <w:rPr>
                <w:rFonts w:hint="eastAsia"/>
                <w:color w:val="auto"/>
              </w:rPr>
              <w:t>允许范围</w:t>
            </w:r>
            <w:r>
              <w:rPr>
                <w:color w:val="auto"/>
              </w:rPr>
              <w:t>，扣8分</w:t>
            </w:r>
          </w:p>
        </w:tc>
        <w:tc>
          <w:tcPr>
            <w:tcW w:w="720" w:type="dxa"/>
            <w:vAlign w:val="center"/>
          </w:tcPr>
          <w:p w14:paraId="19DE100D">
            <w:pPr>
              <w:pStyle w:val="44"/>
              <w:rPr>
                <w:color w:val="auto"/>
              </w:rPr>
            </w:pPr>
            <w:r>
              <w:rPr>
                <w:rFonts w:hint="eastAsia"/>
                <w:color w:val="auto"/>
              </w:rPr>
              <w:t>8</w:t>
            </w:r>
          </w:p>
        </w:tc>
        <w:tc>
          <w:tcPr>
            <w:tcW w:w="720" w:type="dxa"/>
            <w:vAlign w:val="center"/>
          </w:tcPr>
          <w:p w14:paraId="0BB160DC">
            <w:pPr>
              <w:pStyle w:val="44"/>
              <w:rPr>
                <w:color w:val="auto"/>
              </w:rPr>
            </w:pPr>
          </w:p>
        </w:tc>
        <w:tc>
          <w:tcPr>
            <w:tcW w:w="720" w:type="dxa"/>
            <w:vAlign w:val="center"/>
          </w:tcPr>
          <w:p w14:paraId="7CB247C4">
            <w:pPr>
              <w:pStyle w:val="44"/>
              <w:rPr>
                <w:color w:val="auto"/>
              </w:rPr>
            </w:pPr>
          </w:p>
        </w:tc>
      </w:tr>
      <w:tr w14:paraId="0490C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2922000">
            <w:pPr>
              <w:pStyle w:val="44"/>
              <w:rPr>
                <w:color w:val="auto"/>
              </w:rPr>
            </w:pPr>
            <w:r>
              <w:rPr>
                <w:rFonts w:hint="eastAsia"/>
                <w:color w:val="auto"/>
              </w:rPr>
              <w:t>12</w:t>
            </w:r>
          </w:p>
        </w:tc>
        <w:tc>
          <w:tcPr>
            <w:tcW w:w="1170" w:type="dxa"/>
            <w:vAlign w:val="center"/>
          </w:tcPr>
          <w:p w14:paraId="35895AC3">
            <w:pPr>
              <w:pStyle w:val="44"/>
              <w:rPr>
                <w:color w:val="auto"/>
              </w:rPr>
            </w:pPr>
            <w:r>
              <w:rPr>
                <w:color w:val="auto"/>
              </w:rPr>
              <w:t>悬挂式移动操作平台</w:t>
            </w:r>
          </w:p>
        </w:tc>
        <w:tc>
          <w:tcPr>
            <w:tcW w:w="5308" w:type="dxa"/>
            <w:vAlign w:val="center"/>
          </w:tcPr>
          <w:p w14:paraId="7247DEC9">
            <w:pPr>
              <w:pStyle w:val="44"/>
              <w:jc w:val="left"/>
              <w:rPr>
                <w:color w:val="auto"/>
              </w:rPr>
            </w:pPr>
            <w:r>
              <w:rPr>
                <w:color w:val="auto"/>
              </w:rPr>
              <w:t>1）操作平台在施工前未编制专项施工方案的，扣7分</w:t>
            </w:r>
          </w:p>
          <w:p w14:paraId="30F84E82">
            <w:pPr>
              <w:pStyle w:val="44"/>
              <w:jc w:val="left"/>
              <w:rPr>
                <w:color w:val="auto"/>
              </w:rPr>
            </w:pPr>
            <w:r>
              <w:rPr>
                <w:color w:val="auto"/>
              </w:rPr>
              <w:t>2）操作平台的承载体和悬挂装置不牢固、可靠，或不具有足够的承载力，扣7分</w:t>
            </w:r>
          </w:p>
          <w:p w14:paraId="05806F4D">
            <w:pPr>
              <w:pStyle w:val="44"/>
              <w:jc w:val="left"/>
              <w:rPr>
                <w:color w:val="auto"/>
              </w:rPr>
            </w:pPr>
            <w:r>
              <w:rPr>
                <w:color w:val="auto"/>
              </w:rPr>
              <w:t>3）平台面未牢固满铺防滑板，</w:t>
            </w:r>
            <w:r>
              <w:rPr>
                <w:rFonts w:hint="eastAsia"/>
                <w:color w:val="auto"/>
              </w:rPr>
              <w:t>扣5分</w:t>
            </w:r>
          </w:p>
          <w:p w14:paraId="2BDE6EF1">
            <w:pPr>
              <w:pStyle w:val="44"/>
              <w:jc w:val="left"/>
              <w:rPr>
                <w:color w:val="auto"/>
              </w:rPr>
            </w:pPr>
            <w:r>
              <w:rPr>
                <w:color w:val="auto"/>
              </w:rPr>
              <w:t>4</w:t>
            </w:r>
            <w:r>
              <w:rPr>
                <w:rFonts w:hint="eastAsia"/>
                <w:color w:val="auto"/>
              </w:rPr>
              <w:t>）平台面</w:t>
            </w:r>
            <w:r>
              <w:rPr>
                <w:color w:val="auto"/>
              </w:rPr>
              <w:t>未在四周按临边作业要求设置防护栏杆，扣7分</w:t>
            </w:r>
          </w:p>
          <w:p w14:paraId="29BB5FF3">
            <w:pPr>
              <w:pStyle w:val="44"/>
              <w:jc w:val="left"/>
              <w:rPr>
                <w:color w:val="auto"/>
              </w:rPr>
            </w:pPr>
            <w:r>
              <w:rPr>
                <w:rFonts w:hint="eastAsia"/>
                <w:color w:val="auto"/>
              </w:rPr>
              <w:t>5</w:t>
            </w:r>
            <w:r>
              <w:rPr>
                <w:color w:val="auto"/>
              </w:rPr>
              <w:t>）未设置专用上下扶梯或扶梯未设置栏杆和扶手，扣5分</w:t>
            </w:r>
          </w:p>
          <w:p w14:paraId="52B0DD96">
            <w:pPr>
              <w:pStyle w:val="44"/>
              <w:jc w:val="left"/>
              <w:rPr>
                <w:color w:val="auto"/>
              </w:rPr>
            </w:pPr>
            <w:r>
              <w:rPr>
                <w:rFonts w:hint="eastAsia"/>
                <w:color w:val="auto"/>
              </w:rPr>
              <w:t>6</w:t>
            </w:r>
            <w:r>
              <w:rPr>
                <w:color w:val="auto"/>
              </w:rPr>
              <w:t>）构配件的规格和材质不符合设计要求，扣</w:t>
            </w:r>
            <w:r>
              <w:rPr>
                <w:rFonts w:hint="eastAsia"/>
                <w:color w:val="auto"/>
              </w:rPr>
              <w:t>7</w:t>
            </w:r>
            <w:r>
              <w:rPr>
                <w:color w:val="auto"/>
              </w:rPr>
              <w:t>分</w:t>
            </w:r>
          </w:p>
          <w:p w14:paraId="126A3A57">
            <w:pPr>
              <w:pStyle w:val="44"/>
              <w:jc w:val="left"/>
              <w:rPr>
                <w:color w:val="auto"/>
              </w:rPr>
            </w:pPr>
            <w:r>
              <w:rPr>
                <w:rFonts w:hint="eastAsia"/>
                <w:color w:val="auto"/>
              </w:rPr>
              <w:t>7</w:t>
            </w:r>
            <w:r>
              <w:rPr>
                <w:color w:val="auto"/>
              </w:rPr>
              <w:t>）杆件连接方式不符合设计要求或连接不牢固、可靠，扣</w:t>
            </w:r>
            <w:r>
              <w:rPr>
                <w:rFonts w:hint="eastAsia"/>
                <w:color w:val="auto"/>
              </w:rPr>
              <w:t>7</w:t>
            </w:r>
            <w:r>
              <w:rPr>
                <w:color w:val="auto"/>
              </w:rPr>
              <w:t>分</w:t>
            </w:r>
          </w:p>
          <w:p w14:paraId="24633B90">
            <w:pPr>
              <w:pStyle w:val="44"/>
              <w:jc w:val="left"/>
              <w:rPr>
                <w:color w:val="auto"/>
              </w:rPr>
            </w:pPr>
            <w:r>
              <w:rPr>
                <w:rFonts w:hint="eastAsia"/>
                <w:color w:val="auto"/>
              </w:rPr>
              <w:t>8</w:t>
            </w:r>
            <w:r>
              <w:rPr>
                <w:color w:val="auto"/>
              </w:rPr>
              <w:t>）搭设完毕未办理验收手续即投入使用，扣</w:t>
            </w:r>
            <w:r>
              <w:rPr>
                <w:rFonts w:hint="eastAsia"/>
                <w:color w:val="auto"/>
              </w:rPr>
              <w:t>7</w:t>
            </w:r>
            <w:r>
              <w:rPr>
                <w:color w:val="auto"/>
              </w:rPr>
              <w:t>分</w:t>
            </w:r>
          </w:p>
          <w:p w14:paraId="7D07F4AB">
            <w:pPr>
              <w:pStyle w:val="44"/>
              <w:jc w:val="left"/>
              <w:rPr>
                <w:color w:val="auto"/>
              </w:rPr>
            </w:pPr>
            <w:r>
              <w:rPr>
                <w:rFonts w:hint="eastAsia"/>
                <w:color w:val="auto"/>
              </w:rPr>
              <w:t>9</w:t>
            </w:r>
            <w:r>
              <w:rPr>
                <w:color w:val="auto"/>
              </w:rPr>
              <w:t>）平台上人员和物料的总重量超过设计</w:t>
            </w:r>
            <w:r>
              <w:rPr>
                <w:rFonts w:hint="eastAsia"/>
                <w:color w:val="auto"/>
              </w:rPr>
              <w:t>允许范围</w:t>
            </w:r>
            <w:r>
              <w:rPr>
                <w:color w:val="auto"/>
              </w:rPr>
              <w:t>，扣</w:t>
            </w:r>
            <w:r>
              <w:rPr>
                <w:rFonts w:hint="eastAsia"/>
                <w:color w:val="auto"/>
              </w:rPr>
              <w:t>7</w:t>
            </w:r>
            <w:r>
              <w:rPr>
                <w:color w:val="auto"/>
              </w:rPr>
              <w:t>分</w:t>
            </w:r>
          </w:p>
        </w:tc>
        <w:tc>
          <w:tcPr>
            <w:tcW w:w="720" w:type="dxa"/>
            <w:vAlign w:val="center"/>
          </w:tcPr>
          <w:p w14:paraId="4419E36A">
            <w:pPr>
              <w:pStyle w:val="44"/>
              <w:rPr>
                <w:color w:val="auto"/>
              </w:rPr>
            </w:pPr>
            <w:r>
              <w:rPr>
                <w:rFonts w:hint="eastAsia"/>
                <w:color w:val="auto"/>
              </w:rPr>
              <w:t>7</w:t>
            </w:r>
          </w:p>
        </w:tc>
        <w:tc>
          <w:tcPr>
            <w:tcW w:w="720" w:type="dxa"/>
            <w:vAlign w:val="center"/>
          </w:tcPr>
          <w:p w14:paraId="1015A1C2">
            <w:pPr>
              <w:pStyle w:val="44"/>
              <w:rPr>
                <w:color w:val="auto"/>
              </w:rPr>
            </w:pPr>
          </w:p>
        </w:tc>
        <w:tc>
          <w:tcPr>
            <w:tcW w:w="720" w:type="dxa"/>
            <w:vAlign w:val="center"/>
          </w:tcPr>
          <w:p w14:paraId="6371AB04">
            <w:pPr>
              <w:pStyle w:val="44"/>
              <w:rPr>
                <w:color w:val="auto"/>
              </w:rPr>
            </w:pPr>
          </w:p>
        </w:tc>
      </w:tr>
      <w:tr w14:paraId="7C981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C5A5D89">
            <w:pPr>
              <w:pStyle w:val="44"/>
              <w:rPr>
                <w:color w:val="auto"/>
              </w:rPr>
            </w:pPr>
            <w:r>
              <w:rPr>
                <w:rFonts w:hint="eastAsia"/>
                <w:color w:val="auto"/>
              </w:rPr>
              <w:t>13</w:t>
            </w:r>
          </w:p>
        </w:tc>
        <w:tc>
          <w:tcPr>
            <w:tcW w:w="1170" w:type="dxa"/>
            <w:vAlign w:val="center"/>
          </w:tcPr>
          <w:p w14:paraId="43EE2FE5">
            <w:pPr>
              <w:pStyle w:val="44"/>
              <w:rPr>
                <w:color w:val="auto"/>
              </w:rPr>
            </w:pPr>
            <w:r>
              <w:rPr>
                <w:rFonts w:hint="eastAsia"/>
                <w:color w:val="auto"/>
              </w:rPr>
              <w:t>物料钢平台</w:t>
            </w:r>
          </w:p>
        </w:tc>
        <w:tc>
          <w:tcPr>
            <w:tcW w:w="5308" w:type="dxa"/>
            <w:vAlign w:val="center"/>
          </w:tcPr>
          <w:p w14:paraId="1C61B171">
            <w:pPr>
              <w:pStyle w:val="44"/>
              <w:jc w:val="left"/>
              <w:rPr>
                <w:color w:val="auto"/>
              </w:rPr>
            </w:pPr>
            <w:r>
              <w:rPr>
                <w:rFonts w:hint="eastAsia"/>
                <w:color w:val="auto"/>
              </w:rPr>
              <w:t>1）未编制专项施工方案或未经设计计算，扣8分</w:t>
            </w:r>
          </w:p>
          <w:p w14:paraId="2D4DDA5E">
            <w:pPr>
              <w:pStyle w:val="44"/>
              <w:jc w:val="left"/>
              <w:rPr>
                <w:color w:val="auto"/>
              </w:rPr>
            </w:pPr>
            <w:r>
              <w:rPr>
                <w:rFonts w:hint="eastAsia"/>
                <w:color w:val="auto"/>
              </w:rPr>
              <w:t>2）钢平台构配件的规格和材质不符合设计要求，扣8分</w:t>
            </w:r>
          </w:p>
          <w:p w14:paraId="0A5D2548">
            <w:pPr>
              <w:pStyle w:val="44"/>
              <w:jc w:val="left"/>
              <w:rPr>
                <w:color w:val="auto"/>
              </w:rPr>
            </w:pPr>
            <w:r>
              <w:rPr>
                <w:rFonts w:hint="eastAsia"/>
                <w:color w:val="auto"/>
              </w:rPr>
              <w:t>3）物料钢平台的搭设不符合专项施工方案的要求，扣8分</w:t>
            </w:r>
          </w:p>
          <w:p w14:paraId="1A3D6F6F">
            <w:pPr>
              <w:pStyle w:val="44"/>
              <w:jc w:val="left"/>
              <w:rPr>
                <w:color w:val="auto"/>
              </w:rPr>
            </w:pPr>
            <w:r>
              <w:rPr>
                <w:rFonts w:hint="eastAsia"/>
                <w:color w:val="auto"/>
              </w:rPr>
              <w:t>4）钢平台支撑架未与既有结构可靠连接，扣3分</w:t>
            </w:r>
          </w:p>
          <w:p w14:paraId="64D275B6">
            <w:pPr>
              <w:pStyle w:val="44"/>
              <w:jc w:val="left"/>
              <w:rPr>
                <w:color w:val="auto"/>
              </w:rPr>
            </w:pPr>
            <w:r>
              <w:rPr>
                <w:rFonts w:hint="eastAsia"/>
                <w:color w:val="auto"/>
              </w:rPr>
              <w:t>5）悬挑式物料钢平台的斜拉杆或钢丝绳未在平台两侧各设置前后两道，或可靠拉结在既有结构上，扣8分</w:t>
            </w:r>
          </w:p>
          <w:p w14:paraId="46835BA8">
            <w:pPr>
              <w:pStyle w:val="44"/>
              <w:jc w:val="left"/>
              <w:rPr>
                <w:color w:val="auto"/>
              </w:rPr>
            </w:pPr>
            <w:r>
              <w:rPr>
                <w:rFonts w:hint="eastAsia"/>
                <w:color w:val="auto"/>
              </w:rPr>
              <w:t>6）平台面、平台与结构物间未牢固满铺防滑板，扣5分</w:t>
            </w:r>
          </w:p>
          <w:p w14:paraId="409BB6B5">
            <w:pPr>
              <w:pStyle w:val="44"/>
              <w:jc w:val="left"/>
              <w:rPr>
                <w:color w:val="auto"/>
              </w:rPr>
            </w:pPr>
            <w:r>
              <w:rPr>
                <w:rFonts w:hint="eastAsia"/>
                <w:color w:val="auto"/>
              </w:rPr>
              <w:t>7）平台面未在四周按临边作业要求设置防护栏杆和挡脚板，扣8分</w:t>
            </w:r>
          </w:p>
          <w:p w14:paraId="0C0F2E9F">
            <w:pPr>
              <w:pStyle w:val="44"/>
              <w:jc w:val="left"/>
              <w:rPr>
                <w:color w:val="auto"/>
              </w:rPr>
            </w:pPr>
            <w:r>
              <w:rPr>
                <w:rFonts w:hint="eastAsia"/>
                <w:color w:val="auto"/>
              </w:rPr>
              <w:t>8）搭设完毕未办理验收手续即投入使用，扣8分</w:t>
            </w:r>
          </w:p>
          <w:p w14:paraId="30860E5E">
            <w:pPr>
              <w:pStyle w:val="44"/>
              <w:jc w:val="left"/>
              <w:rPr>
                <w:color w:val="auto"/>
              </w:rPr>
            </w:pPr>
            <w:r>
              <w:rPr>
                <w:rFonts w:hint="eastAsia"/>
                <w:color w:val="auto"/>
              </w:rPr>
              <w:t>9）未在明显位置设置荷载限定标牌，或平台上人员和物料的总重量应在超过设计允许范围，扣8分</w:t>
            </w:r>
          </w:p>
        </w:tc>
        <w:tc>
          <w:tcPr>
            <w:tcW w:w="720" w:type="dxa"/>
            <w:vAlign w:val="center"/>
          </w:tcPr>
          <w:p w14:paraId="01E133D0">
            <w:pPr>
              <w:pStyle w:val="44"/>
              <w:rPr>
                <w:color w:val="auto"/>
              </w:rPr>
            </w:pPr>
            <w:r>
              <w:rPr>
                <w:rFonts w:hint="eastAsia"/>
                <w:color w:val="auto"/>
              </w:rPr>
              <w:t>8</w:t>
            </w:r>
          </w:p>
        </w:tc>
        <w:tc>
          <w:tcPr>
            <w:tcW w:w="720" w:type="dxa"/>
            <w:vAlign w:val="center"/>
          </w:tcPr>
          <w:p w14:paraId="6313993D">
            <w:pPr>
              <w:pStyle w:val="44"/>
              <w:rPr>
                <w:color w:val="auto"/>
              </w:rPr>
            </w:pPr>
          </w:p>
        </w:tc>
        <w:tc>
          <w:tcPr>
            <w:tcW w:w="720" w:type="dxa"/>
            <w:vAlign w:val="center"/>
          </w:tcPr>
          <w:p w14:paraId="67100C1E">
            <w:pPr>
              <w:pStyle w:val="44"/>
              <w:rPr>
                <w:color w:val="auto"/>
              </w:rPr>
            </w:pPr>
          </w:p>
        </w:tc>
      </w:tr>
      <w:tr w14:paraId="42FB0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847FC95">
            <w:pPr>
              <w:pStyle w:val="44"/>
              <w:rPr>
                <w:color w:val="auto"/>
              </w:rPr>
            </w:pPr>
            <w:r>
              <w:rPr>
                <w:rFonts w:hint="eastAsia"/>
                <w:color w:val="auto"/>
              </w:rPr>
              <w:t>14</w:t>
            </w:r>
          </w:p>
        </w:tc>
        <w:tc>
          <w:tcPr>
            <w:tcW w:w="1170" w:type="dxa"/>
            <w:vAlign w:val="center"/>
          </w:tcPr>
          <w:p w14:paraId="7C58F40E">
            <w:pPr>
              <w:pStyle w:val="44"/>
              <w:rPr>
                <w:color w:val="auto"/>
              </w:rPr>
            </w:pPr>
            <w:r>
              <w:rPr>
                <w:rFonts w:hint="eastAsia"/>
                <w:color w:val="auto"/>
              </w:rPr>
              <w:t>交叉作业</w:t>
            </w:r>
          </w:p>
        </w:tc>
        <w:tc>
          <w:tcPr>
            <w:tcW w:w="5308" w:type="dxa"/>
            <w:vAlign w:val="center"/>
          </w:tcPr>
          <w:p w14:paraId="396C8081">
            <w:pPr>
              <w:pStyle w:val="44"/>
              <w:jc w:val="left"/>
              <w:rPr>
                <w:color w:val="auto"/>
              </w:rPr>
            </w:pPr>
            <w:r>
              <w:rPr>
                <w:rFonts w:hint="eastAsia"/>
                <w:color w:val="auto"/>
              </w:rPr>
              <w:t>1）上下立体交叉作业时，下层作业的位置未处于上层作业坠落半径之外或未设置安全防护棚，扣5分</w:t>
            </w:r>
          </w:p>
          <w:p w14:paraId="09662B9A">
            <w:pPr>
              <w:pStyle w:val="44"/>
              <w:jc w:val="left"/>
              <w:rPr>
                <w:color w:val="auto"/>
              </w:rPr>
            </w:pPr>
            <w:r>
              <w:rPr>
                <w:rFonts w:hint="eastAsia"/>
                <w:color w:val="auto"/>
              </w:rPr>
              <w:t>2）经拆除的各种部件，临时堆放处离临边边沿小于1m，堆放高度超过1m的，每处扣1分</w:t>
            </w:r>
          </w:p>
        </w:tc>
        <w:tc>
          <w:tcPr>
            <w:tcW w:w="720" w:type="dxa"/>
            <w:vAlign w:val="center"/>
          </w:tcPr>
          <w:p w14:paraId="5C072F1B">
            <w:pPr>
              <w:pStyle w:val="44"/>
              <w:rPr>
                <w:color w:val="auto"/>
              </w:rPr>
            </w:pPr>
            <w:r>
              <w:rPr>
                <w:rFonts w:hint="eastAsia"/>
                <w:color w:val="auto"/>
              </w:rPr>
              <w:t>5</w:t>
            </w:r>
          </w:p>
        </w:tc>
        <w:tc>
          <w:tcPr>
            <w:tcW w:w="720" w:type="dxa"/>
            <w:vAlign w:val="center"/>
          </w:tcPr>
          <w:p w14:paraId="4545F897">
            <w:pPr>
              <w:pStyle w:val="44"/>
              <w:rPr>
                <w:color w:val="auto"/>
              </w:rPr>
            </w:pPr>
          </w:p>
        </w:tc>
        <w:tc>
          <w:tcPr>
            <w:tcW w:w="720" w:type="dxa"/>
            <w:vAlign w:val="center"/>
          </w:tcPr>
          <w:p w14:paraId="53DBE707">
            <w:pPr>
              <w:pStyle w:val="44"/>
              <w:rPr>
                <w:color w:val="auto"/>
              </w:rPr>
            </w:pPr>
          </w:p>
        </w:tc>
      </w:tr>
      <w:tr w14:paraId="6B522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017" w:type="dxa"/>
            <w:gridSpan w:val="3"/>
            <w:vAlign w:val="center"/>
          </w:tcPr>
          <w:p w14:paraId="63CFFC3A">
            <w:pPr>
              <w:pStyle w:val="44"/>
              <w:rPr>
                <w:b/>
                <w:bCs w:val="0"/>
                <w:color w:val="auto"/>
              </w:rPr>
            </w:pPr>
            <w:r>
              <w:rPr>
                <w:rFonts w:hint="eastAsia"/>
                <w:b/>
                <w:bCs w:val="0"/>
                <w:color w:val="auto"/>
              </w:rPr>
              <w:t>检查项目合计</w:t>
            </w:r>
          </w:p>
        </w:tc>
        <w:tc>
          <w:tcPr>
            <w:tcW w:w="720" w:type="dxa"/>
            <w:vAlign w:val="center"/>
          </w:tcPr>
          <w:p w14:paraId="099B8278">
            <w:pPr>
              <w:pStyle w:val="44"/>
              <w:rPr>
                <w:color w:val="auto"/>
              </w:rPr>
            </w:pPr>
            <w:r>
              <w:rPr>
                <w:rFonts w:hint="eastAsia"/>
                <w:color w:val="auto"/>
              </w:rPr>
              <w:t>100</w:t>
            </w:r>
          </w:p>
        </w:tc>
        <w:tc>
          <w:tcPr>
            <w:tcW w:w="720" w:type="dxa"/>
            <w:vAlign w:val="center"/>
          </w:tcPr>
          <w:p w14:paraId="6CC799CA">
            <w:pPr>
              <w:pStyle w:val="44"/>
              <w:rPr>
                <w:color w:val="auto"/>
              </w:rPr>
            </w:pPr>
          </w:p>
        </w:tc>
        <w:tc>
          <w:tcPr>
            <w:tcW w:w="720" w:type="dxa"/>
            <w:vAlign w:val="center"/>
          </w:tcPr>
          <w:p w14:paraId="723405B0">
            <w:pPr>
              <w:pStyle w:val="44"/>
              <w:rPr>
                <w:color w:val="auto"/>
              </w:rPr>
            </w:pPr>
          </w:p>
        </w:tc>
      </w:tr>
    </w:tbl>
    <w:p w14:paraId="2724DB96">
      <w:pPr>
        <w:rPr>
          <w:rFonts w:ascii="仿宋_GB2312" w:hAnsi="仿宋_GB2312" w:cs="仿宋_GB2312"/>
          <w:sz w:val="21"/>
          <w:szCs w:val="21"/>
        </w:rPr>
      </w:pPr>
    </w:p>
    <w:p w14:paraId="4955350E">
      <w:pPr>
        <w:pStyle w:val="5"/>
      </w:pPr>
      <w:r>
        <w:rPr>
          <w:rFonts w:hint="eastAsia"/>
        </w:rPr>
        <w:br w:type="page"/>
      </w:r>
      <w:bookmarkStart w:id="17" w:name="_Toc15409"/>
      <w:bookmarkStart w:id="18" w:name="_Toc22348"/>
      <w:bookmarkStart w:id="19" w:name="_Toc8716"/>
      <w:r>
        <w:rPr>
          <w:rFonts w:hint="eastAsia"/>
        </w:rPr>
        <w:t>表B.4  施工用电检查评分表</w:t>
      </w:r>
      <w:bookmarkEnd w:id="17"/>
      <w:bookmarkEnd w:id="18"/>
      <w:bookmarkEnd w:id="19"/>
    </w:p>
    <w:tbl>
      <w:tblPr>
        <w:tblStyle w:val="19"/>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7130E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tblHeader/>
          <w:jc w:val="center"/>
        </w:trPr>
        <w:tc>
          <w:tcPr>
            <w:tcW w:w="539" w:type="dxa"/>
            <w:vAlign w:val="center"/>
          </w:tcPr>
          <w:p w14:paraId="5F4F8E33">
            <w:pPr>
              <w:pStyle w:val="44"/>
              <w:rPr>
                <w:color w:val="auto"/>
              </w:rPr>
            </w:pPr>
            <w:r>
              <w:rPr>
                <w:rFonts w:hint="eastAsia"/>
                <w:color w:val="auto"/>
              </w:rPr>
              <w:t>序号</w:t>
            </w:r>
          </w:p>
        </w:tc>
        <w:tc>
          <w:tcPr>
            <w:tcW w:w="1441" w:type="dxa"/>
            <w:gridSpan w:val="2"/>
            <w:vAlign w:val="center"/>
          </w:tcPr>
          <w:p w14:paraId="611DF6DB">
            <w:pPr>
              <w:pStyle w:val="44"/>
              <w:rPr>
                <w:color w:val="auto"/>
              </w:rPr>
            </w:pPr>
            <w:r>
              <w:rPr>
                <w:rFonts w:hint="eastAsia"/>
                <w:color w:val="auto"/>
              </w:rPr>
              <w:t>检查项目</w:t>
            </w:r>
          </w:p>
        </w:tc>
        <w:tc>
          <w:tcPr>
            <w:tcW w:w="5580" w:type="dxa"/>
            <w:vAlign w:val="center"/>
          </w:tcPr>
          <w:p w14:paraId="10122BA2">
            <w:pPr>
              <w:pStyle w:val="44"/>
              <w:rPr>
                <w:color w:val="auto"/>
              </w:rPr>
            </w:pPr>
            <w:r>
              <w:rPr>
                <w:rFonts w:hint="eastAsia"/>
                <w:color w:val="auto"/>
              </w:rPr>
              <w:t>扣 分 标 准</w:t>
            </w:r>
          </w:p>
        </w:tc>
        <w:tc>
          <w:tcPr>
            <w:tcW w:w="720" w:type="dxa"/>
            <w:vAlign w:val="center"/>
          </w:tcPr>
          <w:p w14:paraId="68D85934">
            <w:pPr>
              <w:pStyle w:val="44"/>
              <w:rPr>
                <w:color w:val="auto"/>
              </w:rPr>
            </w:pPr>
            <w:r>
              <w:rPr>
                <w:rFonts w:hint="eastAsia"/>
                <w:color w:val="auto"/>
              </w:rPr>
              <w:t>应得</w:t>
            </w:r>
          </w:p>
          <w:p w14:paraId="461B899D">
            <w:pPr>
              <w:pStyle w:val="44"/>
              <w:rPr>
                <w:color w:val="auto"/>
              </w:rPr>
            </w:pPr>
            <w:r>
              <w:rPr>
                <w:rFonts w:hint="eastAsia"/>
                <w:color w:val="auto"/>
              </w:rPr>
              <w:t>分数</w:t>
            </w:r>
          </w:p>
        </w:tc>
        <w:tc>
          <w:tcPr>
            <w:tcW w:w="720" w:type="dxa"/>
            <w:vAlign w:val="center"/>
          </w:tcPr>
          <w:p w14:paraId="16192AE4">
            <w:pPr>
              <w:pStyle w:val="44"/>
              <w:rPr>
                <w:color w:val="auto"/>
              </w:rPr>
            </w:pPr>
            <w:r>
              <w:rPr>
                <w:rFonts w:hint="eastAsia"/>
                <w:color w:val="auto"/>
              </w:rPr>
              <w:t>扣减</w:t>
            </w:r>
          </w:p>
          <w:p w14:paraId="28FECDC7">
            <w:pPr>
              <w:pStyle w:val="44"/>
              <w:rPr>
                <w:color w:val="auto"/>
              </w:rPr>
            </w:pPr>
            <w:r>
              <w:rPr>
                <w:rFonts w:hint="eastAsia"/>
                <w:color w:val="auto"/>
              </w:rPr>
              <w:t>分数</w:t>
            </w:r>
          </w:p>
        </w:tc>
        <w:tc>
          <w:tcPr>
            <w:tcW w:w="720" w:type="dxa"/>
            <w:vAlign w:val="center"/>
          </w:tcPr>
          <w:p w14:paraId="2920C67E">
            <w:pPr>
              <w:pStyle w:val="44"/>
              <w:rPr>
                <w:color w:val="auto"/>
              </w:rPr>
            </w:pPr>
            <w:r>
              <w:rPr>
                <w:rFonts w:hint="eastAsia"/>
                <w:color w:val="auto"/>
              </w:rPr>
              <w:t>实得</w:t>
            </w:r>
          </w:p>
          <w:p w14:paraId="38AA4FFC">
            <w:pPr>
              <w:pStyle w:val="44"/>
              <w:rPr>
                <w:color w:val="auto"/>
              </w:rPr>
            </w:pPr>
            <w:r>
              <w:rPr>
                <w:rFonts w:hint="eastAsia"/>
                <w:color w:val="auto"/>
              </w:rPr>
              <w:t>分数</w:t>
            </w:r>
          </w:p>
        </w:tc>
      </w:tr>
      <w:tr w14:paraId="6F8F6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0E20EE29">
            <w:pPr>
              <w:pStyle w:val="44"/>
              <w:rPr>
                <w:color w:val="auto"/>
              </w:rPr>
            </w:pPr>
            <w:r>
              <w:rPr>
                <w:rFonts w:hint="eastAsia"/>
                <w:color w:val="auto"/>
              </w:rPr>
              <w:t>1</w:t>
            </w:r>
          </w:p>
        </w:tc>
        <w:tc>
          <w:tcPr>
            <w:tcW w:w="543" w:type="dxa"/>
            <w:vMerge w:val="restart"/>
            <w:vAlign w:val="center"/>
          </w:tcPr>
          <w:p w14:paraId="34909244">
            <w:pPr>
              <w:pStyle w:val="44"/>
              <w:rPr>
                <w:color w:val="auto"/>
              </w:rPr>
            </w:pPr>
            <w:r>
              <w:rPr>
                <w:rFonts w:hint="eastAsia"/>
                <w:color w:val="auto"/>
              </w:rPr>
              <w:t>保</w:t>
            </w:r>
          </w:p>
          <w:p w14:paraId="68DDD63A">
            <w:pPr>
              <w:pStyle w:val="44"/>
              <w:rPr>
                <w:color w:val="auto"/>
              </w:rPr>
            </w:pPr>
            <w:r>
              <w:rPr>
                <w:rFonts w:hint="eastAsia"/>
                <w:color w:val="auto"/>
              </w:rPr>
              <w:t>证</w:t>
            </w:r>
          </w:p>
          <w:p w14:paraId="76AC84CF">
            <w:pPr>
              <w:pStyle w:val="44"/>
              <w:rPr>
                <w:color w:val="auto"/>
              </w:rPr>
            </w:pPr>
            <w:r>
              <w:rPr>
                <w:rFonts w:hint="eastAsia"/>
                <w:color w:val="auto"/>
              </w:rPr>
              <w:t>项</w:t>
            </w:r>
          </w:p>
          <w:p w14:paraId="1028917A">
            <w:pPr>
              <w:pStyle w:val="44"/>
              <w:rPr>
                <w:color w:val="auto"/>
              </w:rPr>
            </w:pPr>
            <w:r>
              <w:rPr>
                <w:rFonts w:hint="eastAsia"/>
                <w:color w:val="auto"/>
              </w:rPr>
              <w:t>目</w:t>
            </w:r>
          </w:p>
        </w:tc>
        <w:tc>
          <w:tcPr>
            <w:tcW w:w="898" w:type="dxa"/>
            <w:vAlign w:val="center"/>
          </w:tcPr>
          <w:p w14:paraId="2B85B42E">
            <w:pPr>
              <w:pStyle w:val="44"/>
              <w:rPr>
                <w:color w:val="auto"/>
              </w:rPr>
            </w:pPr>
            <w:r>
              <w:rPr>
                <w:rFonts w:hint="eastAsia"/>
                <w:color w:val="auto"/>
              </w:rPr>
              <w:t>外电防护</w:t>
            </w:r>
          </w:p>
        </w:tc>
        <w:tc>
          <w:tcPr>
            <w:tcW w:w="5580" w:type="dxa"/>
            <w:vAlign w:val="center"/>
          </w:tcPr>
          <w:p w14:paraId="76D99A11">
            <w:pPr>
              <w:pStyle w:val="44"/>
              <w:jc w:val="left"/>
              <w:rPr>
                <w:color w:val="auto"/>
              </w:rPr>
            </w:pPr>
            <w:r>
              <w:rPr>
                <w:rFonts w:hint="eastAsia"/>
                <w:color w:val="auto"/>
              </w:rPr>
              <w:t>1）在外电线路正下方施工、搭设作业棚、建造生活设施或堆放材料物品，扣</w:t>
            </w:r>
            <w:r>
              <w:rPr>
                <w:color w:val="auto"/>
              </w:rPr>
              <w:t>15</w:t>
            </w:r>
            <w:r>
              <w:rPr>
                <w:rFonts w:hint="eastAsia"/>
                <w:color w:val="auto"/>
              </w:rPr>
              <w:t>分</w:t>
            </w:r>
          </w:p>
          <w:p w14:paraId="75932F43">
            <w:pPr>
              <w:pStyle w:val="44"/>
              <w:jc w:val="left"/>
              <w:rPr>
                <w:color w:val="auto"/>
              </w:rPr>
            </w:pPr>
            <w:r>
              <w:rPr>
                <w:rFonts w:hint="eastAsia"/>
                <w:color w:val="auto"/>
              </w:rPr>
              <w:t>2）当安全距离不符合标准要求时，未采取隔离防护措施，扣</w:t>
            </w:r>
            <w:r>
              <w:rPr>
                <w:color w:val="auto"/>
              </w:rPr>
              <w:t>15</w:t>
            </w:r>
            <w:r>
              <w:rPr>
                <w:rFonts w:hint="eastAsia"/>
                <w:color w:val="auto"/>
              </w:rPr>
              <w:t>分</w:t>
            </w:r>
          </w:p>
          <w:p w14:paraId="76D69239">
            <w:pPr>
              <w:pStyle w:val="44"/>
              <w:jc w:val="left"/>
              <w:rPr>
                <w:color w:val="auto"/>
              </w:rPr>
            </w:pPr>
            <w:r>
              <w:rPr>
                <w:color w:val="auto"/>
              </w:rPr>
              <w:t>3</w:t>
            </w:r>
            <w:r>
              <w:rPr>
                <w:rFonts w:hint="eastAsia"/>
                <w:color w:val="auto"/>
              </w:rPr>
              <w:t>）防护设施和外电线路架设不坚固、稳定，扣</w:t>
            </w:r>
            <w:r>
              <w:rPr>
                <w:color w:val="auto"/>
              </w:rPr>
              <w:t>5-10</w:t>
            </w:r>
            <w:r>
              <w:rPr>
                <w:rFonts w:hint="eastAsia"/>
                <w:color w:val="auto"/>
              </w:rPr>
              <w:t>分</w:t>
            </w:r>
          </w:p>
          <w:p w14:paraId="5B812ED7">
            <w:pPr>
              <w:pStyle w:val="44"/>
              <w:jc w:val="left"/>
              <w:rPr>
                <w:color w:val="auto"/>
              </w:rPr>
            </w:pPr>
            <w:r>
              <w:rPr>
                <w:color w:val="auto"/>
              </w:rPr>
              <w:t>4</w:t>
            </w:r>
            <w:r>
              <w:rPr>
                <w:rFonts w:hint="eastAsia"/>
                <w:color w:val="auto"/>
              </w:rPr>
              <w:t>）在外电线路电杆附近开挖作业时，未会同有关部门采取加固措施，扣</w:t>
            </w:r>
            <w:r>
              <w:rPr>
                <w:color w:val="auto"/>
              </w:rPr>
              <w:t>10</w:t>
            </w:r>
            <w:r>
              <w:rPr>
                <w:rFonts w:hint="eastAsia"/>
                <w:color w:val="auto"/>
              </w:rPr>
              <w:t>分</w:t>
            </w:r>
          </w:p>
        </w:tc>
        <w:tc>
          <w:tcPr>
            <w:tcW w:w="720" w:type="dxa"/>
            <w:vAlign w:val="center"/>
          </w:tcPr>
          <w:p w14:paraId="5A3A5B91">
            <w:pPr>
              <w:pStyle w:val="44"/>
              <w:rPr>
                <w:color w:val="auto"/>
              </w:rPr>
            </w:pPr>
            <w:r>
              <w:rPr>
                <w:color w:val="auto"/>
              </w:rPr>
              <w:t>15</w:t>
            </w:r>
          </w:p>
        </w:tc>
        <w:tc>
          <w:tcPr>
            <w:tcW w:w="720" w:type="dxa"/>
            <w:vAlign w:val="center"/>
          </w:tcPr>
          <w:p w14:paraId="58AF676E">
            <w:pPr>
              <w:pStyle w:val="44"/>
              <w:rPr>
                <w:color w:val="auto"/>
              </w:rPr>
            </w:pPr>
          </w:p>
        </w:tc>
        <w:tc>
          <w:tcPr>
            <w:tcW w:w="720" w:type="dxa"/>
            <w:vAlign w:val="center"/>
          </w:tcPr>
          <w:p w14:paraId="24B7DCD2">
            <w:pPr>
              <w:pStyle w:val="44"/>
              <w:rPr>
                <w:color w:val="auto"/>
              </w:rPr>
            </w:pPr>
          </w:p>
        </w:tc>
      </w:tr>
      <w:tr w14:paraId="1DBAC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49FFE0A8">
            <w:pPr>
              <w:pStyle w:val="44"/>
              <w:rPr>
                <w:color w:val="auto"/>
              </w:rPr>
            </w:pPr>
            <w:r>
              <w:rPr>
                <w:rFonts w:hint="eastAsia"/>
                <w:color w:val="auto"/>
              </w:rPr>
              <w:t>2</w:t>
            </w:r>
          </w:p>
        </w:tc>
        <w:tc>
          <w:tcPr>
            <w:tcW w:w="543" w:type="dxa"/>
            <w:vMerge w:val="continue"/>
          </w:tcPr>
          <w:p w14:paraId="59E66B93">
            <w:pPr>
              <w:pStyle w:val="44"/>
              <w:rPr>
                <w:color w:val="auto"/>
              </w:rPr>
            </w:pPr>
          </w:p>
        </w:tc>
        <w:tc>
          <w:tcPr>
            <w:tcW w:w="898" w:type="dxa"/>
            <w:vAlign w:val="center"/>
          </w:tcPr>
          <w:p w14:paraId="52CCA86D">
            <w:pPr>
              <w:pStyle w:val="44"/>
              <w:rPr>
                <w:color w:val="auto"/>
              </w:rPr>
            </w:pPr>
            <w:r>
              <w:rPr>
                <w:rFonts w:hint="eastAsia"/>
                <w:color w:val="auto"/>
              </w:rPr>
              <w:t>接零保护与防雷</w:t>
            </w:r>
          </w:p>
        </w:tc>
        <w:tc>
          <w:tcPr>
            <w:tcW w:w="5580" w:type="dxa"/>
            <w:vAlign w:val="center"/>
          </w:tcPr>
          <w:p w14:paraId="36795C3B">
            <w:pPr>
              <w:pStyle w:val="44"/>
              <w:jc w:val="left"/>
              <w:rPr>
                <w:color w:val="auto"/>
              </w:rPr>
            </w:pPr>
            <w:r>
              <w:rPr>
                <w:color w:val="auto"/>
              </w:rPr>
              <w:t>1</w:t>
            </w:r>
            <w:r>
              <w:rPr>
                <w:rFonts w:hint="eastAsia"/>
                <w:color w:val="auto"/>
              </w:rPr>
              <w:t>）配电系统未采用</w:t>
            </w:r>
            <w:r>
              <w:rPr>
                <w:color w:val="auto"/>
              </w:rPr>
              <w:t>TN-S</w:t>
            </w:r>
            <w:r>
              <w:rPr>
                <w:rFonts w:hint="eastAsia"/>
                <w:color w:val="auto"/>
              </w:rPr>
              <w:t>接零保护系统，扣</w:t>
            </w:r>
            <w:r>
              <w:rPr>
                <w:color w:val="auto"/>
              </w:rPr>
              <w:t>15</w:t>
            </w:r>
            <w:r>
              <w:rPr>
                <w:rFonts w:hint="eastAsia"/>
                <w:color w:val="auto"/>
              </w:rPr>
              <w:t>分</w:t>
            </w:r>
          </w:p>
          <w:p w14:paraId="25E1BF54">
            <w:pPr>
              <w:pStyle w:val="44"/>
              <w:jc w:val="left"/>
              <w:rPr>
                <w:color w:val="auto"/>
              </w:rPr>
            </w:pPr>
            <w:r>
              <w:rPr>
                <w:color w:val="auto"/>
              </w:rPr>
              <w:t>2</w:t>
            </w:r>
            <w:r>
              <w:rPr>
                <w:rFonts w:hint="eastAsia"/>
                <w:color w:val="auto"/>
              </w:rPr>
              <w:t>）同时采用同一种配电保护系统，扣</w:t>
            </w:r>
            <w:r>
              <w:rPr>
                <w:color w:val="auto"/>
              </w:rPr>
              <w:t>15</w:t>
            </w:r>
            <w:r>
              <w:rPr>
                <w:rFonts w:hint="eastAsia"/>
                <w:color w:val="auto"/>
              </w:rPr>
              <w:t>分</w:t>
            </w:r>
          </w:p>
          <w:p w14:paraId="09CFF241">
            <w:pPr>
              <w:pStyle w:val="44"/>
              <w:jc w:val="left"/>
              <w:rPr>
                <w:color w:val="auto"/>
              </w:rPr>
            </w:pPr>
            <w:r>
              <w:rPr>
                <w:color w:val="auto"/>
              </w:rPr>
              <w:t>3</w:t>
            </w:r>
            <w:r>
              <w:rPr>
                <w:rFonts w:hint="eastAsia"/>
                <w:color w:val="auto"/>
              </w:rPr>
              <w:t>）线路上装设开关或熔断器、通过工作电流或有断线，扣</w:t>
            </w:r>
            <w:r>
              <w:rPr>
                <w:color w:val="auto"/>
              </w:rPr>
              <w:t>15</w:t>
            </w:r>
            <w:r>
              <w:rPr>
                <w:rFonts w:hint="eastAsia"/>
                <w:color w:val="auto"/>
              </w:rPr>
              <w:t>分；未单独敷设保护零线，扣</w:t>
            </w:r>
            <w:r>
              <w:rPr>
                <w:color w:val="auto"/>
              </w:rPr>
              <w:t>10</w:t>
            </w:r>
            <w:r>
              <w:rPr>
                <w:rFonts w:hint="eastAsia"/>
                <w:color w:val="auto"/>
              </w:rPr>
              <w:t>分</w:t>
            </w:r>
          </w:p>
          <w:p w14:paraId="66467806">
            <w:pPr>
              <w:pStyle w:val="44"/>
              <w:jc w:val="left"/>
              <w:rPr>
                <w:color w:val="auto"/>
              </w:rPr>
            </w:pPr>
            <w:r>
              <w:rPr>
                <w:color w:val="auto"/>
              </w:rPr>
              <w:t>4</w:t>
            </w:r>
            <w:r>
              <w:rPr>
                <w:rFonts w:hint="eastAsia"/>
                <w:color w:val="auto"/>
              </w:rPr>
              <w:t>）保护零线的材质、规格和颜色标记不符合标准要求，扣</w:t>
            </w:r>
            <w:r>
              <w:rPr>
                <w:color w:val="auto"/>
              </w:rPr>
              <w:t>5</w:t>
            </w:r>
            <w:r>
              <w:rPr>
                <w:rFonts w:hint="eastAsia"/>
                <w:color w:val="auto"/>
              </w:rPr>
              <w:t>分</w:t>
            </w:r>
          </w:p>
          <w:p w14:paraId="06C007BF">
            <w:pPr>
              <w:pStyle w:val="44"/>
              <w:jc w:val="left"/>
              <w:rPr>
                <w:color w:val="auto"/>
              </w:rPr>
            </w:pPr>
            <w:r>
              <w:rPr>
                <w:color w:val="auto"/>
              </w:rPr>
              <w:t>5</w:t>
            </w:r>
            <w:r>
              <w:rPr>
                <w:rFonts w:hint="eastAsia"/>
                <w:color w:val="auto"/>
              </w:rPr>
              <w:t>）保护零线引出位置不符合规定，扣</w:t>
            </w:r>
            <w:r>
              <w:rPr>
                <w:color w:val="auto"/>
              </w:rPr>
              <w:t>5-10</w:t>
            </w:r>
            <w:r>
              <w:rPr>
                <w:rFonts w:hint="eastAsia"/>
                <w:color w:val="auto"/>
              </w:rPr>
              <w:t>分</w:t>
            </w:r>
          </w:p>
          <w:p w14:paraId="29111721">
            <w:pPr>
              <w:pStyle w:val="44"/>
              <w:jc w:val="left"/>
              <w:rPr>
                <w:color w:val="auto"/>
              </w:rPr>
            </w:pPr>
            <w:r>
              <w:rPr>
                <w:color w:val="auto"/>
              </w:rPr>
              <w:t>6</w:t>
            </w:r>
            <w:r>
              <w:rPr>
                <w:rFonts w:hint="eastAsia"/>
                <w:color w:val="auto"/>
              </w:rPr>
              <w:t>）电气设备未接保护零线，每处扣</w:t>
            </w:r>
            <w:r>
              <w:rPr>
                <w:color w:val="auto"/>
              </w:rPr>
              <w:t>3</w:t>
            </w:r>
            <w:r>
              <w:rPr>
                <w:rFonts w:hint="eastAsia"/>
                <w:color w:val="auto"/>
              </w:rPr>
              <w:t>分</w:t>
            </w:r>
          </w:p>
          <w:p w14:paraId="03864836">
            <w:pPr>
              <w:pStyle w:val="44"/>
              <w:jc w:val="left"/>
              <w:rPr>
                <w:color w:val="auto"/>
              </w:rPr>
            </w:pPr>
            <w:r>
              <w:rPr>
                <w:color w:val="auto"/>
              </w:rPr>
              <w:t>7</w:t>
            </w:r>
            <w:r>
              <w:rPr>
                <w:rFonts w:hint="eastAsia"/>
                <w:color w:val="auto"/>
              </w:rPr>
              <w:t>）工作接地与重复接地的设置、安装及接地装置的材料不符合规定，扣</w:t>
            </w:r>
            <w:r>
              <w:rPr>
                <w:color w:val="auto"/>
              </w:rPr>
              <w:t>10-15</w:t>
            </w:r>
            <w:r>
              <w:rPr>
                <w:rFonts w:hint="eastAsia"/>
                <w:color w:val="auto"/>
              </w:rPr>
              <w:t>分</w:t>
            </w:r>
          </w:p>
          <w:p w14:paraId="7729FB96">
            <w:pPr>
              <w:pStyle w:val="44"/>
              <w:jc w:val="left"/>
              <w:rPr>
                <w:color w:val="auto"/>
              </w:rPr>
            </w:pPr>
            <w:r>
              <w:rPr>
                <w:color w:val="auto"/>
              </w:rPr>
              <w:t>8</w:t>
            </w:r>
            <w:r>
              <w:rPr>
                <w:rFonts w:hint="eastAsia"/>
                <w:color w:val="auto"/>
              </w:rPr>
              <w:t>）工作接地电阻大于</w:t>
            </w:r>
            <w:r>
              <w:rPr>
                <w:color w:val="auto"/>
              </w:rPr>
              <w:t>4</w:t>
            </w:r>
            <w:r>
              <w:rPr>
                <w:rFonts w:hint="eastAsia"/>
                <w:color w:val="auto"/>
              </w:rPr>
              <w:t>Ω，重复接地电阻大于</w:t>
            </w:r>
            <w:r>
              <w:rPr>
                <w:color w:val="auto"/>
              </w:rPr>
              <w:t>10</w:t>
            </w:r>
            <w:r>
              <w:rPr>
                <w:rFonts w:hint="eastAsia"/>
                <w:color w:val="auto"/>
              </w:rPr>
              <w:t>Ω，扣</w:t>
            </w:r>
            <w:r>
              <w:rPr>
                <w:color w:val="auto"/>
              </w:rPr>
              <w:t>15</w:t>
            </w:r>
            <w:r>
              <w:rPr>
                <w:rFonts w:hint="eastAsia"/>
                <w:color w:val="auto"/>
              </w:rPr>
              <w:t>分</w:t>
            </w:r>
          </w:p>
          <w:p w14:paraId="127A4734">
            <w:pPr>
              <w:pStyle w:val="44"/>
              <w:jc w:val="left"/>
              <w:rPr>
                <w:color w:val="auto"/>
              </w:rPr>
            </w:pPr>
            <w:r>
              <w:rPr>
                <w:color w:val="auto"/>
              </w:rPr>
              <w:t>9</w:t>
            </w:r>
            <w:r>
              <w:rPr>
                <w:rFonts w:hint="eastAsia"/>
                <w:color w:val="auto"/>
              </w:rPr>
              <w:t>）施工设施未采取防雷措施，扣</w:t>
            </w:r>
            <w:r>
              <w:rPr>
                <w:color w:val="auto"/>
              </w:rPr>
              <w:t>15</w:t>
            </w:r>
            <w:r>
              <w:rPr>
                <w:rFonts w:hint="eastAsia"/>
                <w:color w:val="auto"/>
              </w:rPr>
              <w:t>分，防雷装置的冲击接地电阻值大于</w:t>
            </w:r>
            <w:r>
              <w:rPr>
                <w:color w:val="auto"/>
              </w:rPr>
              <w:t>30</w:t>
            </w:r>
            <w:r>
              <w:rPr>
                <w:rFonts w:hint="eastAsia"/>
                <w:color w:val="auto"/>
              </w:rPr>
              <w:t>Ω，扣</w:t>
            </w:r>
            <w:r>
              <w:rPr>
                <w:color w:val="auto"/>
              </w:rPr>
              <w:t>10</w:t>
            </w:r>
            <w:r>
              <w:rPr>
                <w:rFonts w:hint="eastAsia"/>
                <w:color w:val="auto"/>
              </w:rPr>
              <w:t>分</w:t>
            </w:r>
          </w:p>
          <w:p w14:paraId="03784A0D">
            <w:pPr>
              <w:pStyle w:val="44"/>
              <w:jc w:val="left"/>
              <w:rPr>
                <w:color w:val="auto"/>
              </w:rPr>
            </w:pPr>
            <w:r>
              <w:rPr>
                <w:color w:val="auto"/>
              </w:rPr>
              <w:t>10</w:t>
            </w:r>
            <w:r>
              <w:rPr>
                <w:rFonts w:hint="eastAsia"/>
                <w:color w:val="auto"/>
              </w:rPr>
              <w:t>）做防雷接地机械上的电气设备，所连接的保护零线未做重复接地，扣</w:t>
            </w:r>
            <w:r>
              <w:rPr>
                <w:color w:val="auto"/>
              </w:rPr>
              <w:t>10</w:t>
            </w:r>
            <w:r>
              <w:rPr>
                <w:rFonts w:hint="eastAsia"/>
                <w:color w:val="auto"/>
              </w:rPr>
              <w:t>分</w:t>
            </w:r>
          </w:p>
        </w:tc>
        <w:tc>
          <w:tcPr>
            <w:tcW w:w="720" w:type="dxa"/>
            <w:vAlign w:val="center"/>
          </w:tcPr>
          <w:p w14:paraId="786CD08B">
            <w:pPr>
              <w:pStyle w:val="44"/>
              <w:rPr>
                <w:color w:val="auto"/>
              </w:rPr>
            </w:pPr>
            <w:r>
              <w:rPr>
                <w:rFonts w:hint="eastAsia"/>
                <w:color w:val="auto"/>
              </w:rPr>
              <w:t>15</w:t>
            </w:r>
          </w:p>
        </w:tc>
        <w:tc>
          <w:tcPr>
            <w:tcW w:w="720" w:type="dxa"/>
            <w:vAlign w:val="center"/>
          </w:tcPr>
          <w:p w14:paraId="11129577">
            <w:pPr>
              <w:pStyle w:val="44"/>
              <w:rPr>
                <w:color w:val="auto"/>
              </w:rPr>
            </w:pPr>
          </w:p>
        </w:tc>
        <w:tc>
          <w:tcPr>
            <w:tcW w:w="720" w:type="dxa"/>
            <w:vAlign w:val="center"/>
          </w:tcPr>
          <w:p w14:paraId="1F42BF54">
            <w:pPr>
              <w:pStyle w:val="44"/>
              <w:rPr>
                <w:color w:val="auto"/>
              </w:rPr>
            </w:pPr>
          </w:p>
        </w:tc>
      </w:tr>
      <w:tr w14:paraId="0E0B2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733FE6F">
            <w:pPr>
              <w:pStyle w:val="44"/>
              <w:rPr>
                <w:color w:val="auto"/>
              </w:rPr>
            </w:pPr>
            <w:r>
              <w:rPr>
                <w:rFonts w:hint="eastAsia"/>
                <w:color w:val="auto"/>
              </w:rPr>
              <w:t>3</w:t>
            </w:r>
          </w:p>
        </w:tc>
        <w:tc>
          <w:tcPr>
            <w:tcW w:w="543" w:type="dxa"/>
            <w:vMerge w:val="continue"/>
          </w:tcPr>
          <w:p w14:paraId="44983E45">
            <w:pPr>
              <w:pStyle w:val="44"/>
              <w:rPr>
                <w:color w:val="auto"/>
              </w:rPr>
            </w:pPr>
          </w:p>
        </w:tc>
        <w:tc>
          <w:tcPr>
            <w:tcW w:w="898" w:type="dxa"/>
            <w:vAlign w:val="center"/>
          </w:tcPr>
          <w:p w14:paraId="7F593468">
            <w:pPr>
              <w:pStyle w:val="44"/>
              <w:rPr>
                <w:color w:val="auto"/>
              </w:rPr>
            </w:pPr>
            <w:r>
              <w:rPr>
                <w:rFonts w:hint="eastAsia"/>
                <w:color w:val="auto"/>
              </w:rPr>
              <w:t>配电线路</w:t>
            </w:r>
          </w:p>
        </w:tc>
        <w:tc>
          <w:tcPr>
            <w:tcW w:w="5580" w:type="dxa"/>
            <w:vAlign w:val="center"/>
          </w:tcPr>
          <w:p w14:paraId="64189F10">
            <w:pPr>
              <w:pStyle w:val="44"/>
              <w:jc w:val="left"/>
              <w:rPr>
                <w:color w:val="auto"/>
              </w:rPr>
            </w:pPr>
            <w:r>
              <w:rPr>
                <w:color w:val="auto"/>
              </w:rPr>
              <w:t>1</w:t>
            </w:r>
            <w:r>
              <w:rPr>
                <w:rFonts w:hint="eastAsia"/>
                <w:color w:val="auto"/>
              </w:rPr>
              <w:t>）线路及接头的机械强度和绝缘强度不符合标准要求，扣</w:t>
            </w:r>
            <w:r>
              <w:rPr>
                <w:color w:val="auto"/>
              </w:rPr>
              <w:t>5</w:t>
            </w:r>
            <w:r>
              <w:rPr>
                <w:rFonts w:hint="eastAsia"/>
                <w:color w:val="auto"/>
              </w:rPr>
              <w:t>分</w:t>
            </w:r>
          </w:p>
          <w:p w14:paraId="4E1C24D5">
            <w:pPr>
              <w:pStyle w:val="44"/>
              <w:jc w:val="left"/>
              <w:rPr>
                <w:color w:val="auto"/>
              </w:rPr>
            </w:pPr>
            <w:r>
              <w:rPr>
                <w:color w:val="auto"/>
              </w:rPr>
              <w:t>2</w:t>
            </w:r>
            <w:r>
              <w:rPr>
                <w:rFonts w:hint="eastAsia"/>
                <w:color w:val="auto"/>
              </w:rPr>
              <w:t>）电缆线路未埋地或架空敷设，扣</w:t>
            </w:r>
            <w:r>
              <w:rPr>
                <w:color w:val="auto"/>
              </w:rPr>
              <w:t>10</w:t>
            </w:r>
            <w:r>
              <w:rPr>
                <w:rFonts w:hint="eastAsia"/>
                <w:color w:val="auto"/>
              </w:rPr>
              <w:t>分</w:t>
            </w:r>
          </w:p>
          <w:p w14:paraId="5BA4BDE7">
            <w:pPr>
              <w:pStyle w:val="44"/>
              <w:jc w:val="left"/>
              <w:rPr>
                <w:color w:val="auto"/>
              </w:rPr>
            </w:pPr>
            <w:r>
              <w:rPr>
                <w:color w:val="auto"/>
              </w:rPr>
              <w:t>3</w:t>
            </w:r>
            <w:r>
              <w:rPr>
                <w:rFonts w:hint="eastAsia"/>
                <w:color w:val="auto"/>
              </w:rPr>
              <w:t>）架空线架设在树木、脚手架及其他不合理设施上，扣</w:t>
            </w:r>
            <w:r>
              <w:rPr>
                <w:color w:val="auto"/>
              </w:rPr>
              <w:t>10</w:t>
            </w:r>
            <w:r>
              <w:rPr>
                <w:rFonts w:hint="eastAsia"/>
                <w:color w:val="auto"/>
              </w:rPr>
              <w:t>分</w:t>
            </w:r>
          </w:p>
          <w:p w14:paraId="7AB8BF25">
            <w:pPr>
              <w:pStyle w:val="44"/>
              <w:jc w:val="left"/>
              <w:rPr>
                <w:color w:val="auto"/>
              </w:rPr>
            </w:pPr>
            <w:r>
              <w:rPr>
                <w:color w:val="auto"/>
              </w:rPr>
              <w:t>4</w:t>
            </w:r>
            <w:r>
              <w:rPr>
                <w:rFonts w:hint="eastAsia"/>
                <w:color w:val="auto"/>
              </w:rPr>
              <w:t>）架空线路与邻近线路或固定物的距离不符合标准要求，扣</w:t>
            </w:r>
            <w:r>
              <w:rPr>
                <w:color w:val="auto"/>
              </w:rPr>
              <w:t>10</w:t>
            </w:r>
            <w:r>
              <w:rPr>
                <w:rFonts w:hint="eastAsia"/>
                <w:color w:val="auto"/>
              </w:rPr>
              <w:t>分</w:t>
            </w:r>
          </w:p>
          <w:p w14:paraId="30022FFC">
            <w:pPr>
              <w:pStyle w:val="44"/>
              <w:jc w:val="left"/>
              <w:rPr>
                <w:color w:val="auto"/>
              </w:rPr>
            </w:pPr>
            <w:r>
              <w:rPr>
                <w:color w:val="auto"/>
              </w:rPr>
              <w:t>5</w:t>
            </w:r>
            <w:r>
              <w:rPr>
                <w:rFonts w:hint="eastAsia"/>
                <w:color w:val="auto"/>
              </w:rPr>
              <w:t>）线路未设短路保护和过载保护，扣</w:t>
            </w:r>
            <w:r>
              <w:rPr>
                <w:color w:val="auto"/>
              </w:rPr>
              <w:t>10</w:t>
            </w:r>
            <w:r>
              <w:rPr>
                <w:rFonts w:hint="eastAsia"/>
                <w:color w:val="auto"/>
              </w:rPr>
              <w:t>分；导线截面不能符合线路负荷电流，扣</w:t>
            </w:r>
            <w:r>
              <w:rPr>
                <w:color w:val="auto"/>
              </w:rPr>
              <w:t>2-6</w:t>
            </w:r>
            <w:r>
              <w:rPr>
                <w:rFonts w:hint="eastAsia"/>
                <w:color w:val="auto"/>
              </w:rPr>
              <w:t>分</w:t>
            </w:r>
          </w:p>
          <w:p w14:paraId="3516879F">
            <w:pPr>
              <w:pStyle w:val="44"/>
              <w:jc w:val="left"/>
              <w:rPr>
                <w:color w:val="auto"/>
              </w:rPr>
            </w:pPr>
            <w:r>
              <w:rPr>
                <w:rFonts w:hint="eastAsia"/>
                <w:color w:val="auto"/>
              </w:rPr>
              <w:t>6）敷设的电缆不符合规定要求，扣10分</w:t>
            </w:r>
          </w:p>
          <w:p w14:paraId="3B4FC39E">
            <w:pPr>
              <w:pStyle w:val="44"/>
              <w:jc w:val="left"/>
              <w:rPr>
                <w:color w:val="auto"/>
              </w:rPr>
            </w:pPr>
            <w:r>
              <w:rPr>
                <w:color w:val="auto"/>
              </w:rPr>
              <w:t>7</w:t>
            </w:r>
            <w:r>
              <w:rPr>
                <w:rFonts w:hint="eastAsia"/>
                <w:color w:val="auto"/>
              </w:rPr>
              <w:t>）通往水上的岸电未采用绝缘物架设，扣</w:t>
            </w:r>
            <w:r>
              <w:rPr>
                <w:color w:val="auto"/>
              </w:rPr>
              <w:t>10</w:t>
            </w:r>
            <w:r>
              <w:rPr>
                <w:rFonts w:hint="eastAsia"/>
                <w:color w:val="auto"/>
              </w:rPr>
              <w:t>分，电缆线架设完后无余量，扣</w:t>
            </w:r>
            <w:r>
              <w:rPr>
                <w:color w:val="auto"/>
              </w:rPr>
              <w:t>5</w:t>
            </w:r>
            <w:r>
              <w:rPr>
                <w:rFonts w:hint="eastAsia"/>
                <w:color w:val="auto"/>
              </w:rPr>
              <w:t>分</w:t>
            </w:r>
          </w:p>
          <w:p w14:paraId="7B576DC6">
            <w:pPr>
              <w:pStyle w:val="44"/>
              <w:jc w:val="left"/>
              <w:rPr>
                <w:color w:val="auto"/>
              </w:rPr>
            </w:pPr>
            <w:r>
              <w:rPr>
                <w:color w:val="auto"/>
              </w:rPr>
              <w:t>7</w:t>
            </w:r>
            <w:r>
              <w:rPr>
                <w:rFonts w:hint="eastAsia"/>
                <w:color w:val="auto"/>
              </w:rPr>
              <w:t>）室内明敷主干线距离地面高度小于</w:t>
            </w:r>
            <w:r>
              <w:rPr>
                <w:color w:val="auto"/>
              </w:rPr>
              <w:t>2.5m</w:t>
            </w:r>
            <w:r>
              <w:rPr>
                <w:rFonts w:hint="eastAsia"/>
                <w:color w:val="auto"/>
              </w:rPr>
              <w:t>，扣</w:t>
            </w:r>
            <w:r>
              <w:rPr>
                <w:color w:val="auto"/>
              </w:rPr>
              <w:t>10</w:t>
            </w:r>
            <w:r>
              <w:rPr>
                <w:rFonts w:hint="eastAsia"/>
                <w:color w:val="auto"/>
              </w:rPr>
              <w:t>分</w:t>
            </w:r>
          </w:p>
          <w:p w14:paraId="53E1F0B0">
            <w:pPr>
              <w:pStyle w:val="44"/>
              <w:jc w:val="left"/>
              <w:rPr>
                <w:color w:val="auto"/>
              </w:rPr>
            </w:pPr>
            <w:r>
              <w:rPr>
                <w:color w:val="auto"/>
              </w:rPr>
              <w:t>8</w:t>
            </w:r>
            <w:r>
              <w:rPr>
                <w:rFonts w:hint="eastAsia"/>
                <w:color w:val="auto"/>
              </w:rPr>
              <w:t>）架空缆线上吊挂物品，扣</w:t>
            </w:r>
            <w:r>
              <w:rPr>
                <w:color w:val="auto"/>
              </w:rPr>
              <w:t>5</w:t>
            </w:r>
            <w:r>
              <w:rPr>
                <w:rFonts w:hint="eastAsia"/>
                <w:color w:val="auto"/>
              </w:rPr>
              <w:t>分</w:t>
            </w:r>
          </w:p>
        </w:tc>
        <w:tc>
          <w:tcPr>
            <w:tcW w:w="720" w:type="dxa"/>
            <w:vAlign w:val="center"/>
          </w:tcPr>
          <w:p w14:paraId="7A347571">
            <w:pPr>
              <w:pStyle w:val="44"/>
              <w:rPr>
                <w:color w:val="auto"/>
              </w:rPr>
            </w:pPr>
            <w:r>
              <w:rPr>
                <w:color w:val="auto"/>
              </w:rPr>
              <w:t>10</w:t>
            </w:r>
          </w:p>
        </w:tc>
        <w:tc>
          <w:tcPr>
            <w:tcW w:w="720" w:type="dxa"/>
            <w:vAlign w:val="center"/>
          </w:tcPr>
          <w:p w14:paraId="2E940349">
            <w:pPr>
              <w:pStyle w:val="44"/>
              <w:rPr>
                <w:color w:val="auto"/>
              </w:rPr>
            </w:pPr>
          </w:p>
        </w:tc>
        <w:tc>
          <w:tcPr>
            <w:tcW w:w="720" w:type="dxa"/>
            <w:vAlign w:val="center"/>
          </w:tcPr>
          <w:p w14:paraId="27F7493A">
            <w:pPr>
              <w:pStyle w:val="44"/>
              <w:rPr>
                <w:color w:val="auto"/>
              </w:rPr>
            </w:pPr>
          </w:p>
        </w:tc>
      </w:tr>
      <w:tr w14:paraId="49E89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A25A546">
            <w:pPr>
              <w:pStyle w:val="44"/>
              <w:rPr>
                <w:color w:val="auto"/>
              </w:rPr>
            </w:pPr>
            <w:r>
              <w:rPr>
                <w:rFonts w:hint="eastAsia"/>
                <w:color w:val="auto"/>
              </w:rPr>
              <w:t>4</w:t>
            </w:r>
          </w:p>
        </w:tc>
        <w:tc>
          <w:tcPr>
            <w:tcW w:w="543" w:type="dxa"/>
            <w:vMerge w:val="continue"/>
          </w:tcPr>
          <w:p w14:paraId="057137F6">
            <w:pPr>
              <w:pStyle w:val="44"/>
              <w:rPr>
                <w:color w:val="auto"/>
              </w:rPr>
            </w:pPr>
          </w:p>
        </w:tc>
        <w:tc>
          <w:tcPr>
            <w:tcW w:w="898" w:type="dxa"/>
            <w:vAlign w:val="center"/>
          </w:tcPr>
          <w:p w14:paraId="57A5A300">
            <w:pPr>
              <w:pStyle w:val="44"/>
              <w:rPr>
                <w:color w:val="auto"/>
              </w:rPr>
            </w:pPr>
            <w:r>
              <w:rPr>
                <w:rFonts w:hint="eastAsia"/>
                <w:color w:val="auto"/>
              </w:rPr>
              <w:t>配电箱与开关箱</w:t>
            </w:r>
          </w:p>
        </w:tc>
        <w:tc>
          <w:tcPr>
            <w:tcW w:w="5580" w:type="dxa"/>
            <w:vAlign w:val="center"/>
          </w:tcPr>
          <w:p w14:paraId="31CA5FF4">
            <w:pPr>
              <w:pStyle w:val="44"/>
              <w:jc w:val="left"/>
              <w:rPr>
                <w:color w:val="auto"/>
              </w:rPr>
            </w:pPr>
            <w:r>
              <w:rPr>
                <w:rFonts w:hint="eastAsia"/>
                <w:color w:val="auto"/>
              </w:rPr>
              <w:t>1）未采用三级配电、二级保护系统，扣10分</w:t>
            </w:r>
          </w:p>
          <w:p w14:paraId="4D6BB75F">
            <w:pPr>
              <w:pStyle w:val="44"/>
              <w:jc w:val="left"/>
              <w:rPr>
                <w:color w:val="auto"/>
              </w:rPr>
            </w:pPr>
            <w:r>
              <w:rPr>
                <w:rFonts w:hint="eastAsia"/>
                <w:color w:val="auto"/>
              </w:rPr>
              <w:t>2）用电设备未设置专用开关箱，扣10分</w:t>
            </w:r>
          </w:p>
          <w:p w14:paraId="415C0ABE">
            <w:pPr>
              <w:pStyle w:val="44"/>
              <w:jc w:val="left"/>
              <w:rPr>
                <w:color w:val="auto"/>
              </w:rPr>
            </w:pPr>
            <w:r>
              <w:rPr>
                <w:rFonts w:hint="eastAsia"/>
                <w:color w:val="auto"/>
              </w:rPr>
              <w:t>3）配电箱、开关箱及用电设备之间的距离不符合标准要求，扣5分</w:t>
            </w:r>
          </w:p>
          <w:p w14:paraId="4D2D60FD">
            <w:pPr>
              <w:pStyle w:val="44"/>
              <w:jc w:val="left"/>
              <w:rPr>
                <w:color w:val="auto"/>
              </w:rPr>
            </w:pPr>
            <w:r>
              <w:rPr>
                <w:rFonts w:hint="eastAsia"/>
                <w:color w:val="auto"/>
              </w:rPr>
              <w:t>4）配电箱结构、箱内电器设置及使用不符合标准要求，扣5-8分</w:t>
            </w:r>
          </w:p>
          <w:p w14:paraId="7FD9B53F">
            <w:pPr>
              <w:pStyle w:val="44"/>
              <w:jc w:val="left"/>
              <w:rPr>
                <w:color w:val="auto"/>
              </w:rPr>
            </w:pPr>
            <w:r>
              <w:rPr>
                <w:rFonts w:hint="eastAsia"/>
                <w:color w:val="auto"/>
              </w:rPr>
              <w:t>5）箱体安装位置、高度及周边通道不符合标准要求，扣5分</w:t>
            </w:r>
          </w:p>
          <w:p w14:paraId="2BCB9B34">
            <w:pPr>
              <w:pStyle w:val="44"/>
              <w:jc w:val="left"/>
              <w:rPr>
                <w:color w:val="auto"/>
              </w:rPr>
            </w:pPr>
            <w:r>
              <w:rPr>
                <w:rFonts w:hint="eastAsia"/>
                <w:color w:val="auto"/>
              </w:rPr>
              <w:t>6）电器安装板上零线端子板和保护零线端子板设置不符合规定要求，扣10分</w:t>
            </w:r>
          </w:p>
          <w:p w14:paraId="0468D58B">
            <w:pPr>
              <w:pStyle w:val="44"/>
              <w:jc w:val="left"/>
              <w:rPr>
                <w:color w:val="auto"/>
              </w:rPr>
            </w:pPr>
            <w:r>
              <w:rPr>
                <w:rFonts w:hint="eastAsia"/>
                <w:color w:val="auto"/>
              </w:rPr>
              <w:t>7）总配电箱、开关箱未安装漏电保护器或不灵敏，扣10分</w:t>
            </w:r>
          </w:p>
          <w:p w14:paraId="2FE260D5">
            <w:pPr>
              <w:pStyle w:val="44"/>
              <w:jc w:val="left"/>
              <w:rPr>
                <w:color w:val="auto"/>
              </w:rPr>
            </w:pPr>
            <w:r>
              <w:rPr>
                <w:rFonts w:hint="eastAsia"/>
                <w:color w:val="auto"/>
              </w:rPr>
              <w:t>8）配电箱与开关箱设置不符合规定要求，扣5分</w:t>
            </w:r>
          </w:p>
        </w:tc>
        <w:tc>
          <w:tcPr>
            <w:tcW w:w="720" w:type="dxa"/>
            <w:vAlign w:val="center"/>
          </w:tcPr>
          <w:p w14:paraId="05CE11B5">
            <w:pPr>
              <w:pStyle w:val="44"/>
              <w:rPr>
                <w:color w:val="auto"/>
              </w:rPr>
            </w:pPr>
            <w:r>
              <w:rPr>
                <w:color w:val="auto"/>
              </w:rPr>
              <w:t>10</w:t>
            </w:r>
          </w:p>
        </w:tc>
        <w:tc>
          <w:tcPr>
            <w:tcW w:w="720" w:type="dxa"/>
            <w:vAlign w:val="center"/>
          </w:tcPr>
          <w:p w14:paraId="6BFCA299">
            <w:pPr>
              <w:pStyle w:val="44"/>
              <w:rPr>
                <w:color w:val="auto"/>
              </w:rPr>
            </w:pPr>
          </w:p>
        </w:tc>
        <w:tc>
          <w:tcPr>
            <w:tcW w:w="720" w:type="dxa"/>
            <w:vAlign w:val="center"/>
          </w:tcPr>
          <w:p w14:paraId="089390DC">
            <w:pPr>
              <w:pStyle w:val="44"/>
              <w:rPr>
                <w:color w:val="auto"/>
              </w:rPr>
            </w:pPr>
          </w:p>
        </w:tc>
      </w:tr>
      <w:tr w14:paraId="35559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58088352">
            <w:pPr>
              <w:pStyle w:val="44"/>
              <w:rPr>
                <w:color w:val="auto"/>
              </w:rPr>
            </w:pPr>
            <w:r>
              <w:rPr>
                <w:rFonts w:hint="eastAsia"/>
                <w:color w:val="auto"/>
              </w:rPr>
              <w:t>5</w:t>
            </w:r>
          </w:p>
        </w:tc>
        <w:tc>
          <w:tcPr>
            <w:tcW w:w="543" w:type="dxa"/>
            <w:vMerge w:val="continue"/>
          </w:tcPr>
          <w:p w14:paraId="03D547F6">
            <w:pPr>
              <w:pStyle w:val="44"/>
              <w:rPr>
                <w:color w:val="auto"/>
              </w:rPr>
            </w:pPr>
          </w:p>
        </w:tc>
        <w:tc>
          <w:tcPr>
            <w:tcW w:w="898" w:type="dxa"/>
            <w:vAlign w:val="center"/>
          </w:tcPr>
          <w:p w14:paraId="19C62749">
            <w:pPr>
              <w:pStyle w:val="44"/>
              <w:rPr>
                <w:color w:val="auto"/>
              </w:rPr>
            </w:pPr>
            <w:r>
              <w:rPr>
                <w:rFonts w:hint="eastAsia"/>
                <w:color w:val="auto"/>
              </w:rPr>
              <w:t>配电室与</w:t>
            </w:r>
          </w:p>
          <w:p w14:paraId="5F3D5BD0">
            <w:pPr>
              <w:pStyle w:val="44"/>
              <w:rPr>
                <w:color w:val="auto"/>
              </w:rPr>
            </w:pPr>
            <w:r>
              <w:rPr>
                <w:rFonts w:hint="eastAsia"/>
                <w:color w:val="auto"/>
              </w:rPr>
              <w:t>配电装置</w:t>
            </w:r>
          </w:p>
        </w:tc>
        <w:tc>
          <w:tcPr>
            <w:tcW w:w="5580" w:type="dxa"/>
            <w:vAlign w:val="center"/>
          </w:tcPr>
          <w:p w14:paraId="49020592">
            <w:pPr>
              <w:pStyle w:val="44"/>
              <w:jc w:val="left"/>
              <w:rPr>
                <w:color w:val="auto"/>
              </w:rPr>
            </w:pPr>
            <w:r>
              <w:rPr>
                <w:color w:val="auto"/>
              </w:rPr>
              <w:t>1</w:t>
            </w:r>
            <w:r>
              <w:rPr>
                <w:rFonts w:hint="eastAsia"/>
                <w:color w:val="auto"/>
              </w:rPr>
              <w:t>）配电室的建筑物和构筑物的耐火等级低于</w:t>
            </w:r>
            <w:r>
              <w:rPr>
                <w:color w:val="auto"/>
              </w:rPr>
              <w:t>3</w:t>
            </w:r>
            <w:r>
              <w:rPr>
                <w:rFonts w:hint="eastAsia"/>
                <w:color w:val="auto"/>
              </w:rPr>
              <w:t>级，扣</w:t>
            </w:r>
            <w:r>
              <w:rPr>
                <w:color w:val="auto"/>
              </w:rPr>
              <w:t>10</w:t>
            </w:r>
            <w:r>
              <w:rPr>
                <w:rFonts w:hint="eastAsia"/>
                <w:color w:val="auto"/>
              </w:rPr>
              <w:t>分；配电室内无有效灭火器材，扣</w:t>
            </w:r>
            <w:r>
              <w:rPr>
                <w:color w:val="auto"/>
              </w:rPr>
              <w:t>5</w:t>
            </w:r>
            <w:r>
              <w:rPr>
                <w:rFonts w:hint="eastAsia"/>
                <w:color w:val="auto"/>
              </w:rPr>
              <w:t>分</w:t>
            </w:r>
          </w:p>
          <w:p w14:paraId="6F0E2CBB">
            <w:pPr>
              <w:pStyle w:val="44"/>
              <w:jc w:val="left"/>
              <w:rPr>
                <w:color w:val="auto"/>
              </w:rPr>
            </w:pPr>
            <w:r>
              <w:rPr>
                <w:color w:val="auto"/>
              </w:rPr>
              <w:t>2</w:t>
            </w:r>
            <w:r>
              <w:rPr>
                <w:rFonts w:hint="eastAsia"/>
                <w:color w:val="auto"/>
              </w:rPr>
              <w:t>）配电室和配电装置的布设不符合标准要求，扣</w:t>
            </w:r>
            <w:r>
              <w:rPr>
                <w:color w:val="auto"/>
              </w:rPr>
              <w:t>8</w:t>
            </w:r>
            <w:r>
              <w:rPr>
                <w:rFonts w:hint="eastAsia"/>
                <w:color w:val="auto"/>
              </w:rPr>
              <w:t>分</w:t>
            </w:r>
          </w:p>
          <w:p w14:paraId="11806DE8">
            <w:pPr>
              <w:pStyle w:val="44"/>
              <w:jc w:val="left"/>
              <w:rPr>
                <w:color w:val="auto"/>
              </w:rPr>
            </w:pPr>
            <w:r>
              <w:rPr>
                <w:color w:val="auto"/>
              </w:rPr>
              <w:t>3</w:t>
            </w:r>
            <w:r>
              <w:rPr>
                <w:rFonts w:hint="eastAsia"/>
                <w:color w:val="auto"/>
              </w:rPr>
              <w:t>）发电机组电源未与外电线路电源连锁，并列运行，扣</w:t>
            </w:r>
            <w:r>
              <w:rPr>
                <w:color w:val="auto"/>
              </w:rPr>
              <w:t>10</w:t>
            </w:r>
            <w:r>
              <w:rPr>
                <w:rFonts w:hint="eastAsia"/>
                <w:color w:val="auto"/>
              </w:rPr>
              <w:t>分</w:t>
            </w:r>
          </w:p>
          <w:p w14:paraId="18086CDF">
            <w:pPr>
              <w:pStyle w:val="44"/>
              <w:jc w:val="left"/>
              <w:rPr>
                <w:color w:val="auto"/>
              </w:rPr>
            </w:pPr>
            <w:r>
              <w:rPr>
                <w:color w:val="auto"/>
              </w:rPr>
              <w:t>4</w:t>
            </w:r>
            <w:r>
              <w:rPr>
                <w:rFonts w:hint="eastAsia"/>
                <w:color w:val="auto"/>
              </w:rPr>
              <w:t>）发电机组并列运行时，未装设同期装置或同期装置不灵敏，扣</w:t>
            </w:r>
            <w:r>
              <w:rPr>
                <w:color w:val="auto"/>
              </w:rPr>
              <w:t>10</w:t>
            </w:r>
            <w:r>
              <w:rPr>
                <w:rFonts w:hint="eastAsia"/>
                <w:color w:val="auto"/>
              </w:rPr>
              <w:t>分</w:t>
            </w:r>
          </w:p>
          <w:p w14:paraId="57D6E518">
            <w:pPr>
              <w:pStyle w:val="44"/>
              <w:jc w:val="left"/>
              <w:rPr>
                <w:color w:val="auto"/>
              </w:rPr>
            </w:pPr>
            <w:r>
              <w:rPr>
                <w:color w:val="auto"/>
              </w:rPr>
              <w:t>5</w:t>
            </w:r>
            <w:r>
              <w:rPr>
                <w:rFonts w:hint="eastAsia"/>
                <w:color w:val="auto"/>
              </w:rPr>
              <w:t>）配电装置中的仪表、电器元件设置不符合标准要求，扣</w:t>
            </w:r>
            <w:r>
              <w:rPr>
                <w:color w:val="auto"/>
              </w:rPr>
              <w:t>5</w:t>
            </w:r>
            <w:r>
              <w:rPr>
                <w:rFonts w:hint="eastAsia"/>
                <w:color w:val="auto"/>
              </w:rPr>
              <w:t>分</w:t>
            </w:r>
          </w:p>
          <w:p w14:paraId="6CC84091">
            <w:pPr>
              <w:pStyle w:val="44"/>
              <w:jc w:val="left"/>
              <w:rPr>
                <w:color w:val="auto"/>
              </w:rPr>
            </w:pPr>
            <w:r>
              <w:rPr>
                <w:color w:val="auto"/>
              </w:rPr>
              <w:t>6</w:t>
            </w:r>
            <w:r>
              <w:rPr>
                <w:rFonts w:hint="eastAsia"/>
                <w:color w:val="auto"/>
              </w:rPr>
              <w:t>）配电室未铺设绝缘垫或配电室杂乱，扣</w:t>
            </w:r>
            <w:r>
              <w:rPr>
                <w:color w:val="auto"/>
              </w:rPr>
              <w:t>5</w:t>
            </w:r>
            <w:r>
              <w:rPr>
                <w:rFonts w:hint="eastAsia"/>
                <w:color w:val="auto"/>
              </w:rPr>
              <w:t>分</w:t>
            </w:r>
          </w:p>
          <w:p w14:paraId="5422BE64">
            <w:pPr>
              <w:pStyle w:val="44"/>
              <w:jc w:val="left"/>
              <w:rPr>
                <w:color w:val="auto"/>
              </w:rPr>
            </w:pPr>
            <w:r>
              <w:rPr>
                <w:color w:val="auto"/>
              </w:rPr>
              <w:t>7</w:t>
            </w:r>
            <w:r>
              <w:rPr>
                <w:rFonts w:hint="eastAsia"/>
                <w:color w:val="auto"/>
              </w:rPr>
              <w:t>）配电室未采取防止小动物侵入的措施，扣</w:t>
            </w:r>
            <w:r>
              <w:rPr>
                <w:color w:val="auto"/>
              </w:rPr>
              <w:t>5</w:t>
            </w:r>
            <w:r>
              <w:rPr>
                <w:rFonts w:hint="eastAsia"/>
                <w:color w:val="auto"/>
              </w:rPr>
              <w:t>分</w:t>
            </w:r>
          </w:p>
          <w:p w14:paraId="2BC7A204">
            <w:pPr>
              <w:pStyle w:val="44"/>
              <w:jc w:val="left"/>
              <w:rPr>
                <w:color w:val="auto"/>
              </w:rPr>
            </w:pPr>
            <w:r>
              <w:rPr>
                <w:color w:val="auto"/>
              </w:rPr>
              <w:t>8</w:t>
            </w:r>
            <w:r>
              <w:rPr>
                <w:rFonts w:hint="eastAsia"/>
                <w:color w:val="auto"/>
              </w:rPr>
              <w:t>）配电室未设置警示标志、供电平面图和系统图，扣</w:t>
            </w:r>
            <w:r>
              <w:rPr>
                <w:color w:val="auto"/>
              </w:rPr>
              <w:t>5</w:t>
            </w:r>
            <w:r>
              <w:rPr>
                <w:rFonts w:hint="eastAsia"/>
                <w:color w:val="auto"/>
              </w:rPr>
              <w:t>分</w:t>
            </w:r>
          </w:p>
        </w:tc>
        <w:tc>
          <w:tcPr>
            <w:tcW w:w="720" w:type="dxa"/>
            <w:vAlign w:val="center"/>
          </w:tcPr>
          <w:p w14:paraId="23F1EAD0">
            <w:pPr>
              <w:pStyle w:val="44"/>
              <w:rPr>
                <w:color w:val="auto"/>
              </w:rPr>
            </w:pPr>
            <w:r>
              <w:rPr>
                <w:rFonts w:hint="eastAsia"/>
                <w:color w:val="auto"/>
              </w:rPr>
              <w:t>10</w:t>
            </w:r>
          </w:p>
        </w:tc>
        <w:tc>
          <w:tcPr>
            <w:tcW w:w="720" w:type="dxa"/>
            <w:vAlign w:val="center"/>
          </w:tcPr>
          <w:p w14:paraId="614E8E29">
            <w:pPr>
              <w:pStyle w:val="44"/>
              <w:rPr>
                <w:color w:val="auto"/>
              </w:rPr>
            </w:pPr>
          </w:p>
        </w:tc>
        <w:tc>
          <w:tcPr>
            <w:tcW w:w="720" w:type="dxa"/>
            <w:vAlign w:val="center"/>
          </w:tcPr>
          <w:p w14:paraId="0D60BAA2">
            <w:pPr>
              <w:pStyle w:val="44"/>
              <w:rPr>
                <w:color w:val="auto"/>
              </w:rPr>
            </w:pPr>
          </w:p>
        </w:tc>
      </w:tr>
      <w:tr w14:paraId="68A0A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2BA7286">
            <w:pPr>
              <w:pStyle w:val="44"/>
              <w:rPr>
                <w:color w:val="auto"/>
              </w:rPr>
            </w:pPr>
            <w:r>
              <w:rPr>
                <w:rFonts w:hint="eastAsia"/>
                <w:color w:val="auto"/>
              </w:rPr>
              <w:t>6</w:t>
            </w:r>
          </w:p>
        </w:tc>
        <w:tc>
          <w:tcPr>
            <w:tcW w:w="543" w:type="dxa"/>
            <w:vMerge w:val="continue"/>
            <w:vAlign w:val="center"/>
          </w:tcPr>
          <w:p w14:paraId="41A26819">
            <w:pPr>
              <w:pStyle w:val="44"/>
              <w:rPr>
                <w:color w:val="auto"/>
              </w:rPr>
            </w:pPr>
          </w:p>
        </w:tc>
        <w:tc>
          <w:tcPr>
            <w:tcW w:w="898" w:type="dxa"/>
            <w:vAlign w:val="center"/>
          </w:tcPr>
          <w:p w14:paraId="05090AB7">
            <w:pPr>
              <w:pStyle w:val="44"/>
              <w:rPr>
                <w:color w:val="auto"/>
              </w:rPr>
            </w:pPr>
            <w:r>
              <w:rPr>
                <w:rFonts w:hint="eastAsia"/>
                <w:color w:val="auto"/>
              </w:rPr>
              <w:t>使用与维护</w:t>
            </w:r>
          </w:p>
        </w:tc>
        <w:tc>
          <w:tcPr>
            <w:tcW w:w="5580" w:type="dxa"/>
            <w:vAlign w:val="center"/>
          </w:tcPr>
          <w:p w14:paraId="0ABE3181">
            <w:pPr>
              <w:pStyle w:val="44"/>
              <w:jc w:val="left"/>
              <w:rPr>
                <w:color w:val="auto"/>
              </w:rPr>
            </w:pPr>
            <w:r>
              <w:rPr>
                <w:color w:val="auto"/>
              </w:rPr>
              <w:t>1</w:t>
            </w:r>
            <w:r>
              <w:rPr>
                <w:rFonts w:hint="eastAsia"/>
                <w:color w:val="auto"/>
              </w:rPr>
              <w:t>）临时用电工程未定期检查、维修或无检查、维修记录，扣</w:t>
            </w:r>
            <w:r>
              <w:rPr>
                <w:color w:val="auto"/>
              </w:rPr>
              <w:t>10</w:t>
            </w:r>
            <w:r>
              <w:rPr>
                <w:rFonts w:hint="eastAsia"/>
                <w:color w:val="auto"/>
              </w:rPr>
              <w:t>分</w:t>
            </w:r>
          </w:p>
          <w:p w14:paraId="7023B4A1">
            <w:pPr>
              <w:pStyle w:val="44"/>
              <w:jc w:val="left"/>
              <w:rPr>
                <w:color w:val="auto"/>
              </w:rPr>
            </w:pPr>
            <w:r>
              <w:rPr>
                <w:color w:val="auto"/>
              </w:rPr>
              <w:t>2</w:t>
            </w:r>
            <w:r>
              <w:rPr>
                <w:rFonts w:hint="eastAsia"/>
                <w:color w:val="auto"/>
              </w:rPr>
              <w:t>）电工未取得特种作业资格证，扣</w:t>
            </w:r>
            <w:r>
              <w:rPr>
                <w:color w:val="auto"/>
              </w:rPr>
              <w:t>10</w:t>
            </w:r>
            <w:r>
              <w:rPr>
                <w:rFonts w:hint="eastAsia"/>
                <w:color w:val="auto"/>
              </w:rPr>
              <w:t>分</w:t>
            </w:r>
          </w:p>
          <w:p w14:paraId="1388BBCE">
            <w:pPr>
              <w:pStyle w:val="44"/>
              <w:jc w:val="left"/>
              <w:rPr>
                <w:color w:val="auto"/>
              </w:rPr>
            </w:pPr>
            <w:r>
              <w:rPr>
                <w:color w:val="auto"/>
              </w:rPr>
              <w:t>3</w:t>
            </w:r>
            <w:r>
              <w:rPr>
                <w:rFonts w:hint="eastAsia"/>
                <w:color w:val="auto"/>
              </w:rPr>
              <w:t>）临时用电工程作业人员无电工操作证，扣</w:t>
            </w:r>
            <w:r>
              <w:rPr>
                <w:color w:val="auto"/>
              </w:rPr>
              <w:t>10</w:t>
            </w:r>
            <w:r>
              <w:rPr>
                <w:rFonts w:hint="eastAsia"/>
                <w:color w:val="auto"/>
              </w:rPr>
              <w:t>分；作业时无人监护，扣</w:t>
            </w:r>
            <w:r>
              <w:rPr>
                <w:color w:val="auto"/>
              </w:rPr>
              <w:t>5</w:t>
            </w:r>
            <w:r>
              <w:rPr>
                <w:rFonts w:hint="eastAsia"/>
                <w:color w:val="auto"/>
              </w:rPr>
              <w:t>分</w:t>
            </w:r>
          </w:p>
          <w:p w14:paraId="04698E6C">
            <w:pPr>
              <w:pStyle w:val="44"/>
              <w:jc w:val="left"/>
              <w:rPr>
                <w:color w:val="auto"/>
              </w:rPr>
            </w:pPr>
            <w:r>
              <w:rPr>
                <w:color w:val="auto"/>
              </w:rPr>
              <w:t>3</w:t>
            </w:r>
            <w:r>
              <w:rPr>
                <w:rFonts w:hint="eastAsia"/>
                <w:color w:val="auto"/>
              </w:rPr>
              <w:t>）暂停用设备的开关箱未分断电源隔离开关或未关上门锁，扣</w:t>
            </w:r>
            <w:r>
              <w:rPr>
                <w:color w:val="auto"/>
              </w:rPr>
              <w:t>5</w:t>
            </w:r>
            <w:r>
              <w:rPr>
                <w:rFonts w:hint="eastAsia"/>
                <w:color w:val="auto"/>
              </w:rPr>
              <w:t>分</w:t>
            </w:r>
          </w:p>
          <w:p w14:paraId="3750678B">
            <w:pPr>
              <w:pStyle w:val="44"/>
              <w:jc w:val="left"/>
              <w:rPr>
                <w:color w:val="auto"/>
              </w:rPr>
            </w:pPr>
            <w:r>
              <w:rPr>
                <w:color w:val="auto"/>
              </w:rPr>
              <w:t>4</w:t>
            </w:r>
            <w:r>
              <w:rPr>
                <w:rFonts w:hint="eastAsia"/>
                <w:color w:val="auto"/>
              </w:rPr>
              <w:t>）在检查、维修时未穿、戴绝缘鞋、手套，未使用电工绝缘工具，扣</w:t>
            </w:r>
            <w:r>
              <w:rPr>
                <w:color w:val="auto"/>
              </w:rPr>
              <w:t>10</w:t>
            </w:r>
            <w:r>
              <w:rPr>
                <w:rFonts w:hint="eastAsia"/>
                <w:color w:val="auto"/>
              </w:rPr>
              <w:t>分</w:t>
            </w:r>
          </w:p>
        </w:tc>
        <w:tc>
          <w:tcPr>
            <w:tcW w:w="720" w:type="dxa"/>
            <w:vAlign w:val="center"/>
          </w:tcPr>
          <w:p w14:paraId="764B4ABF">
            <w:pPr>
              <w:pStyle w:val="44"/>
              <w:rPr>
                <w:color w:val="auto"/>
              </w:rPr>
            </w:pPr>
            <w:r>
              <w:rPr>
                <w:rFonts w:hint="eastAsia"/>
                <w:color w:val="auto"/>
              </w:rPr>
              <w:t>10</w:t>
            </w:r>
          </w:p>
        </w:tc>
        <w:tc>
          <w:tcPr>
            <w:tcW w:w="720" w:type="dxa"/>
            <w:vAlign w:val="center"/>
          </w:tcPr>
          <w:p w14:paraId="73C076B2">
            <w:pPr>
              <w:pStyle w:val="44"/>
              <w:rPr>
                <w:color w:val="auto"/>
              </w:rPr>
            </w:pPr>
          </w:p>
        </w:tc>
        <w:tc>
          <w:tcPr>
            <w:tcW w:w="720" w:type="dxa"/>
            <w:vAlign w:val="center"/>
          </w:tcPr>
          <w:p w14:paraId="435B23CC">
            <w:pPr>
              <w:pStyle w:val="44"/>
              <w:rPr>
                <w:color w:val="auto"/>
              </w:rPr>
            </w:pPr>
          </w:p>
        </w:tc>
      </w:tr>
      <w:tr w14:paraId="3C605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43D7D80">
            <w:pPr>
              <w:pStyle w:val="44"/>
              <w:rPr>
                <w:color w:val="auto"/>
              </w:rPr>
            </w:pPr>
          </w:p>
        </w:tc>
        <w:tc>
          <w:tcPr>
            <w:tcW w:w="543" w:type="dxa"/>
            <w:vMerge w:val="continue"/>
          </w:tcPr>
          <w:p w14:paraId="7F53908A">
            <w:pPr>
              <w:pStyle w:val="44"/>
              <w:rPr>
                <w:color w:val="auto"/>
              </w:rPr>
            </w:pPr>
          </w:p>
        </w:tc>
        <w:tc>
          <w:tcPr>
            <w:tcW w:w="6478" w:type="dxa"/>
            <w:gridSpan w:val="2"/>
            <w:vAlign w:val="center"/>
          </w:tcPr>
          <w:p w14:paraId="57E7AA92">
            <w:pPr>
              <w:pStyle w:val="44"/>
              <w:rPr>
                <w:b/>
                <w:bCs w:val="0"/>
                <w:color w:val="auto"/>
              </w:rPr>
            </w:pPr>
            <w:r>
              <w:rPr>
                <w:rFonts w:hint="eastAsia"/>
                <w:b/>
                <w:bCs w:val="0"/>
                <w:color w:val="auto"/>
              </w:rPr>
              <w:t>小  计</w:t>
            </w:r>
          </w:p>
        </w:tc>
        <w:tc>
          <w:tcPr>
            <w:tcW w:w="720" w:type="dxa"/>
            <w:vAlign w:val="center"/>
          </w:tcPr>
          <w:p w14:paraId="7E1C661A">
            <w:pPr>
              <w:pStyle w:val="44"/>
              <w:rPr>
                <w:color w:val="auto"/>
              </w:rPr>
            </w:pPr>
            <w:r>
              <w:rPr>
                <w:rFonts w:hint="eastAsia"/>
                <w:color w:val="auto"/>
              </w:rPr>
              <w:t>70</w:t>
            </w:r>
          </w:p>
        </w:tc>
        <w:tc>
          <w:tcPr>
            <w:tcW w:w="720" w:type="dxa"/>
            <w:vAlign w:val="center"/>
          </w:tcPr>
          <w:p w14:paraId="0B063033">
            <w:pPr>
              <w:pStyle w:val="44"/>
              <w:rPr>
                <w:color w:val="auto"/>
              </w:rPr>
            </w:pPr>
          </w:p>
        </w:tc>
        <w:tc>
          <w:tcPr>
            <w:tcW w:w="720" w:type="dxa"/>
            <w:vAlign w:val="center"/>
          </w:tcPr>
          <w:p w14:paraId="0CE98FE6">
            <w:pPr>
              <w:pStyle w:val="44"/>
              <w:rPr>
                <w:color w:val="auto"/>
              </w:rPr>
            </w:pPr>
          </w:p>
        </w:tc>
      </w:tr>
      <w:tr w14:paraId="271F1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6754510C">
            <w:pPr>
              <w:pStyle w:val="44"/>
              <w:rPr>
                <w:color w:val="auto"/>
              </w:rPr>
            </w:pPr>
            <w:r>
              <w:rPr>
                <w:rFonts w:hint="eastAsia"/>
                <w:color w:val="auto"/>
              </w:rPr>
              <w:t>1</w:t>
            </w:r>
          </w:p>
        </w:tc>
        <w:tc>
          <w:tcPr>
            <w:tcW w:w="543" w:type="dxa"/>
            <w:vMerge w:val="restart"/>
            <w:vAlign w:val="center"/>
          </w:tcPr>
          <w:p w14:paraId="1AA51828">
            <w:pPr>
              <w:pStyle w:val="44"/>
              <w:rPr>
                <w:color w:val="auto"/>
              </w:rPr>
            </w:pPr>
            <w:r>
              <w:rPr>
                <w:rFonts w:hint="eastAsia"/>
                <w:color w:val="auto"/>
              </w:rPr>
              <w:t>一</w:t>
            </w:r>
          </w:p>
          <w:p w14:paraId="6F43B2E7">
            <w:pPr>
              <w:pStyle w:val="44"/>
              <w:rPr>
                <w:color w:val="auto"/>
              </w:rPr>
            </w:pPr>
            <w:r>
              <w:rPr>
                <w:rFonts w:hint="eastAsia"/>
                <w:color w:val="auto"/>
              </w:rPr>
              <w:t>般</w:t>
            </w:r>
          </w:p>
          <w:p w14:paraId="6FE9B3D4">
            <w:pPr>
              <w:pStyle w:val="44"/>
              <w:rPr>
                <w:color w:val="auto"/>
              </w:rPr>
            </w:pPr>
            <w:r>
              <w:rPr>
                <w:rFonts w:hint="eastAsia"/>
                <w:color w:val="auto"/>
              </w:rPr>
              <w:t>项</w:t>
            </w:r>
          </w:p>
          <w:p w14:paraId="2465EC4C">
            <w:pPr>
              <w:pStyle w:val="44"/>
              <w:rPr>
                <w:color w:val="auto"/>
              </w:rPr>
            </w:pPr>
            <w:r>
              <w:rPr>
                <w:rFonts w:hint="eastAsia"/>
                <w:color w:val="auto"/>
              </w:rPr>
              <w:t>目</w:t>
            </w:r>
          </w:p>
        </w:tc>
        <w:tc>
          <w:tcPr>
            <w:tcW w:w="898" w:type="dxa"/>
            <w:vAlign w:val="center"/>
          </w:tcPr>
          <w:p w14:paraId="6C3AC308">
            <w:pPr>
              <w:pStyle w:val="44"/>
              <w:rPr>
                <w:color w:val="auto"/>
              </w:rPr>
            </w:pPr>
            <w:r>
              <w:rPr>
                <w:rFonts w:hint="eastAsia"/>
                <w:color w:val="auto"/>
              </w:rPr>
              <w:t>电气消防安全</w:t>
            </w:r>
          </w:p>
        </w:tc>
        <w:tc>
          <w:tcPr>
            <w:tcW w:w="5580" w:type="dxa"/>
            <w:vAlign w:val="center"/>
          </w:tcPr>
          <w:p w14:paraId="54627860">
            <w:pPr>
              <w:pStyle w:val="44"/>
              <w:jc w:val="left"/>
              <w:rPr>
                <w:color w:val="auto"/>
              </w:rPr>
            </w:pPr>
            <w:r>
              <w:rPr>
                <w:color w:val="auto"/>
              </w:rPr>
              <w:t>1</w:t>
            </w:r>
            <w:r>
              <w:rPr>
                <w:rFonts w:hint="eastAsia"/>
                <w:color w:val="auto"/>
              </w:rPr>
              <w:t>）电气设备未按标准要求设置过载、短路保护装置，扣</w:t>
            </w:r>
            <w:r>
              <w:rPr>
                <w:color w:val="auto"/>
              </w:rPr>
              <w:t>10</w:t>
            </w:r>
            <w:r>
              <w:rPr>
                <w:rFonts w:hint="eastAsia"/>
                <w:color w:val="auto"/>
              </w:rPr>
              <w:t>分</w:t>
            </w:r>
          </w:p>
          <w:p w14:paraId="37B4A8EF">
            <w:pPr>
              <w:pStyle w:val="44"/>
              <w:jc w:val="left"/>
              <w:rPr>
                <w:color w:val="auto"/>
              </w:rPr>
            </w:pPr>
            <w:r>
              <w:rPr>
                <w:color w:val="auto"/>
              </w:rPr>
              <w:t>2</w:t>
            </w:r>
            <w:r>
              <w:rPr>
                <w:rFonts w:hint="eastAsia"/>
                <w:color w:val="auto"/>
              </w:rPr>
              <w:t>）电气线路或设备与可易燃材料距离不符合标准要求，扣</w:t>
            </w:r>
            <w:r>
              <w:rPr>
                <w:color w:val="auto"/>
              </w:rPr>
              <w:t>5-10</w:t>
            </w:r>
            <w:r>
              <w:rPr>
                <w:rFonts w:hint="eastAsia"/>
                <w:color w:val="auto"/>
              </w:rPr>
              <w:t>分</w:t>
            </w:r>
          </w:p>
          <w:p w14:paraId="218B47F1">
            <w:pPr>
              <w:pStyle w:val="44"/>
              <w:jc w:val="left"/>
              <w:rPr>
                <w:color w:val="auto"/>
              </w:rPr>
            </w:pPr>
            <w:r>
              <w:rPr>
                <w:color w:val="auto"/>
              </w:rPr>
              <w:t>3</w:t>
            </w:r>
            <w:r>
              <w:rPr>
                <w:rFonts w:hint="eastAsia"/>
                <w:color w:val="auto"/>
              </w:rPr>
              <w:t>）施工现场未配置适用于电气火灾的灭火器材，扣</w:t>
            </w:r>
            <w:r>
              <w:rPr>
                <w:color w:val="auto"/>
              </w:rPr>
              <w:t>5</w:t>
            </w:r>
            <w:r>
              <w:rPr>
                <w:rFonts w:hint="eastAsia"/>
                <w:color w:val="auto"/>
              </w:rPr>
              <w:t>分</w:t>
            </w:r>
          </w:p>
        </w:tc>
        <w:tc>
          <w:tcPr>
            <w:tcW w:w="720" w:type="dxa"/>
            <w:vAlign w:val="center"/>
          </w:tcPr>
          <w:p w14:paraId="0E22D028">
            <w:pPr>
              <w:pStyle w:val="44"/>
              <w:rPr>
                <w:color w:val="auto"/>
              </w:rPr>
            </w:pPr>
            <w:r>
              <w:rPr>
                <w:rFonts w:hint="eastAsia"/>
                <w:color w:val="auto"/>
              </w:rPr>
              <w:t>10</w:t>
            </w:r>
          </w:p>
        </w:tc>
        <w:tc>
          <w:tcPr>
            <w:tcW w:w="720" w:type="dxa"/>
            <w:vAlign w:val="center"/>
          </w:tcPr>
          <w:p w14:paraId="132F5001">
            <w:pPr>
              <w:pStyle w:val="44"/>
              <w:rPr>
                <w:color w:val="auto"/>
              </w:rPr>
            </w:pPr>
          </w:p>
        </w:tc>
        <w:tc>
          <w:tcPr>
            <w:tcW w:w="720" w:type="dxa"/>
            <w:vAlign w:val="center"/>
          </w:tcPr>
          <w:p w14:paraId="19DC4F3C">
            <w:pPr>
              <w:pStyle w:val="44"/>
              <w:rPr>
                <w:color w:val="auto"/>
              </w:rPr>
            </w:pPr>
          </w:p>
        </w:tc>
      </w:tr>
      <w:tr w14:paraId="13EBA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3B6F6DA">
            <w:pPr>
              <w:pStyle w:val="44"/>
              <w:rPr>
                <w:color w:val="auto"/>
              </w:rPr>
            </w:pPr>
            <w:r>
              <w:rPr>
                <w:rFonts w:hint="eastAsia"/>
                <w:color w:val="auto"/>
              </w:rPr>
              <w:t>2</w:t>
            </w:r>
          </w:p>
        </w:tc>
        <w:tc>
          <w:tcPr>
            <w:tcW w:w="543" w:type="dxa"/>
            <w:vMerge w:val="continue"/>
          </w:tcPr>
          <w:p w14:paraId="6EC2B2F9">
            <w:pPr>
              <w:pStyle w:val="44"/>
              <w:rPr>
                <w:color w:val="auto"/>
              </w:rPr>
            </w:pPr>
          </w:p>
        </w:tc>
        <w:tc>
          <w:tcPr>
            <w:tcW w:w="898" w:type="dxa"/>
            <w:vAlign w:val="center"/>
          </w:tcPr>
          <w:p w14:paraId="4FC5D6B9">
            <w:pPr>
              <w:pStyle w:val="44"/>
              <w:rPr>
                <w:color w:val="auto"/>
              </w:rPr>
            </w:pPr>
            <w:r>
              <w:rPr>
                <w:rFonts w:hint="eastAsia"/>
                <w:color w:val="auto"/>
              </w:rPr>
              <w:t>现场照明</w:t>
            </w:r>
          </w:p>
        </w:tc>
        <w:tc>
          <w:tcPr>
            <w:tcW w:w="5580" w:type="dxa"/>
            <w:vAlign w:val="center"/>
          </w:tcPr>
          <w:p w14:paraId="5EF302F5">
            <w:pPr>
              <w:pStyle w:val="44"/>
              <w:jc w:val="left"/>
              <w:rPr>
                <w:color w:val="auto"/>
              </w:rPr>
            </w:pPr>
            <w:r>
              <w:rPr>
                <w:color w:val="auto"/>
              </w:rPr>
              <w:t>1</w:t>
            </w:r>
            <w:r>
              <w:rPr>
                <w:rFonts w:hint="eastAsia"/>
                <w:color w:val="auto"/>
              </w:rPr>
              <w:t>）照明用电应与动力用电未分开设置，扣</w:t>
            </w:r>
            <w:r>
              <w:rPr>
                <w:color w:val="auto"/>
              </w:rPr>
              <w:t>5</w:t>
            </w:r>
            <w:r>
              <w:rPr>
                <w:rFonts w:hint="eastAsia"/>
                <w:color w:val="auto"/>
              </w:rPr>
              <w:t>分</w:t>
            </w:r>
          </w:p>
          <w:p w14:paraId="4BDB477F">
            <w:pPr>
              <w:pStyle w:val="44"/>
              <w:jc w:val="left"/>
              <w:rPr>
                <w:color w:val="auto"/>
              </w:rPr>
            </w:pPr>
            <w:r>
              <w:rPr>
                <w:rFonts w:hint="eastAsia"/>
                <w:color w:val="auto"/>
              </w:rPr>
              <w:t>2）照明线路与安全电压线路的架设不符合标准要求，扣5-8分</w:t>
            </w:r>
          </w:p>
          <w:p w14:paraId="7423620F">
            <w:pPr>
              <w:pStyle w:val="44"/>
              <w:jc w:val="left"/>
              <w:rPr>
                <w:color w:val="auto"/>
              </w:rPr>
            </w:pPr>
            <w:r>
              <w:rPr>
                <w:color w:val="auto"/>
              </w:rPr>
              <w:t>3</w:t>
            </w:r>
            <w:r>
              <w:rPr>
                <w:rFonts w:hint="eastAsia"/>
                <w:color w:val="auto"/>
              </w:rPr>
              <w:t>）隧道、人防工程等特殊场所使用的安全特低压照明器不符合标准要求，扣</w:t>
            </w:r>
            <w:r>
              <w:rPr>
                <w:color w:val="auto"/>
              </w:rPr>
              <w:t>5</w:t>
            </w:r>
            <w:r>
              <w:rPr>
                <w:rFonts w:hint="eastAsia"/>
                <w:color w:val="auto"/>
              </w:rPr>
              <w:t>分</w:t>
            </w:r>
          </w:p>
          <w:p w14:paraId="78997CA4">
            <w:pPr>
              <w:pStyle w:val="44"/>
              <w:jc w:val="left"/>
              <w:rPr>
                <w:color w:val="auto"/>
              </w:rPr>
            </w:pPr>
            <w:r>
              <w:rPr>
                <w:rFonts w:hint="eastAsia"/>
                <w:color w:val="auto"/>
              </w:rPr>
              <w:t>4）照明未采用专用回路或专用回路未设置漏电保护装置，扣10分</w:t>
            </w:r>
          </w:p>
          <w:p w14:paraId="5C2D542A">
            <w:pPr>
              <w:pStyle w:val="44"/>
              <w:jc w:val="left"/>
              <w:rPr>
                <w:color w:val="auto"/>
              </w:rPr>
            </w:pPr>
            <w:r>
              <w:rPr>
                <w:color w:val="auto"/>
              </w:rPr>
              <w:t>5</w:t>
            </w:r>
            <w:r>
              <w:rPr>
                <w:rFonts w:hint="eastAsia"/>
                <w:color w:val="auto"/>
              </w:rPr>
              <w:t>）照明变压器未采用双绕组安全隔离变压器，扣</w:t>
            </w:r>
            <w:r>
              <w:rPr>
                <w:color w:val="auto"/>
              </w:rPr>
              <w:t>5</w:t>
            </w:r>
            <w:r>
              <w:rPr>
                <w:rFonts w:hint="eastAsia"/>
                <w:color w:val="auto"/>
              </w:rPr>
              <w:t>分</w:t>
            </w:r>
          </w:p>
          <w:p w14:paraId="030D1A50">
            <w:pPr>
              <w:pStyle w:val="44"/>
              <w:jc w:val="left"/>
              <w:rPr>
                <w:color w:val="auto"/>
              </w:rPr>
            </w:pPr>
            <w:r>
              <w:rPr>
                <w:rFonts w:hint="eastAsia"/>
                <w:color w:val="auto"/>
              </w:rPr>
              <w:t>6）照明灯具的金属外壳未与保护零线相连接，扣8分</w:t>
            </w:r>
          </w:p>
          <w:p w14:paraId="186513BE">
            <w:pPr>
              <w:pStyle w:val="44"/>
              <w:jc w:val="left"/>
              <w:rPr>
                <w:color w:val="auto"/>
              </w:rPr>
            </w:pPr>
            <w:r>
              <w:rPr>
                <w:color w:val="auto"/>
              </w:rPr>
              <w:t>7</w:t>
            </w:r>
            <w:r>
              <w:rPr>
                <w:rFonts w:hint="eastAsia"/>
                <w:color w:val="auto"/>
              </w:rPr>
              <w:t>）灯具与地面、易燃物间的距离不符合标准要求，扣</w:t>
            </w:r>
            <w:r>
              <w:rPr>
                <w:color w:val="auto"/>
              </w:rPr>
              <w:t>5</w:t>
            </w:r>
            <w:r>
              <w:rPr>
                <w:rFonts w:hint="eastAsia"/>
                <w:color w:val="auto"/>
              </w:rPr>
              <w:t>分</w:t>
            </w:r>
          </w:p>
          <w:p w14:paraId="40801844">
            <w:pPr>
              <w:pStyle w:val="44"/>
              <w:jc w:val="left"/>
              <w:rPr>
                <w:color w:val="auto"/>
              </w:rPr>
            </w:pPr>
            <w:r>
              <w:rPr>
                <w:color w:val="auto"/>
              </w:rPr>
              <w:t>8</w:t>
            </w:r>
            <w:r>
              <w:rPr>
                <w:rFonts w:hint="eastAsia"/>
                <w:color w:val="auto"/>
              </w:rPr>
              <w:t>）未在标准要求的部位配备应急照明，扣</w:t>
            </w:r>
            <w:r>
              <w:rPr>
                <w:color w:val="auto"/>
              </w:rPr>
              <w:t>5</w:t>
            </w:r>
            <w:r>
              <w:rPr>
                <w:rFonts w:hint="eastAsia"/>
                <w:color w:val="auto"/>
              </w:rPr>
              <w:t>分</w:t>
            </w:r>
          </w:p>
        </w:tc>
        <w:tc>
          <w:tcPr>
            <w:tcW w:w="720" w:type="dxa"/>
            <w:vAlign w:val="center"/>
          </w:tcPr>
          <w:p w14:paraId="667B2084">
            <w:pPr>
              <w:pStyle w:val="44"/>
              <w:rPr>
                <w:color w:val="auto"/>
              </w:rPr>
            </w:pPr>
            <w:r>
              <w:rPr>
                <w:rFonts w:hint="eastAsia"/>
                <w:color w:val="auto"/>
              </w:rPr>
              <w:t>10</w:t>
            </w:r>
          </w:p>
        </w:tc>
        <w:tc>
          <w:tcPr>
            <w:tcW w:w="720" w:type="dxa"/>
            <w:vAlign w:val="center"/>
          </w:tcPr>
          <w:p w14:paraId="42419E81">
            <w:pPr>
              <w:pStyle w:val="44"/>
              <w:rPr>
                <w:color w:val="auto"/>
              </w:rPr>
            </w:pPr>
          </w:p>
        </w:tc>
        <w:tc>
          <w:tcPr>
            <w:tcW w:w="720" w:type="dxa"/>
            <w:vAlign w:val="center"/>
          </w:tcPr>
          <w:p w14:paraId="37BFF08C">
            <w:pPr>
              <w:pStyle w:val="44"/>
              <w:rPr>
                <w:color w:val="auto"/>
              </w:rPr>
            </w:pPr>
          </w:p>
        </w:tc>
      </w:tr>
      <w:tr w14:paraId="31484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6C9AADA">
            <w:pPr>
              <w:pStyle w:val="44"/>
              <w:rPr>
                <w:color w:val="auto"/>
              </w:rPr>
            </w:pPr>
            <w:r>
              <w:rPr>
                <w:rFonts w:hint="eastAsia"/>
                <w:color w:val="auto"/>
              </w:rPr>
              <w:t>3</w:t>
            </w:r>
          </w:p>
        </w:tc>
        <w:tc>
          <w:tcPr>
            <w:tcW w:w="543" w:type="dxa"/>
            <w:vMerge w:val="continue"/>
          </w:tcPr>
          <w:p w14:paraId="18EA8317">
            <w:pPr>
              <w:pStyle w:val="44"/>
              <w:rPr>
                <w:color w:val="auto"/>
              </w:rPr>
            </w:pPr>
          </w:p>
        </w:tc>
        <w:tc>
          <w:tcPr>
            <w:tcW w:w="898" w:type="dxa"/>
            <w:vAlign w:val="center"/>
          </w:tcPr>
          <w:p w14:paraId="0C74CEA3">
            <w:pPr>
              <w:pStyle w:val="44"/>
              <w:rPr>
                <w:color w:val="auto"/>
              </w:rPr>
            </w:pPr>
            <w:r>
              <w:rPr>
                <w:rFonts w:hint="eastAsia"/>
                <w:color w:val="auto"/>
              </w:rPr>
              <w:t>用电档案</w:t>
            </w:r>
          </w:p>
        </w:tc>
        <w:tc>
          <w:tcPr>
            <w:tcW w:w="5580" w:type="dxa"/>
            <w:vAlign w:val="center"/>
          </w:tcPr>
          <w:p w14:paraId="38BCD2B3">
            <w:pPr>
              <w:pStyle w:val="44"/>
              <w:jc w:val="left"/>
              <w:rPr>
                <w:color w:val="auto"/>
              </w:rPr>
            </w:pPr>
            <w:r>
              <w:rPr>
                <w:rFonts w:hint="eastAsia"/>
                <w:color w:val="auto"/>
              </w:rPr>
              <w:t>1）无用电施工组织设计和外电防护专项方案，扣10分</w:t>
            </w:r>
          </w:p>
          <w:p w14:paraId="26451097">
            <w:pPr>
              <w:pStyle w:val="44"/>
              <w:jc w:val="left"/>
              <w:rPr>
                <w:color w:val="auto"/>
              </w:rPr>
            </w:pPr>
            <w:r>
              <w:rPr>
                <w:color w:val="auto"/>
              </w:rPr>
              <w:t>2</w:t>
            </w:r>
            <w:r>
              <w:rPr>
                <w:rFonts w:hint="eastAsia"/>
                <w:color w:val="auto"/>
              </w:rPr>
              <w:t>）总包单位与分包单位未订立临时用电管理协议，扣</w:t>
            </w:r>
            <w:r>
              <w:rPr>
                <w:color w:val="auto"/>
              </w:rPr>
              <w:t>5</w:t>
            </w:r>
            <w:r>
              <w:rPr>
                <w:rFonts w:hint="eastAsia"/>
                <w:color w:val="auto"/>
              </w:rPr>
              <w:t>分</w:t>
            </w:r>
          </w:p>
          <w:p w14:paraId="009E3076">
            <w:pPr>
              <w:pStyle w:val="44"/>
              <w:jc w:val="left"/>
              <w:rPr>
                <w:color w:val="auto"/>
              </w:rPr>
            </w:pPr>
            <w:r>
              <w:rPr>
                <w:color w:val="auto"/>
              </w:rPr>
              <w:t>3</w:t>
            </w:r>
            <w:r>
              <w:rPr>
                <w:rFonts w:hint="eastAsia"/>
                <w:color w:val="auto"/>
              </w:rPr>
              <w:t>）未按规定履行施工组织设计和专项方案的审核、审批手续，扣</w:t>
            </w:r>
            <w:r>
              <w:rPr>
                <w:color w:val="auto"/>
              </w:rPr>
              <w:t>10</w:t>
            </w:r>
            <w:r>
              <w:rPr>
                <w:rFonts w:hint="eastAsia"/>
                <w:color w:val="auto"/>
              </w:rPr>
              <w:t>分</w:t>
            </w:r>
          </w:p>
          <w:p w14:paraId="43BFB93B">
            <w:pPr>
              <w:pStyle w:val="44"/>
              <w:jc w:val="left"/>
              <w:rPr>
                <w:color w:val="auto"/>
              </w:rPr>
            </w:pPr>
            <w:r>
              <w:rPr>
                <w:color w:val="auto"/>
              </w:rPr>
              <w:t>4</w:t>
            </w:r>
            <w:r>
              <w:rPr>
                <w:rFonts w:hint="eastAsia"/>
                <w:color w:val="auto"/>
              </w:rPr>
              <w:t>）未建立安全技术档案，扣</w:t>
            </w:r>
            <w:r>
              <w:rPr>
                <w:color w:val="auto"/>
              </w:rPr>
              <w:t>5</w:t>
            </w:r>
            <w:r>
              <w:rPr>
                <w:rFonts w:hint="eastAsia"/>
                <w:color w:val="auto"/>
              </w:rPr>
              <w:t>分</w:t>
            </w:r>
          </w:p>
          <w:p w14:paraId="4CFEB5DB">
            <w:pPr>
              <w:pStyle w:val="44"/>
              <w:jc w:val="left"/>
              <w:rPr>
                <w:color w:val="auto"/>
              </w:rPr>
            </w:pPr>
            <w:r>
              <w:rPr>
                <w:rFonts w:hint="eastAsia"/>
                <w:color w:val="auto"/>
              </w:rPr>
              <w:t>5）用电档案资料不齐全，无专人管理，扣5分</w:t>
            </w:r>
          </w:p>
          <w:p w14:paraId="1A6FA7CD">
            <w:pPr>
              <w:pStyle w:val="44"/>
              <w:jc w:val="left"/>
              <w:rPr>
                <w:color w:val="auto"/>
              </w:rPr>
            </w:pPr>
            <w:r>
              <w:rPr>
                <w:color w:val="auto"/>
              </w:rPr>
              <w:t>6</w:t>
            </w:r>
            <w:r>
              <w:rPr>
                <w:rFonts w:hint="eastAsia"/>
                <w:color w:val="auto"/>
              </w:rPr>
              <w:t>）用电记录未按规定填写或造假用电记录，扣</w:t>
            </w:r>
            <w:r>
              <w:rPr>
                <w:color w:val="auto"/>
              </w:rPr>
              <w:t>5</w:t>
            </w:r>
            <w:r>
              <w:rPr>
                <w:rFonts w:hint="eastAsia"/>
                <w:color w:val="auto"/>
              </w:rPr>
              <w:t>分</w:t>
            </w:r>
          </w:p>
        </w:tc>
        <w:tc>
          <w:tcPr>
            <w:tcW w:w="720" w:type="dxa"/>
            <w:vAlign w:val="center"/>
          </w:tcPr>
          <w:p w14:paraId="37B22B56">
            <w:pPr>
              <w:pStyle w:val="44"/>
              <w:rPr>
                <w:color w:val="auto"/>
              </w:rPr>
            </w:pPr>
            <w:r>
              <w:rPr>
                <w:rFonts w:hint="eastAsia"/>
                <w:color w:val="auto"/>
              </w:rPr>
              <w:t>10</w:t>
            </w:r>
          </w:p>
        </w:tc>
        <w:tc>
          <w:tcPr>
            <w:tcW w:w="720" w:type="dxa"/>
            <w:vAlign w:val="center"/>
          </w:tcPr>
          <w:p w14:paraId="6A98F956">
            <w:pPr>
              <w:pStyle w:val="44"/>
              <w:rPr>
                <w:color w:val="auto"/>
              </w:rPr>
            </w:pPr>
          </w:p>
        </w:tc>
        <w:tc>
          <w:tcPr>
            <w:tcW w:w="720" w:type="dxa"/>
            <w:vAlign w:val="center"/>
          </w:tcPr>
          <w:p w14:paraId="43F1AA4C">
            <w:pPr>
              <w:pStyle w:val="44"/>
              <w:rPr>
                <w:color w:val="auto"/>
              </w:rPr>
            </w:pPr>
          </w:p>
        </w:tc>
      </w:tr>
      <w:tr w14:paraId="2A3EB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5A69C2E">
            <w:pPr>
              <w:pStyle w:val="44"/>
              <w:rPr>
                <w:color w:val="auto"/>
              </w:rPr>
            </w:pPr>
          </w:p>
        </w:tc>
        <w:tc>
          <w:tcPr>
            <w:tcW w:w="543" w:type="dxa"/>
            <w:vMerge w:val="continue"/>
          </w:tcPr>
          <w:p w14:paraId="12517D00">
            <w:pPr>
              <w:pStyle w:val="44"/>
              <w:rPr>
                <w:color w:val="auto"/>
              </w:rPr>
            </w:pPr>
          </w:p>
        </w:tc>
        <w:tc>
          <w:tcPr>
            <w:tcW w:w="6478" w:type="dxa"/>
            <w:gridSpan w:val="2"/>
            <w:vAlign w:val="center"/>
          </w:tcPr>
          <w:p w14:paraId="1289E489">
            <w:pPr>
              <w:pStyle w:val="44"/>
              <w:rPr>
                <w:b/>
                <w:bCs w:val="0"/>
                <w:color w:val="auto"/>
              </w:rPr>
            </w:pPr>
            <w:r>
              <w:rPr>
                <w:rFonts w:hint="eastAsia"/>
                <w:b/>
                <w:bCs w:val="0"/>
                <w:color w:val="auto"/>
              </w:rPr>
              <w:t xml:space="preserve">小 </w:t>
            </w:r>
            <w:r>
              <w:rPr>
                <w:b/>
                <w:bCs w:val="0"/>
                <w:color w:val="auto"/>
              </w:rPr>
              <w:t xml:space="preserve"> </w:t>
            </w:r>
            <w:r>
              <w:rPr>
                <w:rFonts w:hint="eastAsia"/>
                <w:b/>
                <w:bCs w:val="0"/>
                <w:color w:val="auto"/>
              </w:rPr>
              <w:t>计</w:t>
            </w:r>
          </w:p>
        </w:tc>
        <w:tc>
          <w:tcPr>
            <w:tcW w:w="720" w:type="dxa"/>
            <w:vAlign w:val="center"/>
          </w:tcPr>
          <w:p w14:paraId="33A950D5">
            <w:pPr>
              <w:pStyle w:val="44"/>
              <w:rPr>
                <w:color w:val="auto"/>
              </w:rPr>
            </w:pPr>
            <w:r>
              <w:rPr>
                <w:rFonts w:hint="eastAsia"/>
                <w:color w:val="auto"/>
              </w:rPr>
              <w:t>30</w:t>
            </w:r>
          </w:p>
        </w:tc>
        <w:tc>
          <w:tcPr>
            <w:tcW w:w="720" w:type="dxa"/>
            <w:vAlign w:val="center"/>
          </w:tcPr>
          <w:p w14:paraId="6DAF52DA">
            <w:pPr>
              <w:pStyle w:val="44"/>
              <w:rPr>
                <w:color w:val="auto"/>
              </w:rPr>
            </w:pPr>
          </w:p>
        </w:tc>
        <w:tc>
          <w:tcPr>
            <w:tcW w:w="720" w:type="dxa"/>
            <w:vAlign w:val="center"/>
          </w:tcPr>
          <w:p w14:paraId="4F0071DE">
            <w:pPr>
              <w:pStyle w:val="44"/>
              <w:rPr>
                <w:color w:val="auto"/>
              </w:rPr>
            </w:pPr>
          </w:p>
        </w:tc>
      </w:tr>
      <w:tr w14:paraId="4C590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560" w:type="dxa"/>
            <w:gridSpan w:val="4"/>
            <w:vAlign w:val="center"/>
          </w:tcPr>
          <w:p w14:paraId="2AC6B08D">
            <w:pPr>
              <w:pStyle w:val="44"/>
              <w:rPr>
                <w:b/>
                <w:bCs w:val="0"/>
                <w:color w:val="auto"/>
              </w:rPr>
            </w:pPr>
            <w:r>
              <w:rPr>
                <w:rFonts w:hint="eastAsia"/>
                <w:b/>
                <w:bCs w:val="0"/>
                <w:color w:val="auto"/>
              </w:rPr>
              <w:t>检查项目合计</w:t>
            </w:r>
          </w:p>
        </w:tc>
        <w:tc>
          <w:tcPr>
            <w:tcW w:w="720" w:type="dxa"/>
            <w:vAlign w:val="center"/>
          </w:tcPr>
          <w:p w14:paraId="1828F153">
            <w:pPr>
              <w:pStyle w:val="44"/>
              <w:rPr>
                <w:color w:val="auto"/>
              </w:rPr>
            </w:pPr>
            <w:r>
              <w:rPr>
                <w:rFonts w:hint="eastAsia"/>
                <w:color w:val="auto"/>
              </w:rPr>
              <w:t>100</w:t>
            </w:r>
          </w:p>
        </w:tc>
        <w:tc>
          <w:tcPr>
            <w:tcW w:w="720" w:type="dxa"/>
            <w:vAlign w:val="center"/>
          </w:tcPr>
          <w:p w14:paraId="04486E3A">
            <w:pPr>
              <w:pStyle w:val="44"/>
              <w:rPr>
                <w:color w:val="auto"/>
              </w:rPr>
            </w:pPr>
          </w:p>
        </w:tc>
        <w:tc>
          <w:tcPr>
            <w:tcW w:w="720" w:type="dxa"/>
            <w:vAlign w:val="center"/>
          </w:tcPr>
          <w:p w14:paraId="33E6C73D">
            <w:pPr>
              <w:pStyle w:val="44"/>
              <w:rPr>
                <w:color w:val="auto"/>
              </w:rPr>
            </w:pPr>
          </w:p>
        </w:tc>
      </w:tr>
    </w:tbl>
    <w:p w14:paraId="2FCB2894">
      <w:pPr>
        <w:pStyle w:val="5"/>
      </w:pPr>
      <w:bookmarkStart w:id="20" w:name="_Toc22349"/>
      <w:bookmarkStart w:id="21" w:name="_Toc31480"/>
      <w:bookmarkStart w:id="22" w:name="_Toc22459"/>
      <w:r>
        <w:rPr>
          <w:rFonts w:hint="eastAsia"/>
        </w:rPr>
        <w:t>表B.</w:t>
      </w:r>
      <w:r>
        <w:t>5</w:t>
      </w:r>
      <w:r>
        <w:rPr>
          <w:rFonts w:hint="eastAsia"/>
        </w:rPr>
        <w:t xml:space="preserve">  施工机具检查</w:t>
      </w:r>
      <w:r>
        <w:t>评分表</w:t>
      </w:r>
      <w:bookmarkEnd w:id="20"/>
      <w:bookmarkEnd w:id="21"/>
      <w:bookmarkEnd w:id="22"/>
    </w:p>
    <w:tbl>
      <w:tblPr>
        <w:tblStyle w:val="19"/>
        <w:tblW w:w="9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1140"/>
        <w:gridCol w:w="5338"/>
        <w:gridCol w:w="720"/>
        <w:gridCol w:w="720"/>
        <w:gridCol w:w="720"/>
      </w:tblGrid>
      <w:tr w14:paraId="2A826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tblHeader/>
          <w:jc w:val="center"/>
        </w:trPr>
        <w:tc>
          <w:tcPr>
            <w:tcW w:w="539" w:type="dxa"/>
            <w:vAlign w:val="center"/>
          </w:tcPr>
          <w:p w14:paraId="74A2DB68">
            <w:pPr>
              <w:pStyle w:val="44"/>
              <w:rPr>
                <w:color w:val="auto"/>
              </w:rPr>
            </w:pPr>
            <w:r>
              <w:rPr>
                <w:rFonts w:hint="eastAsia"/>
                <w:color w:val="auto"/>
              </w:rPr>
              <w:t>序号</w:t>
            </w:r>
          </w:p>
        </w:tc>
        <w:tc>
          <w:tcPr>
            <w:tcW w:w="1140" w:type="dxa"/>
            <w:vAlign w:val="center"/>
          </w:tcPr>
          <w:p w14:paraId="74BF0DEC">
            <w:pPr>
              <w:pStyle w:val="44"/>
              <w:rPr>
                <w:color w:val="auto"/>
              </w:rPr>
            </w:pPr>
            <w:r>
              <w:rPr>
                <w:rFonts w:hint="eastAsia"/>
                <w:color w:val="auto"/>
              </w:rPr>
              <w:t>检查项目</w:t>
            </w:r>
          </w:p>
        </w:tc>
        <w:tc>
          <w:tcPr>
            <w:tcW w:w="5338" w:type="dxa"/>
            <w:vAlign w:val="center"/>
          </w:tcPr>
          <w:p w14:paraId="0CFB3B5C">
            <w:pPr>
              <w:pStyle w:val="44"/>
              <w:rPr>
                <w:color w:val="auto"/>
              </w:rPr>
            </w:pPr>
            <w:r>
              <w:rPr>
                <w:rFonts w:hint="eastAsia"/>
                <w:color w:val="auto"/>
              </w:rPr>
              <w:t>扣 分 标 准</w:t>
            </w:r>
          </w:p>
        </w:tc>
        <w:tc>
          <w:tcPr>
            <w:tcW w:w="720" w:type="dxa"/>
            <w:vAlign w:val="center"/>
          </w:tcPr>
          <w:p w14:paraId="36D29F38">
            <w:pPr>
              <w:pStyle w:val="44"/>
              <w:rPr>
                <w:color w:val="auto"/>
              </w:rPr>
            </w:pPr>
            <w:r>
              <w:rPr>
                <w:rFonts w:hint="eastAsia"/>
                <w:color w:val="auto"/>
              </w:rPr>
              <w:t>应得</w:t>
            </w:r>
          </w:p>
          <w:p w14:paraId="7BC33610">
            <w:pPr>
              <w:pStyle w:val="44"/>
              <w:rPr>
                <w:color w:val="auto"/>
              </w:rPr>
            </w:pPr>
            <w:r>
              <w:rPr>
                <w:rFonts w:hint="eastAsia"/>
                <w:color w:val="auto"/>
              </w:rPr>
              <w:t>分数</w:t>
            </w:r>
          </w:p>
        </w:tc>
        <w:tc>
          <w:tcPr>
            <w:tcW w:w="720" w:type="dxa"/>
            <w:vAlign w:val="center"/>
          </w:tcPr>
          <w:p w14:paraId="6968618B">
            <w:pPr>
              <w:pStyle w:val="44"/>
              <w:rPr>
                <w:color w:val="auto"/>
              </w:rPr>
            </w:pPr>
            <w:r>
              <w:rPr>
                <w:rFonts w:hint="eastAsia"/>
                <w:color w:val="auto"/>
              </w:rPr>
              <w:t>扣减</w:t>
            </w:r>
          </w:p>
          <w:p w14:paraId="2E5C8323">
            <w:pPr>
              <w:pStyle w:val="44"/>
              <w:rPr>
                <w:color w:val="auto"/>
              </w:rPr>
            </w:pPr>
            <w:r>
              <w:rPr>
                <w:rFonts w:hint="eastAsia"/>
                <w:color w:val="auto"/>
              </w:rPr>
              <w:t>分数</w:t>
            </w:r>
          </w:p>
        </w:tc>
        <w:tc>
          <w:tcPr>
            <w:tcW w:w="720" w:type="dxa"/>
            <w:vAlign w:val="center"/>
          </w:tcPr>
          <w:p w14:paraId="7B6AEB47">
            <w:pPr>
              <w:pStyle w:val="44"/>
              <w:rPr>
                <w:color w:val="auto"/>
              </w:rPr>
            </w:pPr>
            <w:r>
              <w:rPr>
                <w:rFonts w:hint="eastAsia"/>
                <w:color w:val="auto"/>
              </w:rPr>
              <w:t>实得</w:t>
            </w:r>
          </w:p>
          <w:p w14:paraId="16AD4BA6">
            <w:pPr>
              <w:pStyle w:val="44"/>
              <w:rPr>
                <w:color w:val="auto"/>
              </w:rPr>
            </w:pPr>
            <w:r>
              <w:rPr>
                <w:rFonts w:hint="eastAsia"/>
                <w:color w:val="auto"/>
              </w:rPr>
              <w:t>分数</w:t>
            </w:r>
          </w:p>
        </w:tc>
      </w:tr>
      <w:tr w14:paraId="6B5E4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12728BAE">
            <w:pPr>
              <w:pStyle w:val="44"/>
              <w:rPr>
                <w:color w:val="auto"/>
              </w:rPr>
            </w:pPr>
            <w:r>
              <w:rPr>
                <w:rFonts w:hint="eastAsia"/>
                <w:color w:val="auto"/>
              </w:rPr>
              <w:t>1</w:t>
            </w:r>
          </w:p>
        </w:tc>
        <w:tc>
          <w:tcPr>
            <w:tcW w:w="1140" w:type="dxa"/>
            <w:vAlign w:val="center"/>
          </w:tcPr>
          <w:p w14:paraId="7EAA36EA">
            <w:pPr>
              <w:pStyle w:val="44"/>
              <w:rPr>
                <w:color w:val="auto"/>
              </w:rPr>
            </w:pPr>
            <w:r>
              <w:rPr>
                <w:rFonts w:hint="eastAsia"/>
                <w:color w:val="auto"/>
              </w:rPr>
              <w:t>平刨</w:t>
            </w:r>
          </w:p>
        </w:tc>
        <w:tc>
          <w:tcPr>
            <w:tcW w:w="5338" w:type="dxa"/>
            <w:vAlign w:val="center"/>
          </w:tcPr>
          <w:p w14:paraId="1B74F742">
            <w:pPr>
              <w:pStyle w:val="44"/>
              <w:jc w:val="left"/>
              <w:rPr>
                <w:color w:val="auto"/>
              </w:rPr>
            </w:pPr>
            <w:r>
              <w:rPr>
                <w:color w:val="auto"/>
              </w:rPr>
              <w:t>1）</w:t>
            </w:r>
            <w:r>
              <w:rPr>
                <w:rFonts w:hint="eastAsia"/>
                <w:color w:val="auto"/>
              </w:rPr>
              <w:t>未</w:t>
            </w:r>
            <w:r>
              <w:rPr>
                <w:color w:val="auto"/>
              </w:rPr>
              <w:t>按规定履行验收程序</w:t>
            </w:r>
            <w:r>
              <w:rPr>
                <w:rFonts w:hint="eastAsia"/>
                <w:color w:val="auto"/>
              </w:rPr>
              <w:t>或未经责任人签字确认，扣</w:t>
            </w:r>
            <w:r>
              <w:rPr>
                <w:color w:val="auto"/>
              </w:rPr>
              <w:t>7</w:t>
            </w:r>
            <w:r>
              <w:rPr>
                <w:rFonts w:hint="eastAsia"/>
                <w:color w:val="auto"/>
              </w:rPr>
              <w:t>分</w:t>
            </w:r>
          </w:p>
          <w:p w14:paraId="27E81D64">
            <w:pPr>
              <w:pStyle w:val="44"/>
              <w:jc w:val="left"/>
              <w:rPr>
                <w:color w:val="auto"/>
              </w:rPr>
            </w:pPr>
            <w:r>
              <w:rPr>
                <w:color w:val="auto"/>
              </w:rPr>
              <w:t>2）</w:t>
            </w:r>
            <w:r>
              <w:rPr>
                <w:rFonts w:hint="eastAsia"/>
                <w:color w:val="auto"/>
              </w:rPr>
              <w:t>未</w:t>
            </w:r>
            <w:r>
              <w:rPr>
                <w:color w:val="auto"/>
              </w:rPr>
              <w:t>设置护手及防护罩等安全装置</w:t>
            </w:r>
            <w:r>
              <w:rPr>
                <w:rFonts w:hint="eastAsia"/>
                <w:color w:val="auto"/>
              </w:rPr>
              <w:t>，扣5分</w:t>
            </w:r>
          </w:p>
          <w:p w14:paraId="3DC6E457">
            <w:pPr>
              <w:pStyle w:val="44"/>
              <w:jc w:val="left"/>
              <w:rPr>
                <w:color w:val="auto"/>
              </w:rPr>
            </w:pPr>
            <w:r>
              <w:rPr>
                <w:color w:val="auto"/>
              </w:rPr>
              <w:t>3）</w:t>
            </w:r>
            <w:r>
              <w:rPr>
                <w:rFonts w:hint="eastAsia"/>
                <w:color w:val="auto"/>
              </w:rPr>
              <w:t>未</w:t>
            </w:r>
            <w:r>
              <w:rPr>
                <w:color w:val="auto"/>
              </w:rPr>
              <w:t>单独设置保护零线</w:t>
            </w:r>
            <w:r>
              <w:rPr>
                <w:rFonts w:hint="eastAsia"/>
                <w:color w:val="auto"/>
              </w:rPr>
              <w:t>或未</w:t>
            </w:r>
            <w:r>
              <w:rPr>
                <w:color w:val="auto"/>
              </w:rPr>
              <w:t>安装漏电保护装置</w:t>
            </w:r>
            <w:r>
              <w:rPr>
                <w:rFonts w:hint="eastAsia"/>
                <w:color w:val="auto"/>
              </w:rPr>
              <w:t>，扣7分</w:t>
            </w:r>
          </w:p>
          <w:p w14:paraId="5851C1E6">
            <w:pPr>
              <w:pStyle w:val="44"/>
              <w:jc w:val="left"/>
              <w:rPr>
                <w:color w:val="auto"/>
              </w:rPr>
            </w:pPr>
            <w:r>
              <w:rPr>
                <w:color w:val="auto"/>
              </w:rPr>
              <w:t>4</w:t>
            </w:r>
            <w:r>
              <w:rPr>
                <w:rFonts w:hint="eastAsia"/>
                <w:color w:val="auto"/>
              </w:rPr>
              <w:t>）未设置作业棚，扣</w:t>
            </w:r>
            <w:r>
              <w:rPr>
                <w:color w:val="auto"/>
              </w:rPr>
              <w:t>7</w:t>
            </w:r>
            <w:r>
              <w:rPr>
                <w:rFonts w:hint="eastAsia"/>
                <w:color w:val="auto"/>
              </w:rPr>
              <w:t>分；防护棚不符合规定要求，扣</w:t>
            </w:r>
            <w:r>
              <w:rPr>
                <w:color w:val="auto"/>
              </w:rPr>
              <w:t>4</w:t>
            </w:r>
            <w:r>
              <w:rPr>
                <w:rFonts w:hint="eastAsia"/>
                <w:color w:val="auto"/>
              </w:rPr>
              <w:t>分</w:t>
            </w:r>
          </w:p>
          <w:p w14:paraId="0587EC70">
            <w:pPr>
              <w:pStyle w:val="44"/>
              <w:jc w:val="left"/>
              <w:rPr>
                <w:color w:val="auto"/>
              </w:rPr>
            </w:pPr>
            <w:r>
              <w:rPr>
                <w:color w:val="auto"/>
              </w:rPr>
              <w:t>5）使用同台电机驱动多种刃具、钻具的多功能木工机具</w:t>
            </w:r>
            <w:r>
              <w:rPr>
                <w:rFonts w:hint="eastAsia"/>
                <w:color w:val="auto"/>
              </w:rPr>
              <w:t>，扣7分</w:t>
            </w:r>
          </w:p>
          <w:p w14:paraId="778CA293">
            <w:pPr>
              <w:pStyle w:val="44"/>
              <w:jc w:val="left"/>
              <w:rPr>
                <w:color w:val="auto"/>
              </w:rPr>
            </w:pPr>
            <w:r>
              <w:rPr>
                <w:color w:val="auto"/>
              </w:rPr>
              <w:t>6</w:t>
            </w:r>
            <w:r>
              <w:rPr>
                <w:rFonts w:hint="eastAsia"/>
                <w:color w:val="auto"/>
              </w:rPr>
              <w:t>）未在明显位置悬挂平刨使用操作规程，扣</w:t>
            </w:r>
            <w:r>
              <w:rPr>
                <w:color w:val="auto"/>
              </w:rPr>
              <w:t>5</w:t>
            </w:r>
            <w:r>
              <w:rPr>
                <w:rFonts w:hint="eastAsia"/>
                <w:color w:val="auto"/>
              </w:rPr>
              <w:t>分</w:t>
            </w:r>
          </w:p>
        </w:tc>
        <w:tc>
          <w:tcPr>
            <w:tcW w:w="720" w:type="dxa"/>
            <w:vAlign w:val="center"/>
          </w:tcPr>
          <w:p w14:paraId="0EBAD686">
            <w:pPr>
              <w:pStyle w:val="44"/>
              <w:rPr>
                <w:color w:val="auto"/>
              </w:rPr>
            </w:pPr>
            <w:r>
              <w:rPr>
                <w:color w:val="auto"/>
              </w:rPr>
              <w:t>7</w:t>
            </w:r>
          </w:p>
        </w:tc>
        <w:tc>
          <w:tcPr>
            <w:tcW w:w="720" w:type="dxa"/>
            <w:vAlign w:val="center"/>
          </w:tcPr>
          <w:p w14:paraId="4D0D2058">
            <w:pPr>
              <w:pStyle w:val="44"/>
              <w:rPr>
                <w:color w:val="auto"/>
              </w:rPr>
            </w:pPr>
          </w:p>
        </w:tc>
        <w:tc>
          <w:tcPr>
            <w:tcW w:w="720" w:type="dxa"/>
            <w:vAlign w:val="center"/>
          </w:tcPr>
          <w:p w14:paraId="57F90E79">
            <w:pPr>
              <w:pStyle w:val="44"/>
              <w:rPr>
                <w:color w:val="auto"/>
              </w:rPr>
            </w:pPr>
          </w:p>
        </w:tc>
      </w:tr>
      <w:tr w14:paraId="528E6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659A5287">
            <w:pPr>
              <w:pStyle w:val="44"/>
              <w:rPr>
                <w:color w:val="auto"/>
              </w:rPr>
            </w:pPr>
            <w:r>
              <w:rPr>
                <w:rFonts w:hint="eastAsia"/>
                <w:color w:val="auto"/>
              </w:rPr>
              <w:t>2</w:t>
            </w:r>
          </w:p>
        </w:tc>
        <w:tc>
          <w:tcPr>
            <w:tcW w:w="1140" w:type="dxa"/>
            <w:vAlign w:val="center"/>
          </w:tcPr>
          <w:p w14:paraId="4DA2CB2A">
            <w:pPr>
              <w:pStyle w:val="44"/>
              <w:rPr>
                <w:color w:val="auto"/>
              </w:rPr>
            </w:pPr>
            <w:r>
              <w:rPr>
                <w:color w:val="auto"/>
              </w:rPr>
              <w:t>圆盘锯</w:t>
            </w:r>
          </w:p>
        </w:tc>
        <w:tc>
          <w:tcPr>
            <w:tcW w:w="5338" w:type="dxa"/>
            <w:vAlign w:val="center"/>
          </w:tcPr>
          <w:p w14:paraId="65156EBB">
            <w:pPr>
              <w:pStyle w:val="44"/>
              <w:jc w:val="left"/>
              <w:rPr>
                <w:color w:val="auto"/>
              </w:rPr>
            </w:pPr>
            <w:r>
              <w:rPr>
                <w:color w:val="auto"/>
              </w:rPr>
              <w:t>1）</w:t>
            </w:r>
            <w:r>
              <w:rPr>
                <w:rFonts w:hint="eastAsia"/>
                <w:color w:val="auto"/>
              </w:rPr>
              <w:t>未</w:t>
            </w:r>
            <w:r>
              <w:rPr>
                <w:color w:val="auto"/>
              </w:rPr>
              <w:t>按规定履行验收程序</w:t>
            </w:r>
            <w:r>
              <w:rPr>
                <w:rFonts w:hint="eastAsia"/>
                <w:color w:val="auto"/>
              </w:rPr>
              <w:t>或未经责任人签字确认，扣7分</w:t>
            </w:r>
          </w:p>
          <w:p w14:paraId="3AB8A5F9">
            <w:pPr>
              <w:pStyle w:val="44"/>
              <w:jc w:val="left"/>
              <w:rPr>
                <w:color w:val="auto"/>
              </w:rPr>
            </w:pPr>
            <w:r>
              <w:rPr>
                <w:color w:val="auto"/>
              </w:rPr>
              <w:t>2）</w:t>
            </w:r>
            <w:r>
              <w:rPr>
                <w:rFonts w:hint="eastAsia"/>
                <w:color w:val="auto"/>
              </w:rPr>
              <w:t>未</w:t>
            </w:r>
            <w:r>
              <w:rPr>
                <w:color w:val="auto"/>
              </w:rPr>
              <w:t>设置防护罩、分料器、防护挡板等安全装置</w:t>
            </w:r>
            <w:r>
              <w:rPr>
                <w:rFonts w:hint="eastAsia"/>
                <w:color w:val="auto"/>
              </w:rPr>
              <w:t>，扣5分</w:t>
            </w:r>
          </w:p>
          <w:p w14:paraId="07F026C9">
            <w:pPr>
              <w:pStyle w:val="44"/>
              <w:jc w:val="left"/>
              <w:rPr>
                <w:color w:val="auto"/>
              </w:rPr>
            </w:pPr>
            <w:r>
              <w:rPr>
                <w:color w:val="auto"/>
              </w:rPr>
              <w:t>3）</w:t>
            </w:r>
            <w:r>
              <w:rPr>
                <w:rFonts w:hint="eastAsia"/>
                <w:color w:val="auto"/>
              </w:rPr>
              <w:t>未</w:t>
            </w:r>
            <w:r>
              <w:rPr>
                <w:color w:val="auto"/>
              </w:rPr>
              <w:t>单独设置保护零线</w:t>
            </w:r>
            <w:r>
              <w:rPr>
                <w:rFonts w:hint="eastAsia"/>
                <w:color w:val="auto"/>
              </w:rPr>
              <w:t>或未</w:t>
            </w:r>
            <w:r>
              <w:rPr>
                <w:color w:val="auto"/>
              </w:rPr>
              <w:t>安装漏电保护装置</w:t>
            </w:r>
            <w:r>
              <w:rPr>
                <w:rFonts w:hint="eastAsia"/>
                <w:color w:val="auto"/>
              </w:rPr>
              <w:t>，扣7分</w:t>
            </w:r>
          </w:p>
          <w:p w14:paraId="3E5350F1">
            <w:pPr>
              <w:pStyle w:val="44"/>
              <w:jc w:val="left"/>
              <w:rPr>
                <w:color w:val="auto"/>
              </w:rPr>
            </w:pPr>
            <w:r>
              <w:rPr>
                <w:color w:val="auto"/>
              </w:rPr>
              <w:t>4</w:t>
            </w:r>
            <w:r>
              <w:rPr>
                <w:rFonts w:hint="eastAsia"/>
                <w:color w:val="auto"/>
              </w:rPr>
              <w:t>）未设置作业棚，扣</w:t>
            </w:r>
            <w:r>
              <w:rPr>
                <w:color w:val="auto"/>
              </w:rPr>
              <w:t>7</w:t>
            </w:r>
            <w:r>
              <w:rPr>
                <w:rFonts w:hint="eastAsia"/>
                <w:color w:val="auto"/>
              </w:rPr>
              <w:t>分；防护棚不符合规定要求，扣</w:t>
            </w:r>
            <w:r>
              <w:rPr>
                <w:color w:val="auto"/>
              </w:rPr>
              <w:t>4</w:t>
            </w:r>
            <w:r>
              <w:rPr>
                <w:rFonts w:hint="eastAsia"/>
                <w:color w:val="auto"/>
              </w:rPr>
              <w:t>分</w:t>
            </w:r>
          </w:p>
          <w:p w14:paraId="6C08B8FA">
            <w:pPr>
              <w:pStyle w:val="44"/>
              <w:jc w:val="left"/>
              <w:rPr>
                <w:color w:val="auto"/>
              </w:rPr>
            </w:pPr>
            <w:r>
              <w:rPr>
                <w:color w:val="auto"/>
              </w:rPr>
              <w:t>5</w:t>
            </w:r>
            <w:r>
              <w:rPr>
                <w:rFonts w:hint="eastAsia"/>
                <w:color w:val="auto"/>
              </w:rPr>
              <w:t>）使用同台电机驱动多种刃具、钻具的多功能木工机具，扣</w:t>
            </w:r>
            <w:r>
              <w:rPr>
                <w:color w:val="auto"/>
              </w:rPr>
              <w:t>7</w:t>
            </w:r>
            <w:r>
              <w:rPr>
                <w:rFonts w:hint="eastAsia"/>
                <w:color w:val="auto"/>
              </w:rPr>
              <w:t>分</w:t>
            </w:r>
          </w:p>
          <w:p w14:paraId="29F72182">
            <w:pPr>
              <w:pStyle w:val="44"/>
              <w:jc w:val="left"/>
              <w:rPr>
                <w:color w:val="auto"/>
              </w:rPr>
            </w:pPr>
            <w:r>
              <w:rPr>
                <w:color w:val="auto"/>
              </w:rPr>
              <w:t>6</w:t>
            </w:r>
            <w:r>
              <w:rPr>
                <w:rFonts w:hint="eastAsia"/>
                <w:color w:val="auto"/>
              </w:rPr>
              <w:t>）未在明显位置应悬挂圆盘锯使用操作规程，扣</w:t>
            </w:r>
            <w:r>
              <w:rPr>
                <w:color w:val="auto"/>
              </w:rPr>
              <w:t>5</w:t>
            </w:r>
            <w:r>
              <w:rPr>
                <w:rFonts w:hint="eastAsia"/>
                <w:color w:val="auto"/>
              </w:rPr>
              <w:t>分</w:t>
            </w:r>
          </w:p>
        </w:tc>
        <w:tc>
          <w:tcPr>
            <w:tcW w:w="720" w:type="dxa"/>
            <w:vAlign w:val="center"/>
          </w:tcPr>
          <w:p w14:paraId="121567A1">
            <w:pPr>
              <w:pStyle w:val="44"/>
              <w:rPr>
                <w:color w:val="auto"/>
              </w:rPr>
            </w:pPr>
            <w:r>
              <w:rPr>
                <w:rFonts w:hint="eastAsia"/>
                <w:color w:val="auto"/>
              </w:rPr>
              <w:t>7</w:t>
            </w:r>
          </w:p>
        </w:tc>
        <w:tc>
          <w:tcPr>
            <w:tcW w:w="720" w:type="dxa"/>
            <w:vAlign w:val="center"/>
          </w:tcPr>
          <w:p w14:paraId="0A041806">
            <w:pPr>
              <w:pStyle w:val="44"/>
              <w:rPr>
                <w:color w:val="auto"/>
              </w:rPr>
            </w:pPr>
          </w:p>
        </w:tc>
        <w:tc>
          <w:tcPr>
            <w:tcW w:w="720" w:type="dxa"/>
            <w:vAlign w:val="center"/>
          </w:tcPr>
          <w:p w14:paraId="57F46F92">
            <w:pPr>
              <w:pStyle w:val="44"/>
              <w:rPr>
                <w:color w:val="auto"/>
              </w:rPr>
            </w:pPr>
          </w:p>
        </w:tc>
      </w:tr>
      <w:tr w14:paraId="1FC29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7A77E7F">
            <w:pPr>
              <w:pStyle w:val="44"/>
              <w:rPr>
                <w:color w:val="auto"/>
              </w:rPr>
            </w:pPr>
            <w:r>
              <w:rPr>
                <w:rFonts w:hint="eastAsia"/>
                <w:color w:val="auto"/>
              </w:rPr>
              <w:t>3</w:t>
            </w:r>
          </w:p>
        </w:tc>
        <w:tc>
          <w:tcPr>
            <w:tcW w:w="1140" w:type="dxa"/>
            <w:vAlign w:val="center"/>
          </w:tcPr>
          <w:p w14:paraId="1EBAEBB0">
            <w:pPr>
              <w:pStyle w:val="44"/>
              <w:rPr>
                <w:color w:val="auto"/>
              </w:rPr>
            </w:pPr>
            <w:r>
              <w:rPr>
                <w:color w:val="auto"/>
              </w:rPr>
              <w:t>手持电动工具</w:t>
            </w:r>
          </w:p>
        </w:tc>
        <w:tc>
          <w:tcPr>
            <w:tcW w:w="5338" w:type="dxa"/>
            <w:vAlign w:val="center"/>
          </w:tcPr>
          <w:p w14:paraId="05EA198C">
            <w:pPr>
              <w:pStyle w:val="44"/>
              <w:jc w:val="left"/>
              <w:rPr>
                <w:color w:val="auto"/>
              </w:rPr>
            </w:pPr>
            <w:r>
              <w:rPr>
                <w:color w:val="auto"/>
              </w:rPr>
              <w:t>1）使用手持电动工具时，</w:t>
            </w:r>
            <w:r>
              <w:rPr>
                <w:rFonts w:hint="eastAsia"/>
                <w:color w:val="auto"/>
              </w:rPr>
              <w:t>未</w:t>
            </w:r>
            <w:r>
              <w:rPr>
                <w:color w:val="auto"/>
              </w:rPr>
              <w:t>穿戴劳动防护用品</w:t>
            </w:r>
            <w:r>
              <w:rPr>
                <w:rFonts w:hint="eastAsia"/>
                <w:color w:val="auto"/>
              </w:rPr>
              <w:t>，扣5分</w:t>
            </w:r>
          </w:p>
          <w:p w14:paraId="023148B9">
            <w:pPr>
              <w:pStyle w:val="44"/>
              <w:jc w:val="left"/>
              <w:rPr>
                <w:color w:val="auto"/>
              </w:rPr>
            </w:pPr>
            <w:r>
              <w:rPr>
                <w:rFonts w:hint="eastAsia"/>
                <w:color w:val="auto"/>
              </w:rPr>
              <w:t>2</w:t>
            </w:r>
            <w:r>
              <w:rPr>
                <w:color w:val="auto"/>
              </w:rPr>
              <w:t>）Ⅰ类手持电动工具</w:t>
            </w:r>
            <w:r>
              <w:rPr>
                <w:rFonts w:hint="eastAsia"/>
                <w:color w:val="auto"/>
              </w:rPr>
              <w:t>未</w:t>
            </w:r>
            <w:r>
              <w:rPr>
                <w:color w:val="auto"/>
              </w:rPr>
              <w:t>单独设置保护零线</w:t>
            </w:r>
            <w:r>
              <w:rPr>
                <w:rFonts w:hint="eastAsia"/>
                <w:color w:val="auto"/>
              </w:rPr>
              <w:t>或未</w:t>
            </w:r>
            <w:r>
              <w:rPr>
                <w:color w:val="auto"/>
              </w:rPr>
              <w:t>安装漏电保护装置</w:t>
            </w:r>
            <w:r>
              <w:rPr>
                <w:rFonts w:hint="eastAsia"/>
                <w:color w:val="auto"/>
              </w:rPr>
              <w:t>，扣7分</w:t>
            </w:r>
          </w:p>
          <w:p w14:paraId="10581DA2">
            <w:pPr>
              <w:pStyle w:val="44"/>
              <w:jc w:val="left"/>
              <w:rPr>
                <w:color w:val="auto"/>
              </w:rPr>
            </w:pPr>
            <w:r>
              <w:rPr>
                <w:color w:val="auto"/>
              </w:rPr>
              <w:t>3</w:t>
            </w:r>
            <w:r>
              <w:rPr>
                <w:rFonts w:hint="eastAsia"/>
                <w:color w:val="auto"/>
              </w:rPr>
              <w:t>）负荷线未采用耐气候型橡胶护套铜芯软电缆，扣</w:t>
            </w:r>
            <w:r>
              <w:rPr>
                <w:color w:val="auto"/>
              </w:rPr>
              <w:t>7</w:t>
            </w:r>
            <w:r>
              <w:rPr>
                <w:rFonts w:hint="eastAsia"/>
                <w:color w:val="auto"/>
              </w:rPr>
              <w:t>分；负荷线有接头，每个接头扣</w:t>
            </w:r>
            <w:r>
              <w:rPr>
                <w:color w:val="auto"/>
              </w:rPr>
              <w:t>3</w:t>
            </w:r>
            <w:r>
              <w:rPr>
                <w:rFonts w:hint="eastAsia"/>
                <w:color w:val="auto"/>
              </w:rPr>
              <w:t>分</w:t>
            </w:r>
          </w:p>
        </w:tc>
        <w:tc>
          <w:tcPr>
            <w:tcW w:w="720" w:type="dxa"/>
            <w:vAlign w:val="center"/>
          </w:tcPr>
          <w:p w14:paraId="7C58B88F">
            <w:pPr>
              <w:pStyle w:val="44"/>
              <w:rPr>
                <w:color w:val="auto"/>
              </w:rPr>
            </w:pPr>
            <w:r>
              <w:rPr>
                <w:color w:val="auto"/>
              </w:rPr>
              <w:t>7</w:t>
            </w:r>
          </w:p>
        </w:tc>
        <w:tc>
          <w:tcPr>
            <w:tcW w:w="720" w:type="dxa"/>
            <w:vAlign w:val="center"/>
          </w:tcPr>
          <w:p w14:paraId="3F877BC2">
            <w:pPr>
              <w:pStyle w:val="44"/>
              <w:rPr>
                <w:color w:val="auto"/>
              </w:rPr>
            </w:pPr>
          </w:p>
        </w:tc>
        <w:tc>
          <w:tcPr>
            <w:tcW w:w="720" w:type="dxa"/>
            <w:vAlign w:val="center"/>
          </w:tcPr>
          <w:p w14:paraId="1446D378">
            <w:pPr>
              <w:pStyle w:val="44"/>
              <w:rPr>
                <w:color w:val="auto"/>
              </w:rPr>
            </w:pPr>
          </w:p>
        </w:tc>
      </w:tr>
      <w:tr w14:paraId="3EBB0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17C83A0">
            <w:pPr>
              <w:pStyle w:val="44"/>
              <w:rPr>
                <w:color w:val="auto"/>
              </w:rPr>
            </w:pPr>
            <w:r>
              <w:rPr>
                <w:rFonts w:hint="eastAsia"/>
                <w:color w:val="auto"/>
              </w:rPr>
              <w:t>4</w:t>
            </w:r>
          </w:p>
        </w:tc>
        <w:tc>
          <w:tcPr>
            <w:tcW w:w="1140" w:type="dxa"/>
            <w:vAlign w:val="center"/>
          </w:tcPr>
          <w:p w14:paraId="56A3B15B">
            <w:pPr>
              <w:pStyle w:val="44"/>
              <w:rPr>
                <w:color w:val="auto"/>
              </w:rPr>
            </w:pPr>
            <w:r>
              <w:rPr>
                <w:color w:val="auto"/>
              </w:rPr>
              <w:t>钢筋机械</w:t>
            </w:r>
          </w:p>
        </w:tc>
        <w:tc>
          <w:tcPr>
            <w:tcW w:w="5338" w:type="dxa"/>
            <w:vAlign w:val="center"/>
          </w:tcPr>
          <w:p w14:paraId="1ADBB4A2">
            <w:pPr>
              <w:pStyle w:val="44"/>
              <w:jc w:val="left"/>
              <w:rPr>
                <w:color w:val="auto"/>
              </w:rPr>
            </w:pPr>
            <w:r>
              <w:rPr>
                <w:color w:val="auto"/>
              </w:rPr>
              <w:t>1）</w:t>
            </w:r>
            <w:r>
              <w:rPr>
                <w:rFonts w:hint="eastAsia"/>
                <w:color w:val="auto"/>
              </w:rPr>
              <w:t>未</w:t>
            </w:r>
            <w:r>
              <w:rPr>
                <w:color w:val="auto"/>
              </w:rPr>
              <w:t>按规定履行验收程序</w:t>
            </w:r>
            <w:r>
              <w:rPr>
                <w:rFonts w:hint="eastAsia"/>
                <w:color w:val="auto"/>
              </w:rPr>
              <w:t>或未经责任人签字确认，扣7分</w:t>
            </w:r>
          </w:p>
          <w:p w14:paraId="6ABFF369">
            <w:pPr>
              <w:pStyle w:val="44"/>
              <w:jc w:val="left"/>
              <w:rPr>
                <w:color w:val="auto"/>
              </w:rPr>
            </w:pPr>
            <w:r>
              <w:rPr>
                <w:color w:val="auto"/>
              </w:rPr>
              <w:t>2）</w:t>
            </w:r>
            <w:r>
              <w:rPr>
                <w:rFonts w:hint="eastAsia"/>
                <w:color w:val="auto"/>
              </w:rPr>
              <w:t>未</w:t>
            </w:r>
            <w:r>
              <w:rPr>
                <w:color w:val="auto"/>
              </w:rPr>
              <w:t>单独设置保护零线</w:t>
            </w:r>
            <w:r>
              <w:rPr>
                <w:rFonts w:hint="eastAsia"/>
                <w:color w:val="auto"/>
              </w:rPr>
              <w:t>或未</w:t>
            </w:r>
            <w:r>
              <w:rPr>
                <w:color w:val="auto"/>
              </w:rPr>
              <w:t>安装漏电保护装置</w:t>
            </w:r>
            <w:r>
              <w:rPr>
                <w:rFonts w:hint="eastAsia"/>
                <w:color w:val="auto"/>
              </w:rPr>
              <w:t>，扣7分</w:t>
            </w:r>
          </w:p>
          <w:p w14:paraId="696F31CD">
            <w:pPr>
              <w:pStyle w:val="44"/>
              <w:jc w:val="left"/>
              <w:rPr>
                <w:color w:val="auto"/>
              </w:rPr>
            </w:pPr>
            <w:r>
              <w:rPr>
                <w:color w:val="auto"/>
              </w:rPr>
              <w:t>3</w:t>
            </w:r>
            <w:r>
              <w:rPr>
                <w:rFonts w:hint="eastAsia"/>
                <w:color w:val="auto"/>
              </w:rPr>
              <w:t>）未设置作业棚，扣</w:t>
            </w:r>
            <w:r>
              <w:rPr>
                <w:color w:val="auto"/>
              </w:rPr>
              <w:t>7</w:t>
            </w:r>
            <w:r>
              <w:rPr>
                <w:rFonts w:hint="eastAsia"/>
                <w:color w:val="auto"/>
              </w:rPr>
              <w:t>分；防护棚不符合规定要求，扣</w:t>
            </w:r>
            <w:r>
              <w:rPr>
                <w:color w:val="auto"/>
              </w:rPr>
              <w:t>4</w:t>
            </w:r>
            <w:r>
              <w:rPr>
                <w:rFonts w:hint="eastAsia"/>
                <w:color w:val="auto"/>
              </w:rPr>
              <w:t>分</w:t>
            </w:r>
          </w:p>
          <w:p w14:paraId="51BBAEA7">
            <w:pPr>
              <w:pStyle w:val="44"/>
              <w:jc w:val="left"/>
              <w:rPr>
                <w:color w:val="auto"/>
              </w:rPr>
            </w:pPr>
            <w:r>
              <w:rPr>
                <w:color w:val="auto"/>
              </w:rPr>
              <w:t>4</w:t>
            </w:r>
            <w:r>
              <w:rPr>
                <w:rFonts w:hint="eastAsia"/>
                <w:color w:val="auto"/>
              </w:rPr>
              <w:t>）钢筋对焊作业区未设置防火花飞溅的措施，扣</w:t>
            </w:r>
            <w:r>
              <w:rPr>
                <w:color w:val="auto"/>
              </w:rPr>
              <w:t>5</w:t>
            </w:r>
            <w:r>
              <w:rPr>
                <w:rFonts w:hint="eastAsia"/>
                <w:color w:val="auto"/>
              </w:rPr>
              <w:t>分</w:t>
            </w:r>
          </w:p>
          <w:p w14:paraId="044B5369">
            <w:pPr>
              <w:pStyle w:val="44"/>
              <w:jc w:val="left"/>
              <w:rPr>
                <w:color w:val="auto"/>
              </w:rPr>
            </w:pPr>
            <w:r>
              <w:rPr>
                <w:color w:val="auto"/>
              </w:rPr>
              <w:t>5）钢筋冷拉作业</w:t>
            </w:r>
            <w:r>
              <w:rPr>
                <w:rFonts w:hint="eastAsia"/>
                <w:color w:val="auto"/>
              </w:rPr>
              <w:t>未</w:t>
            </w:r>
            <w:r>
              <w:rPr>
                <w:color w:val="auto"/>
              </w:rPr>
              <w:t>按规定设置防护栏</w:t>
            </w:r>
            <w:r>
              <w:rPr>
                <w:rFonts w:hint="eastAsia"/>
                <w:color w:val="auto"/>
              </w:rPr>
              <w:t>，扣5分</w:t>
            </w:r>
          </w:p>
          <w:p w14:paraId="21201F1F">
            <w:pPr>
              <w:pStyle w:val="44"/>
              <w:jc w:val="left"/>
              <w:rPr>
                <w:color w:val="auto"/>
              </w:rPr>
            </w:pPr>
            <w:r>
              <w:rPr>
                <w:color w:val="auto"/>
              </w:rPr>
              <w:t>6）机械传动部位</w:t>
            </w:r>
            <w:r>
              <w:rPr>
                <w:rFonts w:hint="eastAsia"/>
                <w:color w:val="auto"/>
              </w:rPr>
              <w:t>未</w:t>
            </w:r>
            <w:r>
              <w:rPr>
                <w:color w:val="auto"/>
              </w:rPr>
              <w:t>设置防护罩</w:t>
            </w:r>
            <w:r>
              <w:rPr>
                <w:rFonts w:hint="eastAsia"/>
                <w:color w:val="auto"/>
              </w:rPr>
              <w:t>，扣5分</w:t>
            </w:r>
          </w:p>
          <w:p w14:paraId="342B6D8E">
            <w:pPr>
              <w:pStyle w:val="44"/>
              <w:jc w:val="left"/>
              <w:rPr>
                <w:color w:val="auto"/>
              </w:rPr>
            </w:pPr>
            <w:r>
              <w:rPr>
                <w:color w:val="auto"/>
              </w:rPr>
              <w:t>7</w:t>
            </w:r>
            <w:r>
              <w:rPr>
                <w:rFonts w:hint="eastAsia"/>
                <w:color w:val="auto"/>
              </w:rPr>
              <w:t>）未在显位置应悬挂钢筋机械使用操作规程，扣</w:t>
            </w:r>
            <w:r>
              <w:rPr>
                <w:color w:val="auto"/>
              </w:rPr>
              <w:t>5</w:t>
            </w:r>
            <w:r>
              <w:rPr>
                <w:rFonts w:hint="eastAsia"/>
                <w:color w:val="auto"/>
              </w:rPr>
              <w:t>分</w:t>
            </w:r>
          </w:p>
        </w:tc>
        <w:tc>
          <w:tcPr>
            <w:tcW w:w="720" w:type="dxa"/>
            <w:vAlign w:val="center"/>
          </w:tcPr>
          <w:p w14:paraId="5FA3302C">
            <w:pPr>
              <w:pStyle w:val="44"/>
              <w:rPr>
                <w:color w:val="auto"/>
              </w:rPr>
            </w:pPr>
            <w:r>
              <w:rPr>
                <w:color w:val="auto"/>
              </w:rPr>
              <w:t>7</w:t>
            </w:r>
          </w:p>
        </w:tc>
        <w:tc>
          <w:tcPr>
            <w:tcW w:w="720" w:type="dxa"/>
            <w:vAlign w:val="center"/>
          </w:tcPr>
          <w:p w14:paraId="7D60A840">
            <w:pPr>
              <w:pStyle w:val="44"/>
              <w:rPr>
                <w:color w:val="auto"/>
              </w:rPr>
            </w:pPr>
          </w:p>
        </w:tc>
        <w:tc>
          <w:tcPr>
            <w:tcW w:w="720" w:type="dxa"/>
            <w:vAlign w:val="center"/>
          </w:tcPr>
          <w:p w14:paraId="555D55EC">
            <w:pPr>
              <w:pStyle w:val="44"/>
              <w:rPr>
                <w:color w:val="auto"/>
              </w:rPr>
            </w:pPr>
          </w:p>
        </w:tc>
      </w:tr>
      <w:tr w14:paraId="70169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48D0EAD7">
            <w:pPr>
              <w:pStyle w:val="44"/>
              <w:rPr>
                <w:color w:val="auto"/>
              </w:rPr>
            </w:pPr>
            <w:r>
              <w:rPr>
                <w:rFonts w:hint="eastAsia"/>
                <w:color w:val="auto"/>
              </w:rPr>
              <w:t>5</w:t>
            </w:r>
          </w:p>
        </w:tc>
        <w:tc>
          <w:tcPr>
            <w:tcW w:w="1140" w:type="dxa"/>
            <w:vAlign w:val="center"/>
          </w:tcPr>
          <w:p w14:paraId="00E94F9E">
            <w:pPr>
              <w:pStyle w:val="44"/>
              <w:rPr>
                <w:color w:val="auto"/>
              </w:rPr>
            </w:pPr>
            <w:r>
              <w:rPr>
                <w:color w:val="auto"/>
              </w:rPr>
              <w:t>电焊机</w:t>
            </w:r>
          </w:p>
        </w:tc>
        <w:tc>
          <w:tcPr>
            <w:tcW w:w="5338" w:type="dxa"/>
            <w:vAlign w:val="center"/>
          </w:tcPr>
          <w:p w14:paraId="0816E07C">
            <w:pPr>
              <w:pStyle w:val="44"/>
              <w:jc w:val="left"/>
              <w:rPr>
                <w:color w:val="auto"/>
              </w:rPr>
            </w:pPr>
            <w:r>
              <w:rPr>
                <w:color w:val="auto"/>
              </w:rPr>
              <w:t>1）</w:t>
            </w:r>
            <w:r>
              <w:rPr>
                <w:rFonts w:hint="eastAsia"/>
                <w:color w:val="auto"/>
              </w:rPr>
              <w:t>未</w:t>
            </w:r>
            <w:r>
              <w:rPr>
                <w:color w:val="auto"/>
              </w:rPr>
              <w:t>按规定履行验收程序</w:t>
            </w:r>
            <w:r>
              <w:rPr>
                <w:rFonts w:hint="eastAsia"/>
                <w:color w:val="auto"/>
              </w:rPr>
              <w:t>或未经责任人签字确认，扣</w:t>
            </w:r>
            <w:r>
              <w:rPr>
                <w:color w:val="auto"/>
              </w:rPr>
              <w:t>7</w:t>
            </w:r>
            <w:r>
              <w:rPr>
                <w:rFonts w:hint="eastAsia"/>
                <w:color w:val="auto"/>
              </w:rPr>
              <w:t>分</w:t>
            </w:r>
          </w:p>
          <w:p w14:paraId="7B246E8B">
            <w:pPr>
              <w:pStyle w:val="44"/>
              <w:jc w:val="left"/>
              <w:rPr>
                <w:color w:val="auto"/>
              </w:rPr>
            </w:pPr>
            <w:r>
              <w:rPr>
                <w:color w:val="auto"/>
              </w:rPr>
              <w:t>2）</w:t>
            </w:r>
            <w:r>
              <w:rPr>
                <w:rFonts w:hint="eastAsia"/>
                <w:color w:val="auto"/>
              </w:rPr>
              <w:t>未</w:t>
            </w:r>
            <w:r>
              <w:rPr>
                <w:color w:val="auto"/>
              </w:rPr>
              <w:t>单独设置保护零线</w:t>
            </w:r>
            <w:r>
              <w:rPr>
                <w:rFonts w:hint="eastAsia"/>
                <w:color w:val="auto"/>
              </w:rPr>
              <w:t>或未</w:t>
            </w:r>
            <w:r>
              <w:rPr>
                <w:color w:val="auto"/>
              </w:rPr>
              <w:t>安装漏电保护装置</w:t>
            </w:r>
            <w:r>
              <w:rPr>
                <w:rFonts w:hint="eastAsia"/>
                <w:color w:val="auto"/>
              </w:rPr>
              <w:t>，扣7分</w:t>
            </w:r>
          </w:p>
          <w:p w14:paraId="57F5C669">
            <w:pPr>
              <w:pStyle w:val="44"/>
              <w:jc w:val="left"/>
              <w:rPr>
                <w:color w:val="auto"/>
              </w:rPr>
            </w:pPr>
            <w:r>
              <w:rPr>
                <w:color w:val="auto"/>
              </w:rPr>
              <w:t>3）</w:t>
            </w:r>
            <w:r>
              <w:rPr>
                <w:rFonts w:hint="eastAsia"/>
                <w:color w:val="auto"/>
              </w:rPr>
              <w:t>未</w:t>
            </w:r>
            <w:r>
              <w:rPr>
                <w:color w:val="auto"/>
              </w:rPr>
              <w:t>设置二次空载降压保护器</w:t>
            </w:r>
            <w:r>
              <w:rPr>
                <w:rFonts w:hint="eastAsia"/>
                <w:color w:val="auto"/>
              </w:rPr>
              <w:t>，扣7分</w:t>
            </w:r>
          </w:p>
          <w:p w14:paraId="783CD02A">
            <w:pPr>
              <w:pStyle w:val="44"/>
              <w:jc w:val="left"/>
              <w:rPr>
                <w:color w:val="auto"/>
              </w:rPr>
            </w:pPr>
            <w:r>
              <w:rPr>
                <w:color w:val="auto"/>
              </w:rPr>
              <w:t>4</w:t>
            </w:r>
            <w:r>
              <w:rPr>
                <w:rFonts w:hint="eastAsia"/>
                <w:color w:val="auto"/>
              </w:rPr>
              <w:t>）一次侧电源线长度大于</w:t>
            </w:r>
            <w:r>
              <w:rPr>
                <w:color w:val="auto"/>
              </w:rPr>
              <w:t>5m</w:t>
            </w:r>
            <w:r>
              <w:rPr>
                <w:rFonts w:hint="eastAsia"/>
                <w:color w:val="auto"/>
              </w:rPr>
              <w:t>，扣</w:t>
            </w:r>
            <w:r>
              <w:rPr>
                <w:color w:val="auto"/>
              </w:rPr>
              <w:t>5</w:t>
            </w:r>
            <w:r>
              <w:rPr>
                <w:rFonts w:hint="eastAsia"/>
                <w:color w:val="auto"/>
              </w:rPr>
              <w:t>分</w:t>
            </w:r>
          </w:p>
          <w:p w14:paraId="2CD2F96B">
            <w:pPr>
              <w:pStyle w:val="44"/>
              <w:jc w:val="left"/>
              <w:rPr>
                <w:color w:val="auto"/>
              </w:rPr>
            </w:pPr>
            <w:r>
              <w:rPr>
                <w:rFonts w:hint="eastAsia"/>
                <w:color w:val="auto"/>
              </w:rPr>
              <w:t>5）二次线未采用防水橡皮护套铜芯软电缆，扣7分</w:t>
            </w:r>
          </w:p>
          <w:p w14:paraId="64BF2905">
            <w:pPr>
              <w:pStyle w:val="44"/>
              <w:jc w:val="left"/>
              <w:rPr>
                <w:color w:val="auto"/>
              </w:rPr>
            </w:pPr>
            <w:r>
              <w:rPr>
                <w:rFonts w:hint="eastAsia"/>
                <w:color w:val="auto"/>
              </w:rPr>
              <w:t>6）二次线长度超过规定或绝缘老化，扣7分</w:t>
            </w:r>
          </w:p>
          <w:p w14:paraId="233F13AF">
            <w:pPr>
              <w:pStyle w:val="44"/>
              <w:jc w:val="left"/>
              <w:rPr>
                <w:color w:val="auto"/>
              </w:rPr>
            </w:pPr>
            <w:r>
              <w:rPr>
                <w:rFonts w:hint="eastAsia"/>
                <w:color w:val="auto"/>
              </w:rPr>
              <w:t>7）电</w:t>
            </w:r>
            <w:r>
              <w:rPr>
                <w:color w:val="auto"/>
              </w:rPr>
              <w:t>焊机</w:t>
            </w:r>
            <w:r>
              <w:rPr>
                <w:rFonts w:hint="eastAsia"/>
                <w:color w:val="auto"/>
              </w:rPr>
              <w:t>未</w:t>
            </w:r>
            <w:r>
              <w:rPr>
                <w:color w:val="auto"/>
              </w:rPr>
              <w:t>设置防雨罩</w:t>
            </w:r>
            <w:r>
              <w:rPr>
                <w:rFonts w:hint="eastAsia"/>
                <w:color w:val="auto"/>
              </w:rPr>
              <w:t>、</w:t>
            </w:r>
            <w:r>
              <w:rPr>
                <w:color w:val="auto"/>
              </w:rPr>
              <w:t>接线柱</w:t>
            </w:r>
            <w:r>
              <w:rPr>
                <w:rFonts w:hint="eastAsia"/>
                <w:color w:val="auto"/>
              </w:rPr>
              <w:t>未</w:t>
            </w:r>
            <w:r>
              <w:rPr>
                <w:color w:val="auto"/>
              </w:rPr>
              <w:t>设置防护罩</w:t>
            </w:r>
            <w:r>
              <w:rPr>
                <w:rFonts w:hint="eastAsia"/>
                <w:color w:val="auto"/>
              </w:rPr>
              <w:t>，扣5分</w:t>
            </w:r>
          </w:p>
          <w:p w14:paraId="7C33BDB3">
            <w:pPr>
              <w:pStyle w:val="44"/>
              <w:jc w:val="left"/>
              <w:rPr>
                <w:color w:val="auto"/>
              </w:rPr>
            </w:pPr>
            <w:r>
              <w:rPr>
                <w:rFonts w:hint="eastAsia"/>
                <w:color w:val="auto"/>
              </w:rPr>
              <w:t>8）</w:t>
            </w:r>
            <w:r>
              <w:rPr>
                <w:color w:val="auto"/>
              </w:rPr>
              <w:t>交流电焊机</w:t>
            </w:r>
            <w:r>
              <w:rPr>
                <w:rFonts w:hint="eastAsia"/>
                <w:color w:val="auto"/>
              </w:rPr>
              <w:t>未</w:t>
            </w:r>
            <w:r>
              <w:rPr>
                <w:color w:val="auto"/>
              </w:rPr>
              <w:t>安装防二次侧触电保护装置</w:t>
            </w:r>
            <w:r>
              <w:rPr>
                <w:rFonts w:hint="eastAsia"/>
                <w:color w:val="auto"/>
              </w:rPr>
              <w:t>，扣7分</w:t>
            </w:r>
          </w:p>
          <w:p w14:paraId="7CF9E682">
            <w:pPr>
              <w:pStyle w:val="44"/>
              <w:jc w:val="left"/>
              <w:rPr>
                <w:color w:val="auto"/>
              </w:rPr>
            </w:pPr>
            <w:r>
              <w:rPr>
                <w:color w:val="auto"/>
              </w:rPr>
              <w:t>9</w:t>
            </w:r>
            <w:r>
              <w:rPr>
                <w:rFonts w:hint="eastAsia"/>
                <w:color w:val="auto"/>
              </w:rPr>
              <w:t>）未在明显位置应悬挂电焊机使用操作规程，扣</w:t>
            </w:r>
            <w:r>
              <w:rPr>
                <w:color w:val="auto"/>
              </w:rPr>
              <w:t>5</w:t>
            </w:r>
            <w:r>
              <w:rPr>
                <w:rFonts w:hint="eastAsia"/>
                <w:color w:val="auto"/>
              </w:rPr>
              <w:t>分</w:t>
            </w:r>
          </w:p>
        </w:tc>
        <w:tc>
          <w:tcPr>
            <w:tcW w:w="720" w:type="dxa"/>
            <w:vAlign w:val="center"/>
          </w:tcPr>
          <w:p w14:paraId="4DBA8503">
            <w:pPr>
              <w:pStyle w:val="44"/>
              <w:rPr>
                <w:color w:val="auto"/>
              </w:rPr>
            </w:pPr>
            <w:r>
              <w:rPr>
                <w:rFonts w:hint="eastAsia"/>
                <w:color w:val="auto"/>
              </w:rPr>
              <w:t>7</w:t>
            </w:r>
          </w:p>
        </w:tc>
        <w:tc>
          <w:tcPr>
            <w:tcW w:w="720" w:type="dxa"/>
            <w:vAlign w:val="center"/>
          </w:tcPr>
          <w:p w14:paraId="14EF5C64">
            <w:pPr>
              <w:pStyle w:val="44"/>
              <w:rPr>
                <w:color w:val="auto"/>
              </w:rPr>
            </w:pPr>
          </w:p>
        </w:tc>
        <w:tc>
          <w:tcPr>
            <w:tcW w:w="720" w:type="dxa"/>
            <w:vAlign w:val="center"/>
          </w:tcPr>
          <w:p w14:paraId="29221A4C">
            <w:pPr>
              <w:pStyle w:val="44"/>
              <w:rPr>
                <w:color w:val="auto"/>
              </w:rPr>
            </w:pPr>
          </w:p>
        </w:tc>
      </w:tr>
      <w:tr w14:paraId="22D5B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0220059">
            <w:pPr>
              <w:pStyle w:val="44"/>
              <w:rPr>
                <w:color w:val="auto"/>
              </w:rPr>
            </w:pPr>
            <w:r>
              <w:rPr>
                <w:rFonts w:hint="eastAsia"/>
                <w:color w:val="auto"/>
              </w:rPr>
              <w:t>6</w:t>
            </w:r>
          </w:p>
        </w:tc>
        <w:tc>
          <w:tcPr>
            <w:tcW w:w="1140" w:type="dxa"/>
            <w:vAlign w:val="center"/>
          </w:tcPr>
          <w:p w14:paraId="0DBEB2D9">
            <w:pPr>
              <w:pStyle w:val="44"/>
              <w:rPr>
                <w:color w:val="auto"/>
              </w:rPr>
            </w:pPr>
            <w:r>
              <w:rPr>
                <w:color w:val="auto"/>
              </w:rPr>
              <w:t>搅拌机</w:t>
            </w:r>
          </w:p>
        </w:tc>
        <w:tc>
          <w:tcPr>
            <w:tcW w:w="5338" w:type="dxa"/>
            <w:vAlign w:val="center"/>
          </w:tcPr>
          <w:p w14:paraId="41B64C1D">
            <w:pPr>
              <w:pStyle w:val="44"/>
              <w:jc w:val="left"/>
              <w:rPr>
                <w:color w:val="auto"/>
              </w:rPr>
            </w:pPr>
            <w:r>
              <w:rPr>
                <w:rFonts w:hint="eastAsia"/>
                <w:color w:val="auto"/>
              </w:rPr>
              <w:t>1）未</w:t>
            </w:r>
            <w:r>
              <w:rPr>
                <w:color w:val="auto"/>
              </w:rPr>
              <w:t>按规定履行验收程序</w:t>
            </w:r>
            <w:r>
              <w:rPr>
                <w:rFonts w:hint="eastAsia"/>
                <w:color w:val="auto"/>
              </w:rPr>
              <w:t>或未经责任人签字确认扣</w:t>
            </w:r>
            <w:r>
              <w:rPr>
                <w:color w:val="auto"/>
              </w:rPr>
              <w:t>7</w:t>
            </w:r>
            <w:r>
              <w:rPr>
                <w:rFonts w:hint="eastAsia"/>
                <w:color w:val="auto"/>
              </w:rPr>
              <w:t>分</w:t>
            </w:r>
          </w:p>
          <w:p w14:paraId="1EC527EA">
            <w:pPr>
              <w:pStyle w:val="44"/>
              <w:jc w:val="left"/>
              <w:rPr>
                <w:color w:val="auto"/>
              </w:rPr>
            </w:pPr>
            <w:r>
              <w:rPr>
                <w:color w:val="auto"/>
              </w:rPr>
              <w:t>2）</w:t>
            </w:r>
            <w:r>
              <w:rPr>
                <w:rFonts w:hint="eastAsia"/>
                <w:color w:val="auto"/>
              </w:rPr>
              <w:t>未</w:t>
            </w:r>
            <w:r>
              <w:rPr>
                <w:color w:val="auto"/>
              </w:rPr>
              <w:t>单独设置保护零线</w:t>
            </w:r>
            <w:r>
              <w:rPr>
                <w:rFonts w:hint="eastAsia"/>
                <w:color w:val="auto"/>
              </w:rPr>
              <w:t>或未</w:t>
            </w:r>
            <w:r>
              <w:rPr>
                <w:color w:val="auto"/>
              </w:rPr>
              <w:t>安装漏电保护装置</w:t>
            </w:r>
            <w:r>
              <w:rPr>
                <w:rFonts w:hint="eastAsia"/>
                <w:color w:val="auto"/>
              </w:rPr>
              <w:t>，扣</w:t>
            </w:r>
            <w:r>
              <w:rPr>
                <w:color w:val="auto"/>
              </w:rPr>
              <w:t>7</w:t>
            </w:r>
            <w:r>
              <w:rPr>
                <w:rFonts w:hint="eastAsia"/>
                <w:color w:val="auto"/>
              </w:rPr>
              <w:t>分</w:t>
            </w:r>
          </w:p>
          <w:p w14:paraId="688D7C95">
            <w:pPr>
              <w:pStyle w:val="44"/>
              <w:jc w:val="left"/>
              <w:rPr>
                <w:color w:val="auto"/>
              </w:rPr>
            </w:pPr>
            <w:r>
              <w:rPr>
                <w:rFonts w:hint="eastAsia"/>
                <w:color w:val="auto"/>
              </w:rPr>
              <w:t>3）离合器、制动器、钢丝绳未达到规定要求，扣</w:t>
            </w:r>
            <w:r>
              <w:rPr>
                <w:color w:val="auto"/>
              </w:rPr>
              <w:t>7</w:t>
            </w:r>
            <w:r>
              <w:rPr>
                <w:rFonts w:hint="eastAsia"/>
                <w:color w:val="auto"/>
              </w:rPr>
              <w:t>分</w:t>
            </w:r>
          </w:p>
          <w:p w14:paraId="6B00DF44">
            <w:pPr>
              <w:pStyle w:val="44"/>
              <w:jc w:val="left"/>
              <w:rPr>
                <w:color w:val="auto"/>
              </w:rPr>
            </w:pPr>
            <w:r>
              <w:rPr>
                <w:color w:val="auto"/>
              </w:rPr>
              <w:t>4</w:t>
            </w:r>
            <w:r>
              <w:rPr>
                <w:rFonts w:hint="eastAsia"/>
                <w:color w:val="auto"/>
              </w:rPr>
              <w:t>）上料斗未设置安全挂钩或止挡装置，扣</w:t>
            </w:r>
            <w:r>
              <w:rPr>
                <w:color w:val="auto"/>
              </w:rPr>
              <w:t>7</w:t>
            </w:r>
            <w:r>
              <w:rPr>
                <w:rFonts w:hint="eastAsia"/>
                <w:color w:val="auto"/>
              </w:rPr>
              <w:t>分</w:t>
            </w:r>
          </w:p>
          <w:p w14:paraId="19CD0DE6">
            <w:pPr>
              <w:pStyle w:val="44"/>
              <w:jc w:val="left"/>
              <w:rPr>
                <w:color w:val="auto"/>
              </w:rPr>
            </w:pPr>
            <w:r>
              <w:rPr>
                <w:rFonts w:hint="eastAsia"/>
                <w:color w:val="auto"/>
              </w:rPr>
              <w:t>5）</w:t>
            </w:r>
            <w:r>
              <w:rPr>
                <w:color w:val="auto"/>
              </w:rPr>
              <w:t>传动部位</w:t>
            </w:r>
            <w:r>
              <w:rPr>
                <w:rFonts w:hint="eastAsia"/>
                <w:color w:val="auto"/>
              </w:rPr>
              <w:t>未</w:t>
            </w:r>
            <w:r>
              <w:rPr>
                <w:color w:val="auto"/>
              </w:rPr>
              <w:t>设置防护罩</w:t>
            </w:r>
            <w:r>
              <w:rPr>
                <w:rFonts w:hint="eastAsia"/>
                <w:color w:val="auto"/>
              </w:rPr>
              <w:t>，扣5分</w:t>
            </w:r>
          </w:p>
          <w:p w14:paraId="0A0F9FDD">
            <w:pPr>
              <w:pStyle w:val="44"/>
              <w:jc w:val="left"/>
              <w:rPr>
                <w:color w:val="auto"/>
              </w:rPr>
            </w:pPr>
            <w:r>
              <w:rPr>
                <w:color w:val="auto"/>
              </w:rPr>
              <w:t>5）</w:t>
            </w:r>
            <w:r>
              <w:rPr>
                <w:rFonts w:hint="eastAsia"/>
                <w:color w:val="auto"/>
              </w:rPr>
              <w:t>未</w:t>
            </w:r>
            <w:r>
              <w:rPr>
                <w:color w:val="auto"/>
              </w:rPr>
              <w:t>设置作业棚，</w:t>
            </w:r>
            <w:r>
              <w:rPr>
                <w:rFonts w:hint="eastAsia"/>
                <w:color w:val="auto"/>
              </w:rPr>
              <w:t>扣7分；防护棚不符合规定要求，扣4分</w:t>
            </w:r>
          </w:p>
          <w:p w14:paraId="1DE7E384">
            <w:pPr>
              <w:pStyle w:val="44"/>
              <w:jc w:val="left"/>
              <w:rPr>
                <w:color w:val="auto"/>
              </w:rPr>
            </w:pPr>
            <w:r>
              <w:rPr>
                <w:rFonts w:hint="eastAsia"/>
                <w:color w:val="auto"/>
              </w:rPr>
              <w:t>6）作业平台不稳当，扣5分</w:t>
            </w:r>
          </w:p>
          <w:p w14:paraId="1B23042D">
            <w:pPr>
              <w:pStyle w:val="44"/>
              <w:jc w:val="left"/>
              <w:rPr>
                <w:color w:val="auto"/>
              </w:rPr>
            </w:pPr>
            <w:r>
              <w:rPr>
                <w:color w:val="auto"/>
              </w:rPr>
              <w:t>7</w:t>
            </w:r>
            <w:r>
              <w:rPr>
                <w:rFonts w:hint="eastAsia"/>
                <w:color w:val="auto"/>
              </w:rPr>
              <w:t>）未在明显位置应悬挂搅拌机使用操作规程，扣</w:t>
            </w:r>
            <w:r>
              <w:rPr>
                <w:color w:val="auto"/>
              </w:rPr>
              <w:t>5</w:t>
            </w:r>
            <w:r>
              <w:rPr>
                <w:rFonts w:hint="eastAsia"/>
                <w:color w:val="auto"/>
              </w:rPr>
              <w:t>分</w:t>
            </w:r>
          </w:p>
        </w:tc>
        <w:tc>
          <w:tcPr>
            <w:tcW w:w="720" w:type="dxa"/>
            <w:vAlign w:val="center"/>
          </w:tcPr>
          <w:p w14:paraId="50C0E503">
            <w:pPr>
              <w:pStyle w:val="44"/>
              <w:rPr>
                <w:color w:val="auto"/>
              </w:rPr>
            </w:pPr>
            <w:r>
              <w:rPr>
                <w:color w:val="auto"/>
              </w:rPr>
              <w:t>7</w:t>
            </w:r>
          </w:p>
        </w:tc>
        <w:tc>
          <w:tcPr>
            <w:tcW w:w="720" w:type="dxa"/>
            <w:vAlign w:val="center"/>
          </w:tcPr>
          <w:p w14:paraId="2B4E81CB">
            <w:pPr>
              <w:pStyle w:val="44"/>
              <w:rPr>
                <w:color w:val="auto"/>
              </w:rPr>
            </w:pPr>
          </w:p>
        </w:tc>
        <w:tc>
          <w:tcPr>
            <w:tcW w:w="720" w:type="dxa"/>
            <w:vAlign w:val="center"/>
          </w:tcPr>
          <w:p w14:paraId="0F50F569">
            <w:pPr>
              <w:pStyle w:val="44"/>
              <w:rPr>
                <w:color w:val="auto"/>
              </w:rPr>
            </w:pPr>
          </w:p>
        </w:tc>
      </w:tr>
      <w:tr w14:paraId="4F29E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42FA41F">
            <w:pPr>
              <w:pStyle w:val="44"/>
              <w:rPr>
                <w:color w:val="auto"/>
              </w:rPr>
            </w:pPr>
            <w:r>
              <w:rPr>
                <w:rFonts w:hint="eastAsia"/>
                <w:color w:val="auto"/>
              </w:rPr>
              <w:t>7</w:t>
            </w:r>
          </w:p>
        </w:tc>
        <w:tc>
          <w:tcPr>
            <w:tcW w:w="1140" w:type="dxa"/>
            <w:vAlign w:val="center"/>
          </w:tcPr>
          <w:p w14:paraId="12B2F225">
            <w:pPr>
              <w:pStyle w:val="44"/>
              <w:rPr>
                <w:color w:val="auto"/>
              </w:rPr>
            </w:pPr>
            <w:r>
              <w:rPr>
                <w:color w:val="auto"/>
              </w:rPr>
              <w:t>气瓶</w:t>
            </w:r>
          </w:p>
        </w:tc>
        <w:tc>
          <w:tcPr>
            <w:tcW w:w="5338" w:type="dxa"/>
            <w:vAlign w:val="center"/>
          </w:tcPr>
          <w:p w14:paraId="560195ED">
            <w:pPr>
              <w:pStyle w:val="44"/>
              <w:jc w:val="left"/>
              <w:rPr>
                <w:color w:val="auto"/>
              </w:rPr>
            </w:pPr>
            <w:r>
              <w:rPr>
                <w:color w:val="auto"/>
              </w:rPr>
              <w:t>1</w:t>
            </w:r>
            <w:r>
              <w:rPr>
                <w:rFonts w:hint="eastAsia"/>
                <w:color w:val="auto"/>
              </w:rPr>
              <w:t>）未安装减压器、回火防止器或不灵敏，扣</w:t>
            </w:r>
            <w:r>
              <w:rPr>
                <w:color w:val="auto"/>
              </w:rPr>
              <w:t>7</w:t>
            </w:r>
            <w:r>
              <w:rPr>
                <w:rFonts w:hint="eastAsia"/>
                <w:color w:val="auto"/>
              </w:rPr>
              <w:t>分</w:t>
            </w:r>
          </w:p>
          <w:p w14:paraId="5E7B10BC">
            <w:pPr>
              <w:pStyle w:val="44"/>
              <w:jc w:val="left"/>
              <w:rPr>
                <w:color w:val="auto"/>
              </w:rPr>
            </w:pPr>
            <w:r>
              <w:rPr>
                <w:color w:val="auto"/>
              </w:rPr>
              <w:t>2）气瓶</w:t>
            </w:r>
            <w:r>
              <w:rPr>
                <w:rFonts w:hint="eastAsia"/>
                <w:color w:val="auto"/>
              </w:rPr>
              <w:t>未设置</w:t>
            </w:r>
            <w:r>
              <w:rPr>
                <w:color w:val="auto"/>
              </w:rPr>
              <w:t>防震圈、防护帽，</w:t>
            </w:r>
            <w:r>
              <w:rPr>
                <w:rFonts w:hint="eastAsia"/>
                <w:color w:val="auto"/>
              </w:rPr>
              <w:t>未分类存放，扣7分</w:t>
            </w:r>
          </w:p>
          <w:p w14:paraId="7E38D264">
            <w:pPr>
              <w:pStyle w:val="44"/>
              <w:jc w:val="left"/>
              <w:rPr>
                <w:color w:val="auto"/>
              </w:rPr>
            </w:pPr>
            <w:r>
              <w:rPr>
                <w:color w:val="auto"/>
              </w:rPr>
              <w:t>3</w:t>
            </w:r>
            <w:r>
              <w:rPr>
                <w:rFonts w:hint="eastAsia"/>
                <w:color w:val="auto"/>
              </w:rPr>
              <w:t>）乙炔瓶与氧气瓶之间的距离、气瓶与明火之间的距离不符合规定要求，扣</w:t>
            </w:r>
            <w:r>
              <w:rPr>
                <w:color w:val="auto"/>
              </w:rPr>
              <w:t>7</w:t>
            </w:r>
            <w:r>
              <w:rPr>
                <w:rFonts w:hint="eastAsia"/>
                <w:color w:val="auto"/>
              </w:rPr>
              <w:t>分</w:t>
            </w:r>
          </w:p>
          <w:p w14:paraId="0A5F749D">
            <w:pPr>
              <w:pStyle w:val="44"/>
              <w:jc w:val="left"/>
              <w:rPr>
                <w:color w:val="auto"/>
              </w:rPr>
            </w:pPr>
            <w:r>
              <w:rPr>
                <w:color w:val="auto"/>
              </w:rPr>
              <w:t>4</w:t>
            </w:r>
            <w:r>
              <w:rPr>
                <w:rFonts w:hint="eastAsia"/>
                <w:color w:val="auto"/>
              </w:rPr>
              <w:t>）气瓶暴晒或倾倒放置，扣</w:t>
            </w:r>
            <w:r>
              <w:rPr>
                <w:color w:val="auto"/>
              </w:rPr>
              <w:t>5</w:t>
            </w:r>
            <w:r>
              <w:rPr>
                <w:rFonts w:hint="eastAsia"/>
                <w:color w:val="auto"/>
              </w:rPr>
              <w:t>分</w:t>
            </w:r>
          </w:p>
          <w:p w14:paraId="2445558C">
            <w:pPr>
              <w:pStyle w:val="44"/>
              <w:jc w:val="left"/>
              <w:rPr>
                <w:color w:val="auto"/>
              </w:rPr>
            </w:pPr>
            <w:r>
              <w:rPr>
                <w:color w:val="auto"/>
              </w:rPr>
              <w:t>5</w:t>
            </w:r>
            <w:r>
              <w:rPr>
                <w:rFonts w:hint="eastAsia"/>
                <w:color w:val="auto"/>
              </w:rPr>
              <w:t>）同时使用两种气体作业时，未安装单向阀，扣</w:t>
            </w:r>
            <w:r>
              <w:rPr>
                <w:color w:val="auto"/>
              </w:rPr>
              <w:t>7</w:t>
            </w:r>
            <w:r>
              <w:rPr>
                <w:rFonts w:hint="eastAsia"/>
                <w:color w:val="auto"/>
              </w:rPr>
              <w:t>分</w:t>
            </w:r>
          </w:p>
        </w:tc>
        <w:tc>
          <w:tcPr>
            <w:tcW w:w="720" w:type="dxa"/>
            <w:vAlign w:val="center"/>
          </w:tcPr>
          <w:p w14:paraId="7D7CF397">
            <w:pPr>
              <w:pStyle w:val="44"/>
              <w:rPr>
                <w:color w:val="auto"/>
              </w:rPr>
            </w:pPr>
            <w:r>
              <w:rPr>
                <w:rFonts w:hint="eastAsia"/>
                <w:color w:val="auto"/>
              </w:rPr>
              <w:t>7</w:t>
            </w:r>
          </w:p>
        </w:tc>
        <w:tc>
          <w:tcPr>
            <w:tcW w:w="720" w:type="dxa"/>
            <w:vAlign w:val="center"/>
          </w:tcPr>
          <w:p w14:paraId="04A83592">
            <w:pPr>
              <w:pStyle w:val="44"/>
              <w:rPr>
                <w:color w:val="auto"/>
              </w:rPr>
            </w:pPr>
          </w:p>
        </w:tc>
        <w:tc>
          <w:tcPr>
            <w:tcW w:w="720" w:type="dxa"/>
            <w:vAlign w:val="center"/>
          </w:tcPr>
          <w:p w14:paraId="7BFEFCB0">
            <w:pPr>
              <w:pStyle w:val="44"/>
              <w:rPr>
                <w:color w:val="auto"/>
              </w:rPr>
            </w:pPr>
          </w:p>
        </w:tc>
      </w:tr>
      <w:tr w14:paraId="642A9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1BAD89CC">
            <w:pPr>
              <w:pStyle w:val="44"/>
              <w:rPr>
                <w:color w:val="auto"/>
              </w:rPr>
            </w:pPr>
            <w:r>
              <w:rPr>
                <w:rFonts w:hint="eastAsia"/>
                <w:color w:val="auto"/>
              </w:rPr>
              <w:t>8</w:t>
            </w:r>
          </w:p>
        </w:tc>
        <w:tc>
          <w:tcPr>
            <w:tcW w:w="1140" w:type="dxa"/>
            <w:vAlign w:val="center"/>
          </w:tcPr>
          <w:p w14:paraId="64D2994E">
            <w:pPr>
              <w:pStyle w:val="44"/>
              <w:rPr>
                <w:color w:val="auto"/>
              </w:rPr>
            </w:pPr>
            <w:r>
              <w:rPr>
                <w:rFonts w:hint="eastAsia"/>
                <w:color w:val="auto"/>
              </w:rPr>
              <w:t>潜水泵</w:t>
            </w:r>
          </w:p>
        </w:tc>
        <w:tc>
          <w:tcPr>
            <w:tcW w:w="5338" w:type="dxa"/>
            <w:vAlign w:val="center"/>
          </w:tcPr>
          <w:p w14:paraId="11B523A6">
            <w:pPr>
              <w:pStyle w:val="44"/>
              <w:jc w:val="left"/>
              <w:rPr>
                <w:color w:val="auto"/>
              </w:rPr>
            </w:pPr>
            <w:r>
              <w:rPr>
                <w:color w:val="auto"/>
              </w:rPr>
              <w:t>1）</w:t>
            </w:r>
            <w:r>
              <w:rPr>
                <w:rFonts w:hint="eastAsia"/>
                <w:color w:val="auto"/>
              </w:rPr>
              <w:t>未</w:t>
            </w:r>
            <w:r>
              <w:rPr>
                <w:color w:val="auto"/>
              </w:rPr>
              <w:t>单独设置保护零线</w:t>
            </w:r>
            <w:r>
              <w:rPr>
                <w:rFonts w:hint="eastAsia"/>
                <w:color w:val="auto"/>
              </w:rPr>
              <w:t>或未</w:t>
            </w:r>
            <w:r>
              <w:rPr>
                <w:color w:val="auto"/>
              </w:rPr>
              <w:t>安装漏电保护装置</w:t>
            </w:r>
            <w:r>
              <w:rPr>
                <w:rFonts w:hint="eastAsia"/>
                <w:color w:val="auto"/>
              </w:rPr>
              <w:t>，扣7分</w:t>
            </w:r>
          </w:p>
          <w:p w14:paraId="150523ED">
            <w:pPr>
              <w:pStyle w:val="44"/>
              <w:jc w:val="left"/>
              <w:rPr>
                <w:color w:val="auto"/>
              </w:rPr>
            </w:pPr>
            <w:r>
              <w:rPr>
                <w:color w:val="auto"/>
              </w:rPr>
              <w:t>2</w:t>
            </w:r>
            <w:r>
              <w:rPr>
                <w:rFonts w:hint="eastAsia"/>
                <w:color w:val="auto"/>
              </w:rPr>
              <w:t>）负荷线未采用专用防水橡皮电缆，扣</w:t>
            </w:r>
            <w:r>
              <w:rPr>
                <w:color w:val="auto"/>
              </w:rPr>
              <w:t>7</w:t>
            </w:r>
            <w:r>
              <w:rPr>
                <w:rFonts w:hint="eastAsia"/>
                <w:color w:val="auto"/>
              </w:rPr>
              <w:t>分；负荷线每个接头扣</w:t>
            </w:r>
            <w:r>
              <w:rPr>
                <w:color w:val="auto"/>
              </w:rPr>
              <w:t>3</w:t>
            </w:r>
            <w:r>
              <w:rPr>
                <w:rFonts w:hint="eastAsia"/>
                <w:color w:val="auto"/>
              </w:rPr>
              <w:t>分</w:t>
            </w:r>
          </w:p>
        </w:tc>
        <w:tc>
          <w:tcPr>
            <w:tcW w:w="720" w:type="dxa"/>
            <w:vAlign w:val="center"/>
          </w:tcPr>
          <w:p w14:paraId="2F44FDE8">
            <w:pPr>
              <w:pStyle w:val="44"/>
              <w:rPr>
                <w:color w:val="auto"/>
              </w:rPr>
            </w:pPr>
            <w:r>
              <w:rPr>
                <w:rFonts w:hint="eastAsia"/>
                <w:color w:val="auto"/>
              </w:rPr>
              <w:t>7</w:t>
            </w:r>
          </w:p>
        </w:tc>
        <w:tc>
          <w:tcPr>
            <w:tcW w:w="720" w:type="dxa"/>
            <w:vAlign w:val="center"/>
          </w:tcPr>
          <w:p w14:paraId="5C3500C2">
            <w:pPr>
              <w:pStyle w:val="44"/>
              <w:rPr>
                <w:color w:val="auto"/>
              </w:rPr>
            </w:pPr>
          </w:p>
        </w:tc>
        <w:tc>
          <w:tcPr>
            <w:tcW w:w="720" w:type="dxa"/>
            <w:vAlign w:val="center"/>
          </w:tcPr>
          <w:p w14:paraId="2085149D">
            <w:pPr>
              <w:pStyle w:val="44"/>
              <w:rPr>
                <w:color w:val="auto"/>
              </w:rPr>
            </w:pPr>
          </w:p>
        </w:tc>
      </w:tr>
      <w:tr w14:paraId="073A1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33A713A">
            <w:pPr>
              <w:pStyle w:val="44"/>
              <w:rPr>
                <w:color w:val="auto"/>
              </w:rPr>
            </w:pPr>
            <w:r>
              <w:rPr>
                <w:rFonts w:hint="eastAsia"/>
                <w:color w:val="auto"/>
              </w:rPr>
              <w:t>9</w:t>
            </w:r>
          </w:p>
        </w:tc>
        <w:tc>
          <w:tcPr>
            <w:tcW w:w="1140" w:type="dxa"/>
            <w:vAlign w:val="center"/>
          </w:tcPr>
          <w:p w14:paraId="79C6F930">
            <w:pPr>
              <w:pStyle w:val="44"/>
              <w:rPr>
                <w:color w:val="auto"/>
              </w:rPr>
            </w:pPr>
            <w:r>
              <w:rPr>
                <w:color w:val="auto"/>
              </w:rPr>
              <w:t>振捣器</w:t>
            </w:r>
          </w:p>
        </w:tc>
        <w:tc>
          <w:tcPr>
            <w:tcW w:w="5338" w:type="dxa"/>
            <w:vAlign w:val="center"/>
          </w:tcPr>
          <w:p w14:paraId="64FDB417">
            <w:pPr>
              <w:pStyle w:val="44"/>
              <w:jc w:val="left"/>
              <w:rPr>
                <w:color w:val="auto"/>
              </w:rPr>
            </w:pPr>
            <w:r>
              <w:rPr>
                <w:color w:val="auto"/>
              </w:rPr>
              <w:t>1）</w:t>
            </w:r>
            <w:r>
              <w:rPr>
                <w:rFonts w:hint="eastAsia"/>
                <w:color w:val="auto"/>
              </w:rPr>
              <w:t>未</w:t>
            </w:r>
            <w:r>
              <w:rPr>
                <w:color w:val="auto"/>
              </w:rPr>
              <w:t>单独设置保护零线</w:t>
            </w:r>
            <w:r>
              <w:rPr>
                <w:rFonts w:hint="eastAsia"/>
                <w:color w:val="auto"/>
              </w:rPr>
              <w:t>或未</w:t>
            </w:r>
            <w:r>
              <w:rPr>
                <w:color w:val="auto"/>
              </w:rPr>
              <w:t>安装漏电保护装置；</w:t>
            </w:r>
          </w:p>
          <w:p w14:paraId="3E71C179">
            <w:pPr>
              <w:pStyle w:val="44"/>
              <w:jc w:val="left"/>
              <w:rPr>
                <w:color w:val="auto"/>
              </w:rPr>
            </w:pPr>
            <w:r>
              <w:rPr>
                <w:color w:val="auto"/>
              </w:rPr>
              <w:t>2）振捣器作业时</w:t>
            </w:r>
            <w:r>
              <w:rPr>
                <w:rFonts w:hint="eastAsia"/>
                <w:color w:val="auto"/>
              </w:rPr>
              <w:t>未</w:t>
            </w:r>
            <w:r>
              <w:rPr>
                <w:color w:val="auto"/>
              </w:rPr>
              <w:t>使用移动式配电箱</w:t>
            </w:r>
            <w:r>
              <w:rPr>
                <w:rFonts w:hint="eastAsia"/>
                <w:color w:val="auto"/>
              </w:rPr>
              <w:t>，扣7分；</w:t>
            </w:r>
            <w:r>
              <w:rPr>
                <w:color w:val="auto"/>
              </w:rPr>
              <w:t>电缆长度超过30m</w:t>
            </w:r>
            <w:r>
              <w:rPr>
                <w:rFonts w:hint="eastAsia"/>
                <w:color w:val="auto"/>
              </w:rPr>
              <w:t>，扣4分</w:t>
            </w:r>
          </w:p>
          <w:p w14:paraId="294BB0CB">
            <w:pPr>
              <w:pStyle w:val="44"/>
              <w:jc w:val="left"/>
              <w:rPr>
                <w:color w:val="auto"/>
              </w:rPr>
            </w:pPr>
            <w:r>
              <w:rPr>
                <w:rFonts w:hint="eastAsia"/>
                <w:color w:val="auto"/>
              </w:rPr>
              <w:t>3</w:t>
            </w:r>
            <w:r>
              <w:rPr>
                <w:color w:val="auto"/>
              </w:rPr>
              <w:t>）操作人员</w:t>
            </w:r>
            <w:r>
              <w:rPr>
                <w:rFonts w:hint="eastAsia"/>
                <w:color w:val="auto"/>
              </w:rPr>
              <w:t>未</w:t>
            </w:r>
            <w:r>
              <w:rPr>
                <w:color w:val="auto"/>
              </w:rPr>
              <w:t>按规定穿戴绝缘手套、绝缘靴</w:t>
            </w:r>
            <w:r>
              <w:rPr>
                <w:rFonts w:hint="eastAsia"/>
                <w:color w:val="auto"/>
              </w:rPr>
              <w:t>，每一人次扣3分</w:t>
            </w:r>
          </w:p>
        </w:tc>
        <w:tc>
          <w:tcPr>
            <w:tcW w:w="720" w:type="dxa"/>
            <w:vAlign w:val="center"/>
          </w:tcPr>
          <w:p w14:paraId="357CCD10">
            <w:pPr>
              <w:pStyle w:val="44"/>
              <w:rPr>
                <w:color w:val="auto"/>
              </w:rPr>
            </w:pPr>
            <w:r>
              <w:rPr>
                <w:rFonts w:hint="eastAsia"/>
                <w:color w:val="auto"/>
              </w:rPr>
              <w:t>7</w:t>
            </w:r>
          </w:p>
        </w:tc>
        <w:tc>
          <w:tcPr>
            <w:tcW w:w="720" w:type="dxa"/>
            <w:vAlign w:val="center"/>
          </w:tcPr>
          <w:p w14:paraId="37F6BA6E">
            <w:pPr>
              <w:pStyle w:val="44"/>
              <w:rPr>
                <w:color w:val="auto"/>
              </w:rPr>
            </w:pPr>
          </w:p>
        </w:tc>
        <w:tc>
          <w:tcPr>
            <w:tcW w:w="720" w:type="dxa"/>
            <w:vAlign w:val="center"/>
          </w:tcPr>
          <w:p w14:paraId="38AE2263">
            <w:pPr>
              <w:pStyle w:val="44"/>
              <w:rPr>
                <w:color w:val="auto"/>
              </w:rPr>
            </w:pPr>
          </w:p>
        </w:tc>
      </w:tr>
      <w:tr w14:paraId="76402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2666911">
            <w:pPr>
              <w:pStyle w:val="44"/>
              <w:rPr>
                <w:color w:val="auto"/>
              </w:rPr>
            </w:pPr>
            <w:r>
              <w:rPr>
                <w:rFonts w:hint="eastAsia"/>
                <w:color w:val="auto"/>
              </w:rPr>
              <w:t>10</w:t>
            </w:r>
          </w:p>
        </w:tc>
        <w:tc>
          <w:tcPr>
            <w:tcW w:w="1140" w:type="dxa"/>
            <w:vAlign w:val="center"/>
          </w:tcPr>
          <w:p w14:paraId="0DDA8D04">
            <w:pPr>
              <w:pStyle w:val="44"/>
              <w:rPr>
                <w:color w:val="auto"/>
              </w:rPr>
            </w:pPr>
            <w:r>
              <w:rPr>
                <w:color w:val="auto"/>
              </w:rPr>
              <w:t>桩工机械</w:t>
            </w:r>
          </w:p>
        </w:tc>
        <w:tc>
          <w:tcPr>
            <w:tcW w:w="5338" w:type="dxa"/>
            <w:vAlign w:val="center"/>
          </w:tcPr>
          <w:p w14:paraId="27EE0A1F">
            <w:pPr>
              <w:pStyle w:val="44"/>
              <w:jc w:val="left"/>
              <w:rPr>
                <w:color w:val="auto"/>
              </w:rPr>
            </w:pPr>
            <w:r>
              <w:rPr>
                <w:rFonts w:hint="eastAsia"/>
                <w:color w:val="auto"/>
              </w:rPr>
              <w:t>1）未</w:t>
            </w:r>
            <w:r>
              <w:rPr>
                <w:color w:val="auto"/>
              </w:rPr>
              <w:t>按规定履行验收程序</w:t>
            </w:r>
            <w:r>
              <w:rPr>
                <w:rFonts w:hint="eastAsia"/>
                <w:color w:val="auto"/>
              </w:rPr>
              <w:t>或未经责任人签字确认，扣</w:t>
            </w:r>
            <w:r>
              <w:rPr>
                <w:color w:val="auto"/>
              </w:rPr>
              <w:t>8</w:t>
            </w:r>
            <w:r>
              <w:rPr>
                <w:rFonts w:hint="eastAsia"/>
                <w:color w:val="auto"/>
              </w:rPr>
              <w:t>分</w:t>
            </w:r>
          </w:p>
          <w:p w14:paraId="1111044A">
            <w:pPr>
              <w:pStyle w:val="44"/>
              <w:jc w:val="left"/>
              <w:rPr>
                <w:color w:val="auto"/>
              </w:rPr>
            </w:pPr>
            <w:r>
              <w:rPr>
                <w:color w:val="auto"/>
              </w:rPr>
              <w:t>2</w:t>
            </w:r>
            <w:r>
              <w:rPr>
                <w:rFonts w:hint="eastAsia"/>
                <w:color w:val="auto"/>
              </w:rPr>
              <w:t>）未进行安全技术交底或无文字记录，扣</w:t>
            </w:r>
            <w:r>
              <w:rPr>
                <w:color w:val="auto"/>
              </w:rPr>
              <w:t>8</w:t>
            </w:r>
            <w:r>
              <w:rPr>
                <w:rFonts w:hint="eastAsia"/>
                <w:color w:val="auto"/>
              </w:rPr>
              <w:t>分</w:t>
            </w:r>
          </w:p>
          <w:p w14:paraId="750A60F9">
            <w:pPr>
              <w:pStyle w:val="44"/>
              <w:jc w:val="left"/>
              <w:rPr>
                <w:color w:val="auto"/>
              </w:rPr>
            </w:pPr>
            <w:r>
              <w:rPr>
                <w:rFonts w:hint="eastAsia"/>
                <w:color w:val="auto"/>
              </w:rPr>
              <w:t>3</w:t>
            </w:r>
            <w:r>
              <w:rPr>
                <w:color w:val="auto"/>
              </w:rPr>
              <w:t>）</w:t>
            </w:r>
            <w:r>
              <w:rPr>
                <w:rFonts w:hint="eastAsia"/>
                <w:color w:val="auto"/>
              </w:rPr>
              <w:t>未</w:t>
            </w:r>
            <w:r>
              <w:rPr>
                <w:color w:val="auto"/>
              </w:rPr>
              <w:t>按规定安装安全装置</w:t>
            </w:r>
            <w:r>
              <w:rPr>
                <w:rFonts w:hint="eastAsia"/>
                <w:color w:val="auto"/>
              </w:rPr>
              <w:t>或不</w:t>
            </w:r>
            <w:r>
              <w:rPr>
                <w:color w:val="auto"/>
              </w:rPr>
              <w:t>灵敏</w:t>
            </w:r>
            <w:r>
              <w:rPr>
                <w:rFonts w:hint="eastAsia"/>
                <w:color w:val="auto"/>
              </w:rPr>
              <w:t>，扣8分</w:t>
            </w:r>
          </w:p>
          <w:p w14:paraId="6D0A7595">
            <w:pPr>
              <w:pStyle w:val="44"/>
              <w:jc w:val="left"/>
              <w:rPr>
                <w:color w:val="auto"/>
              </w:rPr>
            </w:pPr>
            <w:r>
              <w:rPr>
                <w:color w:val="auto"/>
              </w:rPr>
              <w:t>4</w:t>
            </w:r>
            <w:r>
              <w:rPr>
                <w:rFonts w:hint="eastAsia"/>
                <w:color w:val="auto"/>
              </w:rPr>
              <w:t>）作业区域地面承载力不符合机械说明书要求，扣</w:t>
            </w:r>
            <w:r>
              <w:rPr>
                <w:color w:val="auto"/>
              </w:rPr>
              <w:t>8</w:t>
            </w:r>
            <w:r>
              <w:rPr>
                <w:rFonts w:hint="eastAsia"/>
                <w:color w:val="auto"/>
              </w:rPr>
              <w:t>分</w:t>
            </w:r>
          </w:p>
          <w:p w14:paraId="1DC964A0">
            <w:pPr>
              <w:pStyle w:val="44"/>
              <w:jc w:val="left"/>
              <w:rPr>
                <w:color w:val="auto"/>
              </w:rPr>
            </w:pPr>
            <w:r>
              <w:rPr>
                <w:color w:val="auto"/>
              </w:rPr>
              <w:t>5</w:t>
            </w:r>
            <w:r>
              <w:rPr>
                <w:rFonts w:hint="eastAsia"/>
                <w:color w:val="auto"/>
              </w:rPr>
              <w:t>）桩工机械与输电线路安全距离不符合标准要求，扣</w:t>
            </w:r>
            <w:r>
              <w:rPr>
                <w:color w:val="auto"/>
              </w:rPr>
              <w:t>8</w:t>
            </w:r>
            <w:r>
              <w:rPr>
                <w:rFonts w:hint="eastAsia"/>
                <w:color w:val="auto"/>
              </w:rPr>
              <w:t>分</w:t>
            </w:r>
          </w:p>
          <w:p w14:paraId="7D241643">
            <w:pPr>
              <w:pStyle w:val="44"/>
              <w:jc w:val="left"/>
              <w:rPr>
                <w:color w:val="auto"/>
              </w:rPr>
            </w:pPr>
            <w:r>
              <w:rPr>
                <w:color w:val="auto"/>
              </w:rPr>
              <w:t>6</w:t>
            </w:r>
            <w:r>
              <w:rPr>
                <w:rFonts w:hint="eastAsia"/>
                <w:color w:val="auto"/>
              </w:rPr>
              <w:t>）打桩机未挂设标示牌，扣</w:t>
            </w:r>
            <w:r>
              <w:rPr>
                <w:color w:val="auto"/>
              </w:rPr>
              <w:t>5</w:t>
            </w:r>
            <w:r>
              <w:rPr>
                <w:rFonts w:hint="eastAsia"/>
                <w:color w:val="auto"/>
              </w:rPr>
              <w:t>分；标示牌内容不全面，扣</w:t>
            </w:r>
            <w:r>
              <w:rPr>
                <w:color w:val="auto"/>
              </w:rPr>
              <w:t>3</w:t>
            </w:r>
            <w:r>
              <w:rPr>
                <w:rFonts w:hint="eastAsia"/>
                <w:color w:val="auto"/>
              </w:rPr>
              <w:t>分</w:t>
            </w:r>
          </w:p>
        </w:tc>
        <w:tc>
          <w:tcPr>
            <w:tcW w:w="720" w:type="dxa"/>
            <w:vAlign w:val="center"/>
          </w:tcPr>
          <w:p w14:paraId="6EA9E442">
            <w:pPr>
              <w:pStyle w:val="44"/>
              <w:rPr>
                <w:color w:val="auto"/>
              </w:rPr>
            </w:pPr>
            <w:r>
              <w:rPr>
                <w:color w:val="auto"/>
              </w:rPr>
              <w:t>8</w:t>
            </w:r>
          </w:p>
        </w:tc>
        <w:tc>
          <w:tcPr>
            <w:tcW w:w="720" w:type="dxa"/>
            <w:vAlign w:val="center"/>
          </w:tcPr>
          <w:p w14:paraId="1768118D">
            <w:pPr>
              <w:pStyle w:val="44"/>
              <w:rPr>
                <w:color w:val="auto"/>
              </w:rPr>
            </w:pPr>
          </w:p>
        </w:tc>
        <w:tc>
          <w:tcPr>
            <w:tcW w:w="720" w:type="dxa"/>
            <w:vAlign w:val="center"/>
          </w:tcPr>
          <w:p w14:paraId="4AFB446A">
            <w:pPr>
              <w:pStyle w:val="44"/>
              <w:rPr>
                <w:color w:val="auto"/>
              </w:rPr>
            </w:pPr>
          </w:p>
        </w:tc>
      </w:tr>
      <w:tr w14:paraId="39A10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765FFC6">
            <w:pPr>
              <w:pStyle w:val="44"/>
              <w:rPr>
                <w:color w:val="auto"/>
              </w:rPr>
            </w:pPr>
            <w:r>
              <w:rPr>
                <w:rFonts w:hint="eastAsia"/>
                <w:color w:val="auto"/>
              </w:rPr>
              <w:t>11</w:t>
            </w:r>
          </w:p>
        </w:tc>
        <w:tc>
          <w:tcPr>
            <w:tcW w:w="1140" w:type="dxa"/>
            <w:vAlign w:val="center"/>
          </w:tcPr>
          <w:p w14:paraId="7B12B6D8">
            <w:pPr>
              <w:pStyle w:val="44"/>
              <w:rPr>
                <w:color w:val="auto"/>
              </w:rPr>
            </w:pPr>
            <w:r>
              <w:rPr>
                <w:color w:val="auto"/>
              </w:rPr>
              <w:t>运输车辆</w:t>
            </w:r>
          </w:p>
        </w:tc>
        <w:tc>
          <w:tcPr>
            <w:tcW w:w="5338" w:type="dxa"/>
            <w:vAlign w:val="center"/>
          </w:tcPr>
          <w:p w14:paraId="583CB632">
            <w:pPr>
              <w:pStyle w:val="44"/>
              <w:jc w:val="left"/>
              <w:rPr>
                <w:color w:val="auto"/>
              </w:rPr>
            </w:pPr>
            <w:r>
              <w:rPr>
                <w:color w:val="auto"/>
              </w:rPr>
              <w:t>1</w:t>
            </w:r>
            <w:r>
              <w:rPr>
                <w:rFonts w:hint="eastAsia"/>
                <w:color w:val="auto"/>
              </w:rPr>
              <w:t>）车辆转向、制动和灯光装置不灵敏，扣</w:t>
            </w:r>
            <w:r>
              <w:rPr>
                <w:color w:val="auto"/>
              </w:rPr>
              <w:t>7</w:t>
            </w:r>
            <w:r>
              <w:rPr>
                <w:rFonts w:hint="eastAsia"/>
                <w:color w:val="auto"/>
              </w:rPr>
              <w:t>分</w:t>
            </w:r>
          </w:p>
          <w:p w14:paraId="39D7D21B">
            <w:pPr>
              <w:pStyle w:val="44"/>
              <w:jc w:val="left"/>
              <w:rPr>
                <w:color w:val="auto"/>
              </w:rPr>
            </w:pPr>
            <w:r>
              <w:rPr>
                <w:color w:val="auto"/>
              </w:rPr>
              <w:t>2）运输车辆手续</w:t>
            </w:r>
            <w:r>
              <w:rPr>
                <w:rFonts w:hint="eastAsia"/>
                <w:color w:val="auto"/>
              </w:rPr>
              <w:t>不</w:t>
            </w:r>
            <w:r>
              <w:rPr>
                <w:color w:val="auto"/>
              </w:rPr>
              <w:t>齐全</w:t>
            </w:r>
            <w:r>
              <w:rPr>
                <w:rFonts w:hint="eastAsia"/>
                <w:color w:val="auto"/>
              </w:rPr>
              <w:t>，扣5分</w:t>
            </w:r>
          </w:p>
          <w:p w14:paraId="1971FE6D">
            <w:pPr>
              <w:pStyle w:val="44"/>
              <w:jc w:val="left"/>
              <w:rPr>
                <w:color w:val="auto"/>
              </w:rPr>
            </w:pPr>
            <w:r>
              <w:rPr>
                <w:color w:val="auto"/>
              </w:rPr>
              <w:t>3</w:t>
            </w:r>
            <w:r>
              <w:rPr>
                <w:rFonts w:hint="eastAsia"/>
                <w:color w:val="auto"/>
              </w:rPr>
              <w:t>）司机未经专门培训、无操作证，扣</w:t>
            </w:r>
            <w:r>
              <w:rPr>
                <w:color w:val="auto"/>
              </w:rPr>
              <w:t>7</w:t>
            </w:r>
            <w:r>
              <w:rPr>
                <w:rFonts w:hint="eastAsia"/>
                <w:color w:val="auto"/>
              </w:rPr>
              <w:t>分</w:t>
            </w:r>
          </w:p>
          <w:p w14:paraId="35F52BE0">
            <w:pPr>
              <w:pStyle w:val="44"/>
              <w:jc w:val="left"/>
              <w:rPr>
                <w:color w:val="auto"/>
              </w:rPr>
            </w:pPr>
            <w:r>
              <w:rPr>
                <w:color w:val="auto"/>
              </w:rPr>
              <w:t>4</w:t>
            </w:r>
            <w:r>
              <w:rPr>
                <w:rFonts w:hint="eastAsia"/>
                <w:color w:val="auto"/>
              </w:rPr>
              <w:t>）行车时车斗内载人，扣</w:t>
            </w:r>
            <w:r>
              <w:rPr>
                <w:color w:val="auto"/>
              </w:rPr>
              <w:t>7</w:t>
            </w:r>
            <w:r>
              <w:rPr>
                <w:rFonts w:hint="eastAsia"/>
                <w:color w:val="auto"/>
              </w:rPr>
              <w:t>分</w:t>
            </w:r>
          </w:p>
        </w:tc>
        <w:tc>
          <w:tcPr>
            <w:tcW w:w="720" w:type="dxa"/>
            <w:vAlign w:val="center"/>
          </w:tcPr>
          <w:p w14:paraId="494C1441">
            <w:pPr>
              <w:pStyle w:val="44"/>
              <w:rPr>
                <w:color w:val="auto"/>
              </w:rPr>
            </w:pPr>
            <w:r>
              <w:rPr>
                <w:color w:val="auto"/>
              </w:rPr>
              <w:t>7</w:t>
            </w:r>
          </w:p>
        </w:tc>
        <w:tc>
          <w:tcPr>
            <w:tcW w:w="720" w:type="dxa"/>
            <w:vAlign w:val="center"/>
          </w:tcPr>
          <w:p w14:paraId="7DD3263B">
            <w:pPr>
              <w:pStyle w:val="44"/>
              <w:rPr>
                <w:color w:val="auto"/>
              </w:rPr>
            </w:pPr>
          </w:p>
        </w:tc>
        <w:tc>
          <w:tcPr>
            <w:tcW w:w="720" w:type="dxa"/>
            <w:vAlign w:val="center"/>
          </w:tcPr>
          <w:p w14:paraId="79803381">
            <w:pPr>
              <w:pStyle w:val="44"/>
              <w:rPr>
                <w:color w:val="auto"/>
              </w:rPr>
            </w:pPr>
          </w:p>
        </w:tc>
      </w:tr>
      <w:tr w14:paraId="37334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8BEC707">
            <w:pPr>
              <w:pStyle w:val="44"/>
              <w:rPr>
                <w:color w:val="auto"/>
              </w:rPr>
            </w:pPr>
            <w:r>
              <w:rPr>
                <w:rFonts w:hint="eastAsia"/>
                <w:color w:val="auto"/>
              </w:rPr>
              <w:t>12</w:t>
            </w:r>
          </w:p>
        </w:tc>
        <w:tc>
          <w:tcPr>
            <w:tcW w:w="1140" w:type="dxa"/>
            <w:vAlign w:val="center"/>
          </w:tcPr>
          <w:p w14:paraId="47681C7E">
            <w:pPr>
              <w:pStyle w:val="44"/>
              <w:rPr>
                <w:color w:val="auto"/>
              </w:rPr>
            </w:pPr>
            <w:r>
              <w:rPr>
                <w:rFonts w:hint="eastAsia"/>
                <w:color w:val="auto"/>
              </w:rPr>
              <w:t>空压机</w:t>
            </w:r>
          </w:p>
        </w:tc>
        <w:tc>
          <w:tcPr>
            <w:tcW w:w="5338" w:type="dxa"/>
            <w:vAlign w:val="center"/>
          </w:tcPr>
          <w:p w14:paraId="5F78B2DD">
            <w:pPr>
              <w:pStyle w:val="44"/>
              <w:jc w:val="left"/>
              <w:rPr>
                <w:color w:val="auto"/>
              </w:rPr>
            </w:pPr>
            <w:r>
              <w:rPr>
                <w:color w:val="auto"/>
              </w:rPr>
              <w:t>1</w:t>
            </w:r>
            <w:r>
              <w:rPr>
                <w:rFonts w:hint="eastAsia"/>
                <w:color w:val="auto"/>
              </w:rPr>
              <w:t>）未按规定履行验收程序或未经责任人签字确认，扣</w:t>
            </w:r>
            <w:r>
              <w:rPr>
                <w:color w:val="auto"/>
              </w:rPr>
              <w:t>7</w:t>
            </w:r>
            <w:r>
              <w:rPr>
                <w:rFonts w:hint="eastAsia"/>
                <w:color w:val="auto"/>
              </w:rPr>
              <w:t>分</w:t>
            </w:r>
          </w:p>
          <w:p w14:paraId="7C757F1F">
            <w:pPr>
              <w:pStyle w:val="44"/>
              <w:jc w:val="left"/>
              <w:rPr>
                <w:color w:val="auto"/>
              </w:rPr>
            </w:pPr>
            <w:r>
              <w:rPr>
                <w:color w:val="auto"/>
              </w:rPr>
              <w:t>2</w:t>
            </w:r>
            <w:r>
              <w:rPr>
                <w:rFonts w:hint="eastAsia"/>
                <w:color w:val="auto"/>
              </w:rPr>
              <w:t>）固定式空压机未设置独立站房，扣</w:t>
            </w:r>
            <w:r>
              <w:rPr>
                <w:color w:val="auto"/>
              </w:rPr>
              <w:t>7</w:t>
            </w:r>
            <w:r>
              <w:rPr>
                <w:rFonts w:hint="eastAsia"/>
                <w:color w:val="auto"/>
              </w:rPr>
              <w:t>分</w:t>
            </w:r>
          </w:p>
          <w:p w14:paraId="581D4330">
            <w:pPr>
              <w:pStyle w:val="44"/>
              <w:jc w:val="left"/>
              <w:rPr>
                <w:color w:val="auto"/>
              </w:rPr>
            </w:pPr>
            <w:r>
              <w:rPr>
                <w:color w:val="auto"/>
              </w:rPr>
              <w:t>3</w:t>
            </w:r>
            <w:r>
              <w:rPr>
                <w:rFonts w:hint="eastAsia"/>
                <w:color w:val="auto"/>
              </w:rPr>
              <w:t>）设备基础不平整、坚固，扣</w:t>
            </w:r>
            <w:r>
              <w:rPr>
                <w:color w:val="auto"/>
              </w:rPr>
              <w:t>5</w:t>
            </w:r>
            <w:r>
              <w:rPr>
                <w:rFonts w:hint="eastAsia"/>
                <w:color w:val="auto"/>
              </w:rPr>
              <w:t>分</w:t>
            </w:r>
          </w:p>
          <w:p w14:paraId="3F541A93">
            <w:pPr>
              <w:pStyle w:val="44"/>
              <w:jc w:val="left"/>
              <w:rPr>
                <w:color w:val="auto"/>
              </w:rPr>
            </w:pPr>
            <w:r>
              <w:rPr>
                <w:color w:val="auto"/>
              </w:rPr>
              <w:t>4</w:t>
            </w:r>
            <w:r>
              <w:rPr>
                <w:rFonts w:hint="eastAsia"/>
                <w:color w:val="auto"/>
              </w:rPr>
              <w:t>）电动空压机未作保护接零或未设置漏电保护装置，扣</w:t>
            </w:r>
            <w:r>
              <w:rPr>
                <w:color w:val="auto"/>
              </w:rPr>
              <w:t>7</w:t>
            </w:r>
            <w:r>
              <w:rPr>
                <w:rFonts w:hint="eastAsia"/>
                <w:color w:val="auto"/>
              </w:rPr>
              <w:t>分</w:t>
            </w:r>
          </w:p>
          <w:p w14:paraId="7FD10C9D">
            <w:pPr>
              <w:pStyle w:val="44"/>
              <w:jc w:val="left"/>
              <w:rPr>
                <w:color w:val="auto"/>
              </w:rPr>
            </w:pPr>
            <w:r>
              <w:rPr>
                <w:color w:val="auto"/>
              </w:rPr>
              <w:t>5</w:t>
            </w:r>
            <w:r>
              <w:rPr>
                <w:rFonts w:hint="eastAsia"/>
                <w:color w:val="auto"/>
              </w:rPr>
              <w:t>）空压机传动部位未设置防护罩，扣</w:t>
            </w:r>
            <w:r>
              <w:rPr>
                <w:color w:val="auto"/>
              </w:rPr>
              <w:t>5</w:t>
            </w:r>
            <w:r>
              <w:rPr>
                <w:rFonts w:hint="eastAsia"/>
                <w:color w:val="auto"/>
              </w:rPr>
              <w:t>分</w:t>
            </w:r>
          </w:p>
          <w:p w14:paraId="11558919">
            <w:pPr>
              <w:pStyle w:val="44"/>
              <w:jc w:val="left"/>
              <w:rPr>
                <w:color w:val="auto"/>
              </w:rPr>
            </w:pPr>
            <w:r>
              <w:rPr>
                <w:color w:val="auto"/>
              </w:rPr>
              <w:t>6</w:t>
            </w:r>
            <w:r>
              <w:rPr>
                <w:rFonts w:hint="eastAsia"/>
                <w:color w:val="auto"/>
              </w:rPr>
              <w:t>）空压机未安装压力表、安全阀或不灵敏，扣</w:t>
            </w:r>
            <w:r>
              <w:rPr>
                <w:color w:val="auto"/>
              </w:rPr>
              <w:t>5</w:t>
            </w:r>
            <w:r>
              <w:rPr>
                <w:rFonts w:hint="eastAsia"/>
                <w:color w:val="auto"/>
              </w:rPr>
              <w:t>分</w:t>
            </w:r>
          </w:p>
          <w:p w14:paraId="7A83D514">
            <w:pPr>
              <w:pStyle w:val="44"/>
              <w:jc w:val="left"/>
              <w:rPr>
                <w:color w:val="auto"/>
              </w:rPr>
            </w:pPr>
            <w:r>
              <w:rPr>
                <w:color w:val="auto"/>
              </w:rPr>
              <w:t>7</w:t>
            </w:r>
            <w:r>
              <w:rPr>
                <w:rFonts w:hint="eastAsia"/>
                <w:color w:val="auto"/>
              </w:rPr>
              <w:t>）储气罐有明显锈蚀和损伤，扣</w:t>
            </w:r>
            <w:r>
              <w:rPr>
                <w:color w:val="auto"/>
              </w:rPr>
              <w:t>5</w:t>
            </w:r>
            <w:r>
              <w:rPr>
                <w:rFonts w:hint="eastAsia"/>
                <w:color w:val="auto"/>
              </w:rPr>
              <w:t>分</w:t>
            </w:r>
          </w:p>
          <w:p w14:paraId="3838CFC8">
            <w:pPr>
              <w:pStyle w:val="44"/>
              <w:jc w:val="left"/>
              <w:rPr>
                <w:color w:val="auto"/>
              </w:rPr>
            </w:pPr>
            <w:r>
              <w:rPr>
                <w:color w:val="auto"/>
              </w:rPr>
              <w:t>8</w:t>
            </w:r>
            <w:r>
              <w:rPr>
                <w:rFonts w:hint="eastAsia"/>
                <w:color w:val="auto"/>
              </w:rPr>
              <w:t>）空压机周围无防护栏，扣</w:t>
            </w:r>
            <w:r>
              <w:rPr>
                <w:color w:val="auto"/>
              </w:rPr>
              <w:t>5</w:t>
            </w:r>
            <w:r>
              <w:rPr>
                <w:rFonts w:hint="eastAsia"/>
                <w:color w:val="auto"/>
              </w:rPr>
              <w:t>分</w:t>
            </w:r>
          </w:p>
        </w:tc>
        <w:tc>
          <w:tcPr>
            <w:tcW w:w="720" w:type="dxa"/>
            <w:vAlign w:val="center"/>
          </w:tcPr>
          <w:p w14:paraId="2318F5EE">
            <w:pPr>
              <w:pStyle w:val="44"/>
              <w:rPr>
                <w:color w:val="auto"/>
              </w:rPr>
            </w:pPr>
            <w:r>
              <w:rPr>
                <w:rFonts w:hint="eastAsia"/>
                <w:color w:val="auto"/>
              </w:rPr>
              <w:t>7</w:t>
            </w:r>
          </w:p>
        </w:tc>
        <w:tc>
          <w:tcPr>
            <w:tcW w:w="720" w:type="dxa"/>
            <w:vAlign w:val="center"/>
          </w:tcPr>
          <w:p w14:paraId="4933C5EA">
            <w:pPr>
              <w:pStyle w:val="44"/>
              <w:rPr>
                <w:color w:val="auto"/>
              </w:rPr>
            </w:pPr>
          </w:p>
        </w:tc>
        <w:tc>
          <w:tcPr>
            <w:tcW w:w="720" w:type="dxa"/>
            <w:vAlign w:val="center"/>
          </w:tcPr>
          <w:p w14:paraId="1BE41344">
            <w:pPr>
              <w:pStyle w:val="44"/>
              <w:rPr>
                <w:color w:val="auto"/>
              </w:rPr>
            </w:pPr>
          </w:p>
        </w:tc>
      </w:tr>
      <w:tr w14:paraId="2FC9C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F70F94B">
            <w:pPr>
              <w:pStyle w:val="44"/>
              <w:rPr>
                <w:color w:val="auto"/>
              </w:rPr>
            </w:pPr>
            <w:r>
              <w:rPr>
                <w:rFonts w:hint="eastAsia"/>
                <w:color w:val="auto"/>
              </w:rPr>
              <w:t>13</w:t>
            </w:r>
          </w:p>
        </w:tc>
        <w:tc>
          <w:tcPr>
            <w:tcW w:w="1140" w:type="dxa"/>
            <w:vAlign w:val="center"/>
          </w:tcPr>
          <w:p w14:paraId="6E672BDD">
            <w:pPr>
              <w:pStyle w:val="44"/>
              <w:rPr>
                <w:color w:val="auto"/>
              </w:rPr>
            </w:pPr>
            <w:r>
              <w:rPr>
                <w:rFonts w:hint="eastAsia"/>
                <w:color w:val="auto"/>
              </w:rPr>
              <w:t>预应力张拉机具</w:t>
            </w:r>
          </w:p>
        </w:tc>
        <w:tc>
          <w:tcPr>
            <w:tcW w:w="5338" w:type="dxa"/>
            <w:vAlign w:val="center"/>
          </w:tcPr>
          <w:p w14:paraId="2F908200">
            <w:pPr>
              <w:pStyle w:val="44"/>
              <w:jc w:val="left"/>
              <w:rPr>
                <w:color w:val="auto"/>
              </w:rPr>
            </w:pPr>
            <w:r>
              <w:rPr>
                <w:color w:val="auto"/>
              </w:rPr>
              <w:t>1</w:t>
            </w:r>
            <w:r>
              <w:rPr>
                <w:rFonts w:hint="eastAsia"/>
                <w:color w:val="auto"/>
              </w:rPr>
              <w:t>）张拉机械设备未定期标定校验或无效验记录，扣</w:t>
            </w:r>
            <w:r>
              <w:rPr>
                <w:color w:val="auto"/>
              </w:rPr>
              <w:t>8</w:t>
            </w:r>
            <w:r>
              <w:rPr>
                <w:rFonts w:hint="eastAsia"/>
                <w:color w:val="auto"/>
              </w:rPr>
              <w:t>分</w:t>
            </w:r>
          </w:p>
          <w:p w14:paraId="49C9884D">
            <w:pPr>
              <w:pStyle w:val="44"/>
              <w:jc w:val="left"/>
              <w:rPr>
                <w:color w:val="auto"/>
              </w:rPr>
            </w:pPr>
            <w:r>
              <w:rPr>
                <w:color w:val="auto"/>
              </w:rPr>
              <w:t>2</w:t>
            </w:r>
            <w:r>
              <w:rPr>
                <w:rFonts w:hint="eastAsia"/>
                <w:color w:val="auto"/>
              </w:rPr>
              <w:t>）压力表与千斤顶未按规定配套使用，扣</w:t>
            </w:r>
            <w:r>
              <w:rPr>
                <w:color w:val="auto"/>
              </w:rPr>
              <w:t>5</w:t>
            </w:r>
            <w:r>
              <w:rPr>
                <w:rFonts w:hint="eastAsia"/>
                <w:color w:val="auto"/>
              </w:rPr>
              <w:t>分</w:t>
            </w:r>
          </w:p>
          <w:p w14:paraId="57EB28ED">
            <w:pPr>
              <w:pStyle w:val="44"/>
              <w:jc w:val="left"/>
              <w:rPr>
                <w:color w:val="auto"/>
              </w:rPr>
            </w:pPr>
            <w:r>
              <w:rPr>
                <w:color w:val="auto"/>
              </w:rPr>
              <w:t>3</w:t>
            </w:r>
            <w:r>
              <w:rPr>
                <w:rFonts w:hint="eastAsia"/>
                <w:color w:val="auto"/>
              </w:rPr>
              <w:t>）操作人员未进行培训，扣</w:t>
            </w:r>
            <w:r>
              <w:rPr>
                <w:color w:val="auto"/>
              </w:rPr>
              <w:t>5</w:t>
            </w:r>
            <w:r>
              <w:rPr>
                <w:rFonts w:hint="eastAsia"/>
                <w:color w:val="auto"/>
              </w:rPr>
              <w:t>分</w:t>
            </w:r>
          </w:p>
          <w:p w14:paraId="0F176C7E">
            <w:pPr>
              <w:pStyle w:val="44"/>
              <w:jc w:val="left"/>
              <w:rPr>
                <w:color w:val="auto"/>
              </w:rPr>
            </w:pPr>
            <w:r>
              <w:rPr>
                <w:color w:val="auto"/>
              </w:rPr>
              <w:t>4</w:t>
            </w:r>
            <w:r>
              <w:rPr>
                <w:rFonts w:hint="eastAsia"/>
                <w:color w:val="auto"/>
              </w:rPr>
              <w:t>）张拉时顺梁方向梁端有人员停留，扣</w:t>
            </w:r>
            <w:r>
              <w:rPr>
                <w:color w:val="auto"/>
              </w:rPr>
              <w:t>8</w:t>
            </w:r>
            <w:r>
              <w:rPr>
                <w:rFonts w:hint="eastAsia"/>
                <w:color w:val="auto"/>
              </w:rPr>
              <w:t>分</w:t>
            </w:r>
          </w:p>
          <w:p w14:paraId="0F92D930">
            <w:pPr>
              <w:pStyle w:val="44"/>
              <w:jc w:val="left"/>
              <w:rPr>
                <w:color w:val="auto"/>
              </w:rPr>
            </w:pPr>
            <w:r>
              <w:rPr>
                <w:color w:val="auto"/>
              </w:rPr>
              <w:t>5</w:t>
            </w:r>
            <w:r>
              <w:rPr>
                <w:rFonts w:hint="eastAsia"/>
                <w:color w:val="auto"/>
              </w:rPr>
              <w:t>）未使用砂轮机切割钢绞线，扣</w:t>
            </w:r>
            <w:r>
              <w:rPr>
                <w:color w:val="auto"/>
              </w:rPr>
              <w:t>8</w:t>
            </w:r>
            <w:r>
              <w:rPr>
                <w:rFonts w:hint="eastAsia"/>
                <w:color w:val="auto"/>
              </w:rPr>
              <w:t>分</w:t>
            </w:r>
          </w:p>
          <w:p w14:paraId="1B3DFF49">
            <w:pPr>
              <w:pStyle w:val="44"/>
              <w:jc w:val="left"/>
              <w:rPr>
                <w:color w:val="auto"/>
              </w:rPr>
            </w:pPr>
            <w:r>
              <w:rPr>
                <w:color w:val="auto"/>
              </w:rPr>
              <w:t>6</w:t>
            </w:r>
            <w:r>
              <w:rPr>
                <w:rFonts w:hint="eastAsia"/>
                <w:color w:val="auto"/>
              </w:rPr>
              <w:t>）预应力张拉时，未搭设站立操作人员和张拉设备的操作平台或平台不牢固，扣</w:t>
            </w:r>
            <w:r>
              <w:rPr>
                <w:color w:val="auto"/>
              </w:rPr>
              <w:t>8</w:t>
            </w:r>
            <w:r>
              <w:rPr>
                <w:rFonts w:hint="eastAsia"/>
                <w:color w:val="auto"/>
              </w:rPr>
              <w:t>分</w:t>
            </w:r>
          </w:p>
          <w:p w14:paraId="19DA40BB">
            <w:pPr>
              <w:pStyle w:val="44"/>
              <w:jc w:val="left"/>
              <w:rPr>
                <w:color w:val="auto"/>
              </w:rPr>
            </w:pPr>
            <w:r>
              <w:rPr>
                <w:color w:val="auto"/>
              </w:rPr>
              <w:t>7</w:t>
            </w:r>
            <w:r>
              <w:rPr>
                <w:rFonts w:hint="eastAsia"/>
                <w:color w:val="auto"/>
              </w:rPr>
              <w:t>）张拉钢筋两端的档板设置不符合规定，扣</w:t>
            </w:r>
            <w:r>
              <w:rPr>
                <w:color w:val="auto"/>
              </w:rPr>
              <w:t>3-8</w:t>
            </w:r>
            <w:r>
              <w:rPr>
                <w:rFonts w:hint="eastAsia"/>
                <w:color w:val="auto"/>
              </w:rPr>
              <w:t>分</w:t>
            </w:r>
          </w:p>
          <w:p w14:paraId="22934C0C">
            <w:pPr>
              <w:pStyle w:val="44"/>
              <w:jc w:val="left"/>
              <w:rPr>
                <w:color w:val="auto"/>
              </w:rPr>
            </w:pPr>
            <w:r>
              <w:rPr>
                <w:color w:val="auto"/>
              </w:rPr>
              <w:t>8</w:t>
            </w:r>
            <w:r>
              <w:rPr>
                <w:rFonts w:hint="eastAsia"/>
                <w:color w:val="auto"/>
              </w:rPr>
              <w:t>）预应力张拉区域无明显的安全标志，扣</w:t>
            </w:r>
            <w:r>
              <w:rPr>
                <w:color w:val="auto"/>
              </w:rPr>
              <w:t>5</w:t>
            </w:r>
            <w:r>
              <w:rPr>
                <w:rFonts w:hint="eastAsia"/>
                <w:color w:val="auto"/>
              </w:rPr>
              <w:t>分；非操作人员进入，每人次扣</w:t>
            </w:r>
            <w:r>
              <w:rPr>
                <w:color w:val="auto"/>
              </w:rPr>
              <w:t>3</w:t>
            </w:r>
            <w:r>
              <w:rPr>
                <w:rFonts w:hint="eastAsia"/>
                <w:color w:val="auto"/>
              </w:rPr>
              <w:t>分</w:t>
            </w:r>
          </w:p>
        </w:tc>
        <w:tc>
          <w:tcPr>
            <w:tcW w:w="720" w:type="dxa"/>
            <w:vAlign w:val="center"/>
          </w:tcPr>
          <w:p w14:paraId="56A1FC05">
            <w:pPr>
              <w:pStyle w:val="44"/>
              <w:rPr>
                <w:color w:val="auto"/>
              </w:rPr>
            </w:pPr>
            <w:r>
              <w:rPr>
                <w:rFonts w:hint="eastAsia"/>
                <w:color w:val="auto"/>
              </w:rPr>
              <w:t>8</w:t>
            </w:r>
          </w:p>
        </w:tc>
        <w:tc>
          <w:tcPr>
            <w:tcW w:w="720" w:type="dxa"/>
            <w:vAlign w:val="center"/>
          </w:tcPr>
          <w:p w14:paraId="28046AB3">
            <w:pPr>
              <w:pStyle w:val="44"/>
              <w:rPr>
                <w:color w:val="auto"/>
              </w:rPr>
            </w:pPr>
          </w:p>
        </w:tc>
        <w:tc>
          <w:tcPr>
            <w:tcW w:w="720" w:type="dxa"/>
            <w:vAlign w:val="center"/>
          </w:tcPr>
          <w:p w14:paraId="0D60FEC7">
            <w:pPr>
              <w:pStyle w:val="44"/>
              <w:rPr>
                <w:color w:val="auto"/>
              </w:rPr>
            </w:pPr>
          </w:p>
        </w:tc>
      </w:tr>
      <w:tr w14:paraId="6F23B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7E76A9A">
            <w:pPr>
              <w:pStyle w:val="44"/>
              <w:rPr>
                <w:color w:val="auto"/>
              </w:rPr>
            </w:pPr>
            <w:r>
              <w:rPr>
                <w:rFonts w:hint="eastAsia"/>
                <w:color w:val="auto"/>
              </w:rPr>
              <w:t>14</w:t>
            </w:r>
          </w:p>
        </w:tc>
        <w:tc>
          <w:tcPr>
            <w:tcW w:w="1140" w:type="dxa"/>
            <w:vAlign w:val="center"/>
          </w:tcPr>
          <w:p w14:paraId="275267C2">
            <w:pPr>
              <w:pStyle w:val="44"/>
              <w:rPr>
                <w:color w:val="auto"/>
              </w:rPr>
            </w:pPr>
            <w:r>
              <w:rPr>
                <w:rFonts w:hint="eastAsia"/>
                <w:color w:val="auto"/>
              </w:rPr>
              <w:t>小型起重机具</w:t>
            </w:r>
          </w:p>
        </w:tc>
        <w:tc>
          <w:tcPr>
            <w:tcW w:w="5338" w:type="dxa"/>
            <w:vAlign w:val="center"/>
          </w:tcPr>
          <w:p w14:paraId="6E6579A3">
            <w:pPr>
              <w:pStyle w:val="44"/>
              <w:jc w:val="left"/>
              <w:rPr>
                <w:color w:val="auto"/>
              </w:rPr>
            </w:pPr>
            <w:r>
              <w:rPr>
                <w:color w:val="auto"/>
              </w:rPr>
              <w:t>1</w:t>
            </w:r>
            <w:r>
              <w:rPr>
                <w:rFonts w:hint="eastAsia"/>
                <w:color w:val="auto"/>
              </w:rPr>
              <w:t>）未按规定履行验收程序或未经责任人签字确认，扣</w:t>
            </w:r>
            <w:r>
              <w:rPr>
                <w:color w:val="auto"/>
              </w:rPr>
              <w:t>7</w:t>
            </w:r>
            <w:r>
              <w:rPr>
                <w:rFonts w:hint="eastAsia"/>
                <w:color w:val="auto"/>
              </w:rPr>
              <w:t>分</w:t>
            </w:r>
          </w:p>
          <w:p w14:paraId="2E3A6F5D">
            <w:pPr>
              <w:pStyle w:val="44"/>
              <w:jc w:val="left"/>
              <w:rPr>
                <w:color w:val="auto"/>
              </w:rPr>
            </w:pPr>
            <w:r>
              <w:rPr>
                <w:color w:val="auto"/>
              </w:rPr>
              <w:t>2</w:t>
            </w:r>
            <w:r>
              <w:rPr>
                <w:rFonts w:hint="eastAsia"/>
                <w:color w:val="auto"/>
              </w:rPr>
              <w:t>）电动葫芦未设缓冲器，扣</w:t>
            </w:r>
            <w:r>
              <w:rPr>
                <w:color w:val="auto"/>
              </w:rPr>
              <w:t>7</w:t>
            </w:r>
            <w:r>
              <w:rPr>
                <w:rFonts w:hint="eastAsia"/>
                <w:color w:val="auto"/>
              </w:rPr>
              <w:t>分；两台以上手拉葫芦同时起吊重物，扣</w:t>
            </w:r>
            <w:r>
              <w:rPr>
                <w:color w:val="auto"/>
              </w:rPr>
              <w:t>3-5</w:t>
            </w:r>
            <w:r>
              <w:rPr>
                <w:rFonts w:hint="eastAsia"/>
                <w:color w:val="auto"/>
              </w:rPr>
              <w:t>分</w:t>
            </w:r>
          </w:p>
          <w:p w14:paraId="5EEF2B13">
            <w:pPr>
              <w:pStyle w:val="44"/>
              <w:jc w:val="left"/>
              <w:rPr>
                <w:color w:val="auto"/>
              </w:rPr>
            </w:pPr>
            <w:r>
              <w:rPr>
                <w:color w:val="auto"/>
              </w:rPr>
              <w:t>3</w:t>
            </w:r>
            <w:r>
              <w:rPr>
                <w:rFonts w:hint="eastAsia"/>
                <w:color w:val="auto"/>
              </w:rPr>
              <w:t>）承载机具的基础或载体不牢靠，扣</w:t>
            </w:r>
            <w:r>
              <w:rPr>
                <w:color w:val="auto"/>
              </w:rPr>
              <w:t>7</w:t>
            </w:r>
            <w:r>
              <w:rPr>
                <w:rFonts w:hint="eastAsia"/>
                <w:color w:val="auto"/>
              </w:rPr>
              <w:t>分</w:t>
            </w:r>
          </w:p>
          <w:p w14:paraId="4F59E2D4">
            <w:pPr>
              <w:pStyle w:val="44"/>
              <w:jc w:val="left"/>
              <w:rPr>
                <w:color w:val="auto"/>
              </w:rPr>
            </w:pPr>
            <w:r>
              <w:rPr>
                <w:color w:val="auto"/>
              </w:rPr>
              <w:t>4</w:t>
            </w:r>
            <w:r>
              <w:rPr>
                <w:rFonts w:hint="eastAsia"/>
                <w:color w:val="auto"/>
              </w:rPr>
              <w:t>）滑轮、吊钩、卷筒磨损变形达到报废标准，扣</w:t>
            </w:r>
            <w:r>
              <w:rPr>
                <w:color w:val="auto"/>
              </w:rPr>
              <w:t>7</w:t>
            </w:r>
            <w:r>
              <w:rPr>
                <w:rFonts w:hint="eastAsia"/>
                <w:color w:val="auto"/>
              </w:rPr>
              <w:t>分</w:t>
            </w:r>
          </w:p>
          <w:p w14:paraId="5A03DE9D">
            <w:pPr>
              <w:pStyle w:val="44"/>
              <w:jc w:val="left"/>
              <w:rPr>
                <w:color w:val="auto"/>
              </w:rPr>
            </w:pPr>
            <w:r>
              <w:rPr>
                <w:color w:val="auto"/>
              </w:rPr>
              <w:t>5</w:t>
            </w:r>
            <w:r>
              <w:rPr>
                <w:rFonts w:hint="eastAsia"/>
                <w:color w:val="auto"/>
              </w:rPr>
              <w:t>）钢丝绳磨损、断丝、变形、锈蚀达到报废标准，扣</w:t>
            </w:r>
            <w:r>
              <w:rPr>
                <w:color w:val="auto"/>
              </w:rPr>
              <w:t>7</w:t>
            </w:r>
            <w:r>
              <w:rPr>
                <w:rFonts w:hint="eastAsia"/>
                <w:color w:val="auto"/>
              </w:rPr>
              <w:t>分</w:t>
            </w:r>
          </w:p>
          <w:p w14:paraId="636AD5BD">
            <w:pPr>
              <w:pStyle w:val="44"/>
              <w:jc w:val="left"/>
              <w:rPr>
                <w:color w:val="auto"/>
              </w:rPr>
            </w:pPr>
            <w:r>
              <w:rPr>
                <w:color w:val="auto"/>
              </w:rPr>
              <w:t>6</w:t>
            </w:r>
            <w:r>
              <w:rPr>
                <w:rFonts w:hint="eastAsia"/>
                <w:color w:val="auto"/>
              </w:rPr>
              <w:t>）滑轮、吊钩、卷筒未设置防脱装置，扣</w:t>
            </w:r>
            <w:r>
              <w:rPr>
                <w:color w:val="auto"/>
              </w:rPr>
              <w:t>7</w:t>
            </w:r>
            <w:r>
              <w:rPr>
                <w:rFonts w:hint="eastAsia"/>
                <w:color w:val="auto"/>
              </w:rPr>
              <w:t>分</w:t>
            </w:r>
          </w:p>
        </w:tc>
        <w:tc>
          <w:tcPr>
            <w:tcW w:w="720" w:type="dxa"/>
            <w:vAlign w:val="center"/>
          </w:tcPr>
          <w:p w14:paraId="002D6BE2">
            <w:pPr>
              <w:pStyle w:val="44"/>
              <w:rPr>
                <w:color w:val="auto"/>
              </w:rPr>
            </w:pPr>
            <w:r>
              <w:rPr>
                <w:rFonts w:hint="eastAsia"/>
                <w:color w:val="auto"/>
              </w:rPr>
              <w:t>7</w:t>
            </w:r>
          </w:p>
        </w:tc>
        <w:tc>
          <w:tcPr>
            <w:tcW w:w="720" w:type="dxa"/>
            <w:vAlign w:val="center"/>
          </w:tcPr>
          <w:p w14:paraId="0D6CBA97">
            <w:pPr>
              <w:pStyle w:val="44"/>
              <w:rPr>
                <w:color w:val="auto"/>
              </w:rPr>
            </w:pPr>
          </w:p>
        </w:tc>
        <w:tc>
          <w:tcPr>
            <w:tcW w:w="720" w:type="dxa"/>
            <w:vAlign w:val="center"/>
          </w:tcPr>
          <w:p w14:paraId="19B599C8">
            <w:pPr>
              <w:pStyle w:val="44"/>
              <w:rPr>
                <w:color w:val="auto"/>
              </w:rPr>
            </w:pPr>
          </w:p>
        </w:tc>
      </w:tr>
      <w:tr w14:paraId="50291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017" w:type="dxa"/>
            <w:gridSpan w:val="3"/>
            <w:vAlign w:val="center"/>
          </w:tcPr>
          <w:p w14:paraId="637538DA">
            <w:pPr>
              <w:pStyle w:val="44"/>
              <w:rPr>
                <w:b/>
                <w:bCs w:val="0"/>
                <w:color w:val="auto"/>
              </w:rPr>
            </w:pPr>
            <w:r>
              <w:rPr>
                <w:rFonts w:hint="eastAsia"/>
                <w:b/>
                <w:bCs w:val="0"/>
                <w:color w:val="auto"/>
              </w:rPr>
              <w:t>检查项目合计</w:t>
            </w:r>
          </w:p>
        </w:tc>
        <w:tc>
          <w:tcPr>
            <w:tcW w:w="720" w:type="dxa"/>
            <w:vAlign w:val="center"/>
          </w:tcPr>
          <w:p w14:paraId="6D7202F0">
            <w:pPr>
              <w:pStyle w:val="44"/>
              <w:rPr>
                <w:color w:val="auto"/>
              </w:rPr>
            </w:pPr>
            <w:r>
              <w:rPr>
                <w:rFonts w:hint="eastAsia"/>
                <w:color w:val="auto"/>
              </w:rPr>
              <w:t>100</w:t>
            </w:r>
          </w:p>
        </w:tc>
        <w:tc>
          <w:tcPr>
            <w:tcW w:w="720" w:type="dxa"/>
            <w:vAlign w:val="center"/>
          </w:tcPr>
          <w:p w14:paraId="2C11CFB1">
            <w:pPr>
              <w:pStyle w:val="44"/>
              <w:rPr>
                <w:color w:val="auto"/>
              </w:rPr>
            </w:pPr>
          </w:p>
        </w:tc>
        <w:tc>
          <w:tcPr>
            <w:tcW w:w="720" w:type="dxa"/>
            <w:vAlign w:val="center"/>
          </w:tcPr>
          <w:p w14:paraId="24B4166C">
            <w:pPr>
              <w:pStyle w:val="44"/>
              <w:rPr>
                <w:color w:val="auto"/>
              </w:rPr>
            </w:pPr>
          </w:p>
        </w:tc>
      </w:tr>
    </w:tbl>
    <w:p w14:paraId="60F8A5B2"/>
    <w:p w14:paraId="6C87FD53">
      <w:pPr>
        <w:pStyle w:val="5"/>
      </w:pPr>
      <w:r>
        <w:rPr>
          <w:rFonts w:hint="eastAsia"/>
        </w:rPr>
        <w:br w:type="page"/>
      </w:r>
      <w:bookmarkStart w:id="23" w:name="_Toc14220"/>
      <w:bookmarkStart w:id="24" w:name="_Toc13664"/>
      <w:bookmarkStart w:id="25" w:name="_Toc26350"/>
      <w:r>
        <w:rPr>
          <w:rFonts w:hint="eastAsia"/>
        </w:rPr>
        <w:t>表B.</w:t>
      </w:r>
      <w:r>
        <w:t>6</w:t>
      </w:r>
      <w:r>
        <w:rPr>
          <w:rFonts w:hint="eastAsia"/>
        </w:rPr>
        <w:t xml:space="preserve">  基坑检查</w:t>
      </w:r>
      <w:r>
        <w:t>评分表</w:t>
      </w:r>
      <w:bookmarkEnd w:id="23"/>
      <w:bookmarkEnd w:id="24"/>
      <w:bookmarkEnd w:id="25"/>
    </w:p>
    <w:tbl>
      <w:tblPr>
        <w:tblStyle w:val="19"/>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6A25F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jc w:val="center"/>
        </w:trPr>
        <w:tc>
          <w:tcPr>
            <w:tcW w:w="539" w:type="dxa"/>
            <w:vAlign w:val="center"/>
          </w:tcPr>
          <w:p w14:paraId="5CE22D55">
            <w:pPr>
              <w:pStyle w:val="44"/>
              <w:rPr>
                <w:color w:val="auto"/>
              </w:rPr>
            </w:pPr>
            <w:r>
              <w:rPr>
                <w:rFonts w:hint="eastAsia"/>
                <w:color w:val="auto"/>
              </w:rPr>
              <w:t>序号</w:t>
            </w:r>
          </w:p>
        </w:tc>
        <w:tc>
          <w:tcPr>
            <w:tcW w:w="1441" w:type="dxa"/>
            <w:gridSpan w:val="2"/>
            <w:vAlign w:val="center"/>
          </w:tcPr>
          <w:p w14:paraId="796CA084">
            <w:pPr>
              <w:pStyle w:val="44"/>
              <w:rPr>
                <w:color w:val="auto"/>
              </w:rPr>
            </w:pPr>
            <w:r>
              <w:rPr>
                <w:rFonts w:hint="eastAsia"/>
                <w:color w:val="auto"/>
              </w:rPr>
              <w:t>检查项目</w:t>
            </w:r>
          </w:p>
        </w:tc>
        <w:tc>
          <w:tcPr>
            <w:tcW w:w="5580" w:type="dxa"/>
            <w:vAlign w:val="center"/>
          </w:tcPr>
          <w:p w14:paraId="341E0E97">
            <w:pPr>
              <w:pStyle w:val="44"/>
              <w:rPr>
                <w:color w:val="auto"/>
              </w:rPr>
            </w:pPr>
            <w:r>
              <w:rPr>
                <w:rFonts w:hint="eastAsia"/>
                <w:color w:val="auto"/>
              </w:rPr>
              <w:t>扣 分 标 准</w:t>
            </w:r>
          </w:p>
        </w:tc>
        <w:tc>
          <w:tcPr>
            <w:tcW w:w="720" w:type="dxa"/>
            <w:vAlign w:val="center"/>
          </w:tcPr>
          <w:p w14:paraId="1FB36628">
            <w:pPr>
              <w:pStyle w:val="44"/>
              <w:rPr>
                <w:color w:val="auto"/>
              </w:rPr>
            </w:pPr>
            <w:r>
              <w:rPr>
                <w:rFonts w:hint="eastAsia"/>
                <w:color w:val="auto"/>
              </w:rPr>
              <w:t>应得</w:t>
            </w:r>
          </w:p>
          <w:p w14:paraId="4A7812C3">
            <w:pPr>
              <w:pStyle w:val="44"/>
              <w:rPr>
                <w:color w:val="auto"/>
              </w:rPr>
            </w:pPr>
            <w:r>
              <w:rPr>
                <w:rFonts w:hint="eastAsia"/>
                <w:color w:val="auto"/>
              </w:rPr>
              <w:t>分数</w:t>
            </w:r>
          </w:p>
        </w:tc>
        <w:tc>
          <w:tcPr>
            <w:tcW w:w="720" w:type="dxa"/>
            <w:vAlign w:val="center"/>
          </w:tcPr>
          <w:p w14:paraId="30C7C2C8">
            <w:pPr>
              <w:pStyle w:val="44"/>
              <w:rPr>
                <w:color w:val="auto"/>
              </w:rPr>
            </w:pPr>
            <w:r>
              <w:rPr>
                <w:rFonts w:hint="eastAsia"/>
                <w:color w:val="auto"/>
              </w:rPr>
              <w:t>扣减</w:t>
            </w:r>
          </w:p>
          <w:p w14:paraId="7DC07353">
            <w:pPr>
              <w:pStyle w:val="44"/>
              <w:rPr>
                <w:color w:val="auto"/>
              </w:rPr>
            </w:pPr>
            <w:r>
              <w:rPr>
                <w:rFonts w:hint="eastAsia"/>
                <w:color w:val="auto"/>
              </w:rPr>
              <w:t>分数</w:t>
            </w:r>
          </w:p>
        </w:tc>
        <w:tc>
          <w:tcPr>
            <w:tcW w:w="720" w:type="dxa"/>
            <w:vAlign w:val="center"/>
          </w:tcPr>
          <w:p w14:paraId="52C957E4">
            <w:pPr>
              <w:pStyle w:val="44"/>
              <w:rPr>
                <w:color w:val="auto"/>
              </w:rPr>
            </w:pPr>
            <w:r>
              <w:rPr>
                <w:rFonts w:hint="eastAsia"/>
                <w:color w:val="auto"/>
              </w:rPr>
              <w:t>实得</w:t>
            </w:r>
          </w:p>
          <w:p w14:paraId="0C2611D9">
            <w:pPr>
              <w:pStyle w:val="44"/>
              <w:rPr>
                <w:color w:val="auto"/>
              </w:rPr>
            </w:pPr>
            <w:r>
              <w:rPr>
                <w:rFonts w:hint="eastAsia"/>
                <w:color w:val="auto"/>
              </w:rPr>
              <w:t>分数</w:t>
            </w:r>
          </w:p>
        </w:tc>
      </w:tr>
      <w:tr w14:paraId="41A1C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3F033256">
            <w:pPr>
              <w:pStyle w:val="44"/>
              <w:rPr>
                <w:color w:val="auto"/>
              </w:rPr>
            </w:pPr>
            <w:r>
              <w:rPr>
                <w:rFonts w:hint="eastAsia"/>
                <w:color w:val="auto"/>
              </w:rPr>
              <w:t>1</w:t>
            </w:r>
          </w:p>
        </w:tc>
        <w:tc>
          <w:tcPr>
            <w:tcW w:w="543" w:type="dxa"/>
            <w:vMerge w:val="restart"/>
            <w:vAlign w:val="center"/>
          </w:tcPr>
          <w:p w14:paraId="4DBB5C75">
            <w:pPr>
              <w:pStyle w:val="44"/>
              <w:rPr>
                <w:color w:val="auto"/>
              </w:rPr>
            </w:pPr>
            <w:r>
              <w:rPr>
                <w:rFonts w:hint="eastAsia"/>
                <w:color w:val="auto"/>
              </w:rPr>
              <w:t>保</w:t>
            </w:r>
          </w:p>
          <w:p w14:paraId="6C54C226">
            <w:pPr>
              <w:pStyle w:val="44"/>
              <w:rPr>
                <w:color w:val="auto"/>
              </w:rPr>
            </w:pPr>
            <w:r>
              <w:rPr>
                <w:rFonts w:hint="eastAsia"/>
                <w:color w:val="auto"/>
              </w:rPr>
              <w:t>证</w:t>
            </w:r>
          </w:p>
          <w:p w14:paraId="71783ABC">
            <w:pPr>
              <w:pStyle w:val="44"/>
              <w:rPr>
                <w:color w:val="auto"/>
              </w:rPr>
            </w:pPr>
            <w:r>
              <w:rPr>
                <w:rFonts w:hint="eastAsia"/>
                <w:color w:val="auto"/>
              </w:rPr>
              <w:t>项</w:t>
            </w:r>
          </w:p>
          <w:p w14:paraId="4CBA5444">
            <w:pPr>
              <w:pStyle w:val="44"/>
              <w:rPr>
                <w:color w:val="auto"/>
              </w:rPr>
            </w:pPr>
            <w:r>
              <w:rPr>
                <w:rFonts w:hint="eastAsia"/>
                <w:color w:val="auto"/>
              </w:rPr>
              <w:t>目</w:t>
            </w:r>
          </w:p>
        </w:tc>
        <w:tc>
          <w:tcPr>
            <w:tcW w:w="898" w:type="dxa"/>
            <w:vAlign w:val="center"/>
          </w:tcPr>
          <w:p w14:paraId="09E9F2EF">
            <w:pPr>
              <w:pStyle w:val="44"/>
              <w:rPr>
                <w:color w:val="auto"/>
              </w:rPr>
            </w:pPr>
            <w:r>
              <w:rPr>
                <w:rFonts w:hint="eastAsia"/>
                <w:color w:val="auto"/>
              </w:rPr>
              <w:t>方案与交底</w:t>
            </w:r>
          </w:p>
        </w:tc>
        <w:tc>
          <w:tcPr>
            <w:tcW w:w="5580" w:type="dxa"/>
            <w:vAlign w:val="center"/>
          </w:tcPr>
          <w:p w14:paraId="6B12E153">
            <w:pPr>
              <w:pStyle w:val="44"/>
              <w:jc w:val="left"/>
              <w:rPr>
                <w:color w:val="auto"/>
              </w:rPr>
            </w:pPr>
            <w:bookmarkStart w:id="26" w:name="OLE_LINK3"/>
            <w:bookmarkStart w:id="27" w:name="OLE_LINK4"/>
            <w:r>
              <w:rPr>
                <w:rFonts w:hint="eastAsia"/>
                <w:color w:val="auto"/>
              </w:rPr>
              <w:t>1）未按规定编制专项施工方案，或支护结构未经设计计算，扣</w:t>
            </w:r>
            <w:r>
              <w:rPr>
                <w:color w:val="auto"/>
              </w:rPr>
              <w:t>10</w:t>
            </w:r>
            <w:r>
              <w:rPr>
                <w:rFonts w:hint="eastAsia"/>
                <w:color w:val="auto"/>
              </w:rPr>
              <w:t>分；编制内容不全或无针对性，扣</w:t>
            </w:r>
            <w:r>
              <w:rPr>
                <w:color w:val="auto"/>
              </w:rPr>
              <w:t>2-10</w:t>
            </w:r>
            <w:r>
              <w:rPr>
                <w:rFonts w:hint="eastAsia"/>
                <w:color w:val="auto"/>
              </w:rPr>
              <w:t>分</w:t>
            </w:r>
          </w:p>
          <w:p w14:paraId="27630E41">
            <w:pPr>
              <w:pStyle w:val="44"/>
              <w:jc w:val="left"/>
              <w:rPr>
                <w:color w:val="auto"/>
              </w:rPr>
            </w:pPr>
            <w:r>
              <w:rPr>
                <w:rFonts w:hint="eastAsia"/>
                <w:color w:val="auto"/>
              </w:rPr>
              <w:t>2）未按规定进行审核、审批，扣10分</w:t>
            </w:r>
          </w:p>
          <w:p w14:paraId="2F6E5DC4">
            <w:pPr>
              <w:pStyle w:val="44"/>
              <w:jc w:val="left"/>
              <w:rPr>
                <w:color w:val="auto"/>
              </w:rPr>
            </w:pPr>
            <w:r>
              <w:rPr>
                <w:rFonts w:hint="eastAsia"/>
                <w:color w:val="auto"/>
              </w:rPr>
              <w:t>3）超过一定规模的基坑专项施工方案，未按规定组织专家论证，扣10分</w:t>
            </w:r>
          </w:p>
          <w:p w14:paraId="01B65F1F">
            <w:pPr>
              <w:pStyle w:val="44"/>
              <w:jc w:val="left"/>
              <w:rPr>
                <w:color w:val="auto"/>
              </w:rPr>
            </w:pPr>
            <w:r>
              <w:rPr>
                <w:color w:val="auto"/>
              </w:rPr>
              <w:t>4</w:t>
            </w:r>
            <w:r>
              <w:rPr>
                <w:rFonts w:hint="eastAsia"/>
                <w:color w:val="auto"/>
              </w:rPr>
              <w:t>）专项施工方案实施前，未进行安全技术交底，扣</w:t>
            </w:r>
            <w:r>
              <w:rPr>
                <w:color w:val="auto"/>
              </w:rPr>
              <w:t>10</w:t>
            </w:r>
            <w:r>
              <w:rPr>
                <w:rFonts w:hint="eastAsia"/>
                <w:color w:val="auto"/>
              </w:rPr>
              <w:t>分；交底无针对性或无文字记录，扣</w:t>
            </w:r>
            <w:r>
              <w:rPr>
                <w:color w:val="auto"/>
              </w:rPr>
              <w:t>2-5</w:t>
            </w:r>
            <w:r>
              <w:rPr>
                <w:rFonts w:hint="eastAsia"/>
                <w:color w:val="auto"/>
              </w:rPr>
              <w:t>分</w:t>
            </w:r>
            <w:bookmarkEnd w:id="26"/>
            <w:bookmarkEnd w:id="27"/>
          </w:p>
        </w:tc>
        <w:tc>
          <w:tcPr>
            <w:tcW w:w="720" w:type="dxa"/>
            <w:vAlign w:val="center"/>
          </w:tcPr>
          <w:p w14:paraId="7886486F">
            <w:pPr>
              <w:pStyle w:val="44"/>
              <w:rPr>
                <w:color w:val="auto"/>
              </w:rPr>
            </w:pPr>
            <w:r>
              <w:rPr>
                <w:rFonts w:hint="eastAsia"/>
                <w:color w:val="auto"/>
              </w:rPr>
              <w:t>10</w:t>
            </w:r>
          </w:p>
        </w:tc>
        <w:tc>
          <w:tcPr>
            <w:tcW w:w="720" w:type="dxa"/>
            <w:vAlign w:val="center"/>
          </w:tcPr>
          <w:p w14:paraId="3FE8C51E">
            <w:pPr>
              <w:pStyle w:val="44"/>
              <w:rPr>
                <w:color w:val="auto"/>
              </w:rPr>
            </w:pPr>
          </w:p>
        </w:tc>
        <w:tc>
          <w:tcPr>
            <w:tcW w:w="720" w:type="dxa"/>
            <w:vAlign w:val="center"/>
          </w:tcPr>
          <w:p w14:paraId="64C92165">
            <w:pPr>
              <w:pStyle w:val="44"/>
              <w:rPr>
                <w:color w:val="auto"/>
              </w:rPr>
            </w:pPr>
          </w:p>
        </w:tc>
      </w:tr>
      <w:tr w14:paraId="60FD4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2128610F">
            <w:pPr>
              <w:pStyle w:val="44"/>
              <w:rPr>
                <w:color w:val="auto"/>
              </w:rPr>
            </w:pPr>
            <w:r>
              <w:rPr>
                <w:rFonts w:hint="eastAsia"/>
                <w:color w:val="auto"/>
              </w:rPr>
              <w:t>2</w:t>
            </w:r>
          </w:p>
        </w:tc>
        <w:tc>
          <w:tcPr>
            <w:tcW w:w="543" w:type="dxa"/>
            <w:vMerge w:val="continue"/>
          </w:tcPr>
          <w:p w14:paraId="1298E599">
            <w:pPr>
              <w:pStyle w:val="44"/>
              <w:rPr>
                <w:color w:val="auto"/>
              </w:rPr>
            </w:pPr>
          </w:p>
        </w:tc>
        <w:tc>
          <w:tcPr>
            <w:tcW w:w="898" w:type="dxa"/>
            <w:vAlign w:val="center"/>
          </w:tcPr>
          <w:p w14:paraId="799F8E97">
            <w:pPr>
              <w:pStyle w:val="44"/>
              <w:rPr>
                <w:color w:val="auto"/>
              </w:rPr>
            </w:pPr>
            <w:r>
              <w:rPr>
                <w:rFonts w:hint="eastAsia"/>
                <w:color w:val="auto"/>
              </w:rPr>
              <w:t>降排水</w:t>
            </w:r>
          </w:p>
        </w:tc>
        <w:tc>
          <w:tcPr>
            <w:tcW w:w="5580" w:type="dxa"/>
            <w:vAlign w:val="center"/>
          </w:tcPr>
          <w:p w14:paraId="4F009494">
            <w:pPr>
              <w:pStyle w:val="44"/>
              <w:jc w:val="left"/>
              <w:rPr>
                <w:color w:val="auto"/>
              </w:rPr>
            </w:pPr>
            <w:r>
              <w:rPr>
                <w:rFonts w:hint="eastAsia"/>
                <w:color w:val="auto"/>
              </w:rPr>
              <w:t>1）基坑开挖深度范围内有地下水时未采取有效的降排水措施，扣10分</w:t>
            </w:r>
          </w:p>
          <w:p w14:paraId="1624592D">
            <w:pPr>
              <w:pStyle w:val="44"/>
              <w:jc w:val="left"/>
              <w:rPr>
                <w:color w:val="auto"/>
              </w:rPr>
            </w:pPr>
            <w:r>
              <w:rPr>
                <w:color w:val="auto"/>
              </w:rPr>
              <w:t>2</w:t>
            </w:r>
            <w:r>
              <w:rPr>
                <w:rFonts w:hint="eastAsia"/>
                <w:color w:val="auto"/>
              </w:rPr>
              <w:t>）降水时未采取防止临近建（构）筑沉降的措施，扣</w:t>
            </w:r>
            <w:r>
              <w:rPr>
                <w:color w:val="auto"/>
              </w:rPr>
              <w:t>10</w:t>
            </w:r>
            <w:r>
              <w:rPr>
                <w:rFonts w:hint="eastAsia"/>
                <w:color w:val="auto"/>
              </w:rPr>
              <w:t>分</w:t>
            </w:r>
          </w:p>
          <w:p w14:paraId="484B4127">
            <w:pPr>
              <w:pStyle w:val="44"/>
              <w:jc w:val="left"/>
              <w:rPr>
                <w:color w:val="auto"/>
              </w:rPr>
            </w:pPr>
            <w:r>
              <w:rPr>
                <w:rFonts w:hint="eastAsia"/>
                <w:color w:val="auto"/>
              </w:rPr>
              <w:t>3）基坑边未沿周边地面应设置截、排水沟，或未采取截水、封堵、防倒流等措施，扣3-5分</w:t>
            </w:r>
          </w:p>
          <w:p w14:paraId="335058EC">
            <w:pPr>
              <w:pStyle w:val="44"/>
              <w:jc w:val="left"/>
              <w:rPr>
                <w:color w:val="auto"/>
              </w:rPr>
            </w:pPr>
            <w:r>
              <w:rPr>
                <w:rFonts w:hint="eastAsia"/>
                <w:color w:val="auto"/>
              </w:rPr>
              <w:t>4）放坡开挖时未对坡顶、坡面、坡脚采取降排水措施，扣5-10分</w:t>
            </w:r>
          </w:p>
          <w:p w14:paraId="6821EC61">
            <w:pPr>
              <w:pStyle w:val="44"/>
              <w:jc w:val="left"/>
              <w:rPr>
                <w:color w:val="auto"/>
              </w:rPr>
            </w:pPr>
            <w:r>
              <w:rPr>
                <w:rFonts w:hint="eastAsia"/>
                <w:color w:val="auto"/>
              </w:rPr>
              <w:t>5）基坑底周边未设置排水沟和集水井或排除积水不及时，扣5-8分</w:t>
            </w:r>
          </w:p>
          <w:p w14:paraId="40DB210B">
            <w:pPr>
              <w:pStyle w:val="44"/>
              <w:jc w:val="left"/>
              <w:rPr>
                <w:color w:val="auto"/>
              </w:rPr>
            </w:pPr>
            <w:r>
              <w:rPr>
                <w:color w:val="auto"/>
              </w:rPr>
              <w:t>6</w:t>
            </w:r>
            <w:r>
              <w:rPr>
                <w:rFonts w:hint="eastAsia"/>
                <w:color w:val="auto"/>
              </w:rPr>
              <w:t>）围护结构漏水、漏砂或基坑底积水、涌水或涌砂，每处扣</w:t>
            </w:r>
            <w:r>
              <w:rPr>
                <w:color w:val="auto"/>
              </w:rPr>
              <w:t>2</w:t>
            </w:r>
            <w:r>
              <w:rPr>
                <w:rFonts w:hint="eastAsia"/>
                <w:color w:val="auto"/>
              </w:rPr>
              <w:t>分</w:t>
            </w:r>
          </w:p>
        </w:tc>
        <w:tc>
          <w:tcPr>
            <w:tcW w:w="720" w:type="dxa"/>
            <w:vAlign w:val="center"/>
          </w:tcPr>
          <w:p w14:paraId="1490707E">
            <w:pPr>
              <w:pStyle w:val="44"/>
              <w:rPr>
                <w:color w:val="auto"/>
              </w:rPr>
            </w:pPr>
            <w:r>
              <w:rPr>
                <w:rFonts w:hint="eastAsia"/>
                <w:color w:val="auto"/>
              </w:rPr>
              <w:t>10</w:t>
            </w:r>
          </w:p>
        </w:tc>
        <w:tc>
          <w:tcPr>
            <w:tcW w:w="720" w:type="dxa"/>
            <w:vAlign w:val="center"/>
          </w:tcPr>
          <w:p w14:paraId="1A7A8651">
            <w:pPr>
              <w:pStyle w:val="44"/>
              <w:rPr>
                <w:color w:val="auto"/>
              </w:rPr>
            </w:pPr>
          </w:p>
        </w:tc>
        <w:tc>
          <w:tcPr>
            <w:tcW w:w="720" w:type="dxa"/>
            <w:vAlign w:val="center"/>
          </w:tcPr>
          <w:p w14:paraId="491D660E">
            <w:pPr>
              <w:pStyle w:val="44"/>
              <w:rPr>
                <w:color w:val="auto"/>
              </w:rPr>
            </w:pPr>
          </w:p>
        </w:tc>
      </w:tr>
      <w:tr w14:paraId="0CDA6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3FF5734D">
            <w:pPr>
              <w:pStyle w:val="44"/>
              <w:rPr>
                <w:color w:val="auto"/>
              </w:rPr>
            </w:pPr>
            <w:r>
              <w:rPr>
                <w:rFonts w:hint="eastAsia"/>
                <w:color w:val="auto"/>
              </w:rPr>
              <w:t>3</w:t>
            </w:r>
          </w:p>
        </w:tc>
        <w:tc>
          <w:tcPr>
            <w:tcW w:w="543" w:type="dxa"/>
            <w:vMerge w:val="continue"/>
          </w:tcPr>
          <w:p w14:paraId="40FED41E">
            <w:pPr>
              <w:pStyle w:val="44"/>
              <w:rPr>
                <w:color w:val="auto"/>
              </w:rPr>
            </w:pPr>
          </w:p>
        </w:tc>
        <w:tc>
          <w:tcPr>
            <w:tcW w:w="898" w:type="dxa"/>
            <w:vAlign w:val="center"/>
          </w:tcPr>
          <w:p w14:paraId="523D88FF">
            <w:pPr>
              <w:pStyle w:val="44"/>
              <w:rPr>
                <w:color w:val="auto"/>
              </w:rPr>
            </w:pPr>
            <w:r>
              <w:rPr>
                <w:rFonts w:hint="eastAsia"/>
                <w:color w:val="auto"/>
              </w:rPr>
              <w:t>基坑支护</w:t>
            </w:r>
          </w:p>
        </w:tc>
        <w:tc>
          <w:tcPr>
            <w:tcW w:w="5580" w:type="dxa"/>
            <w:vAlign w:val="center"/>
          </w:tcPr>
          <w:p w14:paraId="32956EA6">
            <w:pPr>
              <w:pStyle w:val="44"/>
              <w:jc w:val="left"/>
              <w:rPr>
                <w:color w:val="auto"/>
              </w:rPr>
            </w:pPr>
            <w:r>
              <w:rPr>
                <w:rFonts w:hint="eastAsia"/>
                <w:color w:val="auto"/>
              </w:rPr>
              <w:t>1）自然边坡的坡率不符合设计和标准要求，扣15分</w:t>
            </w:r>
          </w:p>
          <w:p w14:paraId="652522EC">
            <w:pPr>
              <w:pStyle w:val="44"/>
              <w:jc w:val="left"/>
              <w:rPr>
                <w:color w:val="auto"/>
              </w:rPr>
            </w:pPr>
            <w:r>
              <w:rPr>
                <w:rFonts w:hint="eastAsia"/>
                <w:color w:val="auto"/>
              </w:rPr>
              <w:t>2）不能采取放坡开挖的基坑工程，当开挖深度较大并存在边坡塌方危险时未采取支护措施，扣15分</w:t>
            </w:r>
          </w:p>
          <w:p w14:paraId="0EA92B03">
            <w:pPr>
              <w:pStyle w:val="44"/>
              <w:jc w:val="left"/>
              <w:rPr>
                <w:color w:val="auto"/>
              </w:rPr>
            </w:pPr>
            <w:r>
              <w:rPr>
                <w:rFonts w:hint="eastAsia"/>
                <w:color w:val="auto"/>
              </w:rPr>
              <w:t>3）支护结构不符合设计要求，5-10分</w:t>
            </w:r>
          </w:p>
          <w:p w14:paraId="17D99E8A">
            <w:pPr>
              <w:pStyle w:val="44"/>
              <w:jc w:val="left"/>
              <w:rPr>
                <w:color w:val="auto"/>
              </w:rPr>
            </w:pPr>
            <w:r>
              <w:rPr>
                <w:color w:val="auto"/>
              </w:rPr>
              <w:t>4</w:t>
            </w:r>
            <w:r>
              <w:rPr>
                <w:rFonts w:hint="eastAsia"/>
                <w:color w:val="auto"/>
              </w:rPr>
              <w:t>）支护结构施作不及时，扣</w:t>
            </w:r>
            <w:r>
              <w:rPr>
                <w:color w:val="auto"/>
              </w:rPr>
              <w:t>5-10</w:t>
            </w:r>
            <w:r>
              <w:rPr>
                <w:rFonts w:hint="eastAsia"/>
                <w:color w:val="auto"/>
              </w:rPr>
              <w:t>分</w:t>
            </w:r>
          </w:p>
          <w:p w14:paraId="2FB8A059">
            <w:pPr>
              <w:pStyle w:val="44"/>
              <w:jc w:val="left"/>
              <w:rPr>
                <w:color w:val="auto"/>
              </w:rPr>
            </w:pPr>
            <w:r>
              <w:rPr>
                <w:color w:val="auto"/>
              </w:rPr>
              <w:t>5</w:t>
            </w:r>
            <w:r>
              <w:rPr>
                <w:rFonts w:hint="eastAsia"/>
                <w:color w:val="auto"/>
              </w:rPr>
              <w:t>）钢支撑与围护结构的连接不符合设计和专项施工方案的要求，扣</w:t>
            </w:r>
            <w:r>
              <w:rPr>
                <w:color w:val="auto"/>
              </w:rPr>
              <w:t>5-10</w:t>
            </w:r>
            <w:r>
              <w:rPr>
                <w:rFonts w:hint="eastAsia"/>
                <w:color w:val="auto"/>
              </w:rPr>
              <w:t>分</w:t>
            </w:r>
          </w:p>
          <w:p w14:paraId="6D0D5A0C">
            <w:pPr>
              <w:pStyle w:val="44"/>
              <w:jc w:val="left"/>
              <w:rPr>
                <w:color w:val="auto"/>
              </w:rPr>
            </w:pPr>
            <w:r>
              <w:rPr>
                <w:color w:val="auto"/>
              </w:rPr>
              <w:t>6</w:t>
            </w:r>
            <w:r>
              <w:rPr>
                <w:rFonts w:hint="eastAsia"/>
                <w:color w:val="auto"/>
              </w:rPr>
              <w:t>）钢支撑预应力施加不符合设计和专项施工方案的要求，扣</w:t>
            </w:r>
            <w:r>
              <w:rPr>
                <w:color w:val="auto"/>
              </w:rPr>
              <w:t>5-10</w:t>
            </w:r>
            <w:r>
              <w:rPr>
                <w:rFonts w:hint="eastAsia"/>
                <w:color w:val="auto"/>
              </w:rPr>
              <w:t>分</w:t>
            </w:r>
          </w:p>
          <w:p w14:paraId="2A57FCBB">
            <w:pPr>
              <w:pStyle w:val="44"/>
              <w:jc w:val="left"/>
              <w:rPr>
                <w:color w:val="auto"/>
              </w:rPr>
            </w:pPr>
            <w:r>
              <w:rPr>
                <w:color w:val="auto"/>
              </w:rPr>
              <w:t>7</w:t>
            </w:r>
            <w:r>
              <w:rPr>
                <w:rFonts w:hint="eastAsia"/>
                <w:color w:val="auto"/>
              </w:rPr>
              <w:t>）钢支撑吊装就位时，吊车及钢支撑下方站人，或钢支撑未采取有效的防坠落措施，扣</w:t>
            </w:r>
            <w:r>
              <w:rPr>
                <w:color w:val="auto"/>
              </w:rPr>
              <w:t>10</w:t>
            </w:r>
            <w:r>
              <w:rPr>
                <w:rFonts w:hint="eastAsia"/>
                <w:color w:val="auto"/>
              </w:rPr>
              <w:t>分</w:t>
            </w:r>
          </w:p>
          <w:p w14:paraId="6EEDB4AB">
            <w:pPr>
              <w:pStyle w:val="44"/>
              <w:jc w:val="left"/>
              <w:rPr>
                <w:color w:val="auto"/>
              </w:rPr>
            </w:pPr>
            <w:r>
              <w:rPr>
                <w:color w:val="auto"/>
              </w:rPr>
              <w:t>8</w:t>
            </w:r>
            <w:r>
              <w:rPr>
                <w:rFonts w:hint="eastAsia"/>
                <w:color w:val="auto"/>
              </w:rPr>
              <w:t>）喷射混凝土的喷嘴面对有人方向，扣</w:t>
            </w:r>
            <w:r>
              <w:rPr>
                <w:color w:val="auto"/>
              </w:rPr>
              <w:t>10</w:t>
            </w:r>
            <w:r>
              <w:rPr>
                <w:rFonts w:hint="eastAsia"/>
                <w:color w:val="auto"/>
              </w:rPr>
              <w:t>分</w:t>
            </w:r>
          </w:p>
          <w:p w14:paraId="37ACADB3">
            <w:pPr>
              <w:pStyle w:val="44"/>
              <w:jc w:val="left"/>
              <w:rPr>
                <w:color w:val="auto"/>
              </w:rPr>
            </w:pPr>
            <w:r>
              <w:rPr>
                <w:color w:val="auto"/>
              </w:rPr>
              <w:t xml:space="preserve">9) </w:t>
            </w:r>
            <w:r>
              <w:rPr>
                <w:rFonts w:hint="eastAsia"/>
                <w:color w:val="auto"/>
              </w:rPr>
              <w:t>锚杆（索）未按设计和标准要求进行基本试验和验收试验，扣</w:t>
            </w:r>
            <w:r>
              <w:rPr>
                <w:color w:val="auto"/>
              </w:rPr>
              <w:t>10</w:t>
            </w:r>
            <w:r>
              <w:rPr>
                <w:rFonts w:hint="eastAsia"/>
                <w:color w:val="auto"/>
              </w:rPr>
              <w:t>分</w:t>
            </w:r>
          </w:p>
          <w:p w14:paraId="2736123E">
            <w:pPr>
              <w:pStyle w:val="44"/>
              <w:jc w:val="left"/>
              <w:rPr>
                <w:color w:val="auto"/>
              </w:rPr>
            </w:pPr>
            <w:r>
              <w:rPr>
                <w:color w:val="auto"/>
              </w:rPr>
              <w:t>10</w:t>
            </w:r>
            <w:r>
              <w:rPr>
                <w:rFonts w:hint="eastAsia"/>
                <w:color w:val="auto"/>
              </w:rPr>
              <w:t>）支护结构的水平位移达到设计报警值时未采取有效控制措时，扣</w:t>
            </w:r>
            <w:r>
              <w:rPr>
                <w:color w:val="auto"/>
              </w:rPr>
              <w:t>10</w:t>
            </w:r>
            <w:r>
              <w:rPr>
                <w:rFonts w:hint="eastAsia"/>
                <w:color w:val="auto"/>
              </w:rPr>
              <w:t>分</w:t>
            </w:r>
          </w:p>
        </w:tc>
        <w:tc>
          <w:tcPr>
            <w:tcW w:w="720" w:type="dxa"/>
            <w:vAlign w:val="center"/>
          </w:tcPr>
          <w:p w14:paraId="0CFDA4E5">
            <w:pPr>
              <w:pStyle w:val="44"/>
              <w:rPr>
                <w:color w:val="auto"/>
              </w:rPr>
            </w:pPr>
            <w:r>
              <w:rPr>
                <w:rFonts w:hint="eastAsia"/>
                <w:color w:val="auto"/>
              </w:rPr>
              <w:t>15</w:t>
            </w:r>
          </w:p>
        </w:tc>
        <w:tc>
          <w:tcPr>
            <w:tcW w:w="720" w:type="dxa"/>
            <w:vAlign w:val="center"/>
          </w:tcPr>
          <w:p w14:paraId="3B3B275B">
            <w:pPr>
              <w:pStyle w:val="44"/>
              <w:rPr>
                <w:color w:val="auto"/>
              </w:rPr>
            </w:pPr>
          </w:p>
        </w:tc>
        <w:tc>
          <w:tcPr>
            <w:tcW w:w="720" w:type="dxa"/>
            <w:vAlign w:val="center"/>
          </w:tcPr>
          <w:p w14:paraId="2F3B4802">
            <w:pPr>
              <w:pStyle w:val="44"/>
              <w:rPr>
                <w:color w:val="auto"/>
              </w:rPr>
            </w:pPr>
          </w:p>
        </w:tc>
      </w:tr>
      <w:tr w14:paraId="335CF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4F93C05">
            <w:pPr>
              <w:pStyle w:val="44"/>
              <w:rPr>
                <w:color w:val="auto"/>
              </w:rPr>
            </w:pPr>
            <w:r>
              <w:rPr>
                <w:rFonts w:hint="eastAsia"/>
                <w:color w:val="auto"/>
              </w:rPr>
              <w:t>4</w:t>
            </w:r>
          </w:p>
        </w:tc>
        <w:tc>
          <w:tcPr>
            <w:tcW w:w="543" w:type="dxa"/>
            <w:vMerge w:val="continue"/>
          </w:tcPr>
          <w:p w14:paraId="3AC285B5">
            <w:pPr>
              <w:pStyle w:val="44"/>
              <w:rPr>
                <w:color w:val="auto"/>
              </w:rPr>
            </w:pPr>
          </w:p>
        </w:tc>
        <w:tc>
          <w:tcPr>
            <w:tcW w:w="898" w:type="dxa"/>
            <w:vAlign w:val="center"/>
          </w:tcPr>
          <w:p w14:paraId="518ABD3A">
            <w:pPr>
              <w:pStyle w:val="44"/>
              <w:rPr>
                <w:color w:val="auto"/>
              </w:rPr>
            </w:pPr>
            <w:r>
              <w:rPr>
                <w:rFonts w:hint="eastAsia"/>
                <w:color w:val="auto"/>
              </w:rPr>
              <w:t>基坑开挖</w:t>
            </w:r>
          </w:p>
        </w:tc>
        <w:tc>
          <w:tcPr>
            <w:tcW w:w="5580" w:type="dxa"/>
            <w:vAlign w:val="center"/>
          </w:tcPr>
          <w:p w14:paraId="546EA29D">
            <w:pPr>
              <w:pStyle w:val="44"/>
              <w:jc w:val="left"/>
              <w:rPr>
                <w:color w:val="auto"/>
              </w:rPr>
            </w:pPr>
            <w:r>
              <w:rPr>
                <w:rFonts w:hint="eastAsia"/>
                <w:color w:val="auto"/>
              </w:rPr>
              <w:t>1）支护结构未达到设计要求提前开挖下层土方，扣15分</w:t>
            </w:r>
          </w:p>
          <w:p w14:paraId="759C4E3E">
            <w:pPr>
              <w:pStyle w:val="44"/>
              <w:jc w:val="left"/>
              <w:rPr>
                <w:color w:val="auto"/>
              </w:rPr>
            </w:pPr>
            <w:r>
              <w:rPr>
                <w:rFonts w:hint="eastAsia"/>
                <w:color w:val="auto"/>
              </w:rPr>
              <w:t>2）未按设计和专项施工方案的要求分层、分段、限时、限高开挖或开挖不均衡、对称，扣15分</w:t>
            </w:r>
          </w:p>
          <w:p w14:paraId="78B8CCBD">
            <w:pPr>
              <w:pStyle w:val="44"/>
              <w:jc w:val="left"/>
              <w:rPr>
                <w:color w:val="auto"/>
              </w:rPr>
            </w:pPr>
            <w:r>
              <w:rPr>
                <w:rFonts w:hint="eastAsia"/>
                <w:color w:val="auto"/>
              </w:rPr>
              <w:t>3）基坑开挖过程中未采取防止碰撞支护结构或工程桩的有效措施，扣10分</w:t>
            </w:r>
          </w:p>
          <w:p w14:paraId="5ECBED52">
            <w:pPr>
              <w:pStyle w:val="44"/>
              <w:jc w:val="left"/>
              <w:rPr>
                <w:color w:val="auto"/>
              </w:rPr>
            </w:pPr>
            <w:r>
              <w:rPr>
                <w:color w:val="auto"/>
              </w:rPr>
              <w:t>4</w:t>
            </w:r>
            <w:r>
              <w:rPr>
                <w:rFonts w:hint="eastAsia"/>
                <w:color w:val="auto"/>
              </w:rPr>
              <w:t>）挖土机械、运输车辆进入基坑的坡道的坡度大于</w:t>
            </w:r>
            <w:r>
              <w:rPr>
                <w:color w:val="auto"/>
              </w:rPr>
              <w:t>1:7</w:t>
            </w:r>
            <w:r>
              <w:rPr>
                <w:rFonts w:hint="eastAsia"/>
                <w:color w:val="auto"/>
              </w:rPr>
              <w:t>或宽度不满足行车要求，扣</w:t>
            </w:r>
            <w:r>
              <w:rPr>
                <w:color w:val="auto"/>
              </w:rPr>
              <w:t>5-10</w:t>
            </w:r>
            <w:r>
              <w:rPr>
                <w:rFonts w:hint="eastAsia"/>
                <w:color w:val="auto"/>
              </w:rPr>
              <w:t>分</w:t>
            </w:r>
          </w:p>
          <w:p w14:paraId="4B471F52">
            <w:pPr>
              <w:pStyle w:val="44"/>
              <w:jc w:val="left"/>
              <w:rPr>
                <w:color w:val="auto"/>
              </w:rPr>
            </w:pPr>
            <w:r>
              <w:rPr>
                <w:color w:val="auto"/>
              </w:rPr>
              <w:t>5</w:t>
            </w:r>
            <w:r>
              <w:rPr>
                <w:rFonts w:hint="eastAsia"/>
                <w:color w:val="auto"/>
              </w:rPr>
              <w:t>）机械操作人员未取得作业资格证书，扣</w:t>
            </w:r>
            <w:r>
              <w:rPr>
                <w:color w:val="auto"/>
              </w:rPr>
              <w:t>5-8</w:t>
            </w:r>
            <w:r>
              <w:rPr>
                <w:rFonts w:hint="eastAsia"/>
                <w:color w:val="auto"/>
              </w:rPr>
              <w:t>分</w:t>
            </w:r>
          </w:p>
          <w:p w14:paraId="37054949">
            <w:pPr>
              <w:pStyle w:val="44"/>
              <w:jc w:val="left"/>
              <w:rPr>
                <w:color w:val="auto"/>
              </w:rPr>
            </w:pPr>
            <w:r>
              <w:rPr>
                <w:rFonts w:hint="eastAsia"/>
                <w:color w:val="auto"/>
              </w:rPr>
              <w:t>6）机械在软土场地作业，未采取铺设渣土、砂石等硬化措施，扣10分</w:t>
            </w:r>
          </w:p>
          <w:p w14:paraId="4B232B2A">
            <w:pPr>
              <w:pStyle w:val="44"/>
              <w:jc w:val="left"/>
              <w:rPr>
                <w:color w:val="auto"/>
              </w:rPr>
            </w:pPr>
            <w:r>
              <w:rPr>
                <w:color w:val="auto"/>
              </w:rPr>
              <w:t>7</w:t>
            </w:r>
            <w:r>
              <w:rPr>
                <w:rFonts w:hint="eastAsia"/>
                <w:color w:val="auto"/>
              </w:rPr>
              <w:t>）挖土机械在水平支撑上方进行挖土作业，或挖土机械在支撑上部行走时未按标准要求采取铺垫措施，扣</w:t>
            </w:r>
            <w:r>
              <w:rPr>
                <w:color w:val="auto"/>
              </w:rPr>
              <w:t>10</w:t>
            </w:r>
            <w:r>
              <w:rPr>
                <w:rFonts w:hint="eastAsia"/>
                <w:color w:val="auto"/>
              </w:rPr>
              <w:t>分</w:t>
            </w:r>
          </w:p>
          <w:p w14:paraId="6B338DEB">
            <w:pPr>
              <w:pStyle w:val="44"/>
              <w:jc w:val="left"/>
              <w:rPr>
                <w:color w:val="auto"/>
              </w:rPr>
            </w:pPr>
            <w:r>
              <w:rPr>
                <w:color w:val="auto"/>
              </w:rPr>
              <w:t>8</w:t>
            </w:r>
            <w:r>
              <w:rPr>
                <w:rFonts w:hint="eastAsia"/>
                <w:color w:val="auto"/>
              </w:rPr>
              <w:t>）未根据基坑及周边环境的监测数据及时调整开挖的施工顺序和施工方法，扣</w:t>
            </w:r>
            <w:r>
              <w:rPr>
                <w:color w:val="auto"/>
              </w:rPr>
              <w:t>2-5</w:t>
            </w:r>
            <w:r>
              <w:rPr>
                <w:rFonts w:hint="eastAsia"/>
                <w:color w:val="auto"/>
              </w:rPr>
              <w:t>分</w:t>
            </w:r>
          </w:p>
        </w:tc>
        <w:tc>
          <w:tcPr>
            <w:tcW w:w="720" w:type="dxa"/>
            <w:vAlign w:val="center"/>
          </w:tcPr>
          <w:p w14:paraId="5A21B362">
            <w:pPr>
              <w:pStyle w:val="44"/>
              <w:rPr>
                <w:color w:val="auto"/>
              </w:rPr>
            </w:pPr>
            <w:r>
              <w:rPr>
                <w:rFonts w:hint="eastAsia"/>
                <w:color w:val="auto"/>
              </w:rPr>
              <w:t>15</w:t>
            </w:r>
          </w:p>
        </w:tc>
        <w:tc>
          <w:tcPr>
            <w:tcW w:w="720" w:type="dxa"/>
            <w:vAlign w:val="center"/>
          </w:tcPr>
          <w:p w14:paraId="3B8BCBAA">
            <w:pPr>
              <w:pStyle w:val="44"/>
              <w:rPr>
                <w:color w:val="auto"/>
              </w:rPr>
            </w:pPr>
          </w:p>
        </w:tc>
        <w:tc>
          <w:tcPr>
            <w:tcW w:w="720" w:type="dxa"/>
            <w:vAlign w:val="center"/>
          </w:tcPr>
          <w:p w14:paraId="19586A23">
            <w:pPr>
              <w:pStyle w:val="44"/>
              <w:rPr>
                <w:color w:val="auto"/>
              </w:rPr>
            </w:pPr>
          </w:p>
        </w:tc>
      </w:tr>
      <w:tr w14:paraId="6A8E3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56728A6A">
            <w:pPr>
              <w:pStyle w:val="44"/>
              <w:rPr>
                <w:color w:val="auto"/>
              </w:rPr>
            </w:pPr>
            <w:r>
              <w:rPr>
                <w:rFonts w:hint="eastAsia"/>
                <w:color w:val="auto"/>
              </w:rPr>
              <w:t>5</w:t>
            </w:r>
          </w:p>
        </w:tc>
        <w:tc>
          <w:tcPr>
            <w:tcW w:w="543" w:type="dxa"/>
            <w:vMerge w:val="continue"/>
          </w:tcPr>
          <w:p w14:paraId="7A4EAABB">
            <w:pPr>
              <w:pStyle w:val="44"/>
              <w:rPr>
                <w:color w:val="auto"/>
              </w:rPr>
            </w:pPr>
          </w:p>
        </w:tc>
        <w:tc>
          <w:tcPr>
            <w:tcW w:w="898" w:type="dxa"/>
            <w:vAlign w:val="center"/>
          </w:tcPr>
          <w:p w14:paraId="40FA083C">
            <w:pPr>
              <w:pStyle w:val="44"/>
              <w:rPr>
                <w:color w:val="auto"/>
              </w:rPr>
            </w:pPr>
            <w:r>
              <w:rPr>
                <w:rFonts w:hint="eastAsia"/>
                <w:color w:val="auto"/>
              </w:rPr>
              <w:t>施工荷载</w:t>
            </w:r>
          </w:p>
        </w:tc>
        <w:tc>
          <w:tcPr>
            <w:tcW w:w="5580" w:type="dxa"/>
            <w:vAlign w:val="center"/>
          </w:tcPr>
          <w:p w14:paraId="3784A0AC">
            <w:pPr>
              <w:pStyle w:val="44"/>
              <w:jc w:val="left"/>
              <w:rPr>
                <w:color w:val="auto"/>
              </w:rPr>
            </w:pPr>
            <w:r>
              <w:rPr>
                <w:rFonts w:hint="eastAsia"/>
                <w:color w:val="auto"/>
              </w:rPr>
              <w:t>1）弃土、料具堆放距坑（槽）边距离小于设计规定或小于1m，扣5～8分</w:t>
            </w:r>
          </w:p>
          <w:p w14:paraId="13C1DA85">
            <w:pPr>
              <w:pStyle w:val="44"/>
              <w:jc w:val="left"/>
              <w:rPr>
                <w:color w:val="auto"/>
              </w:rPr>
            </w:pPr>
            <w:r>
              <w:rPr>
                <w:rFonts w:hint="eastAsia"/>
                <w:color w:val="auto"/>
              </w:rPr>
              <w:t>2）基坑周边堆载超过基坑支护设计允许要求，扣10分</w:t>
            </w:r>
          </w:p>
          <w:p w14:paraId="6FAE0DB9">
            <w:pPr>
              <w:pStyle w:val="44"/>
              <w:jc w:val="left"/>
              <w:rPr>
                <w:color w:val="auto"/>
              </w:rPr>
            </w:pPr>
            <w:r>
              <w:rPr>
                <w:color w:val="auto"/>
              </w:rPr>
              <w:t>3</w:t>
            </w:r>
            <w:r>
              <w:rPr>
                <w:rFonts w:hint="eastAsia"/>
                <w:color w:val="auto"/>
              </w:rPr>
              <w:t>）机械设备施工与坑边距离不符合设计要求且未采取加固措施，扣</w:t>
            </w:r>
            <w:r>
              <w:rPr>
                <w:color w:val="auto"/>
              </w:rPr>
              <w:t>10</w:t>
            </w:r>
            <w:r>
              <w:rPr>
                <w:rFonts w:hint="eastAsia"/>
                <w:color w:val="auto"/>
              </w:rPr>
              <w:t>分</w:t>
            </w:r>
          </w:p>
          <w:p w14:paraId="29778BA9">
            <w:pPr>
              <w:pStyle w:val="44"/>
              <w:jc w:val="left"/>
              <w:rPr>
                <w:color w:val="auto"/>
              </w:rPr>
            </w:pPr>
            <w:r>
              <w:rPr>
                <w:color w:val="auto"/>
              </w:rPr>
              <w:t>4</w:t>
            </w:r>
            <w:r>
              <w:rPr>
                <w:rFonts w:hint="eastAsia"/>
                <w:color w:val="auto"/>
              </w:rPr>
              <w:t>）当利用支撑兼作施工作业平台或栈桥时，上部机械设备的荷载超过设计允许范围，扣</w:t>
            </w:r>
            <w:r>
              <w:rPr>
                <w:color w:val="auto"/>
              </w:rPr>
              <w:t>10</w:t>
            </w:r>
            <w:r>
              <w:rPr>
                <w:rFonts w:hint="eastAsia"/>
                <w:color w:val="auto"/>
              </w:rPr>
              <w:t>分</w:t>
            </w:r>
          </w:p>
        </w:tc>
        <w:tc>
          <w:tcPr>
            <w:tcW w:w="720" w:type="dxa"/>
            <w:vAlign w:val="center"/>
          </w:tcPr>
          <w:p w14:paraId="4A181142">
            <w:pPr>
              <w:pStyle w:val="44"/>
              <w:rPr>
                <w:color w:val="auto"/>
              </w:rPr>
            </w:pPr>
            <w:r>
              <w:rPr>
                <w:rFonts w:hint="eastAsia"/>
                <w:color w:val="auto"/>
              </w:rPr>
              <w:t>10</w:t>
            </w:r>
          </w:p>
        </w:tc>
        <w:tc>
          <w:tcPr>
            <w:tcW w:w="720" w:type="dxa"/>
            <w:vAlign w:val="center"/>
          </w:tcPr>
          <w:p w14:paraId="13C56A88">
            <w:pPr>
              <w:pStyle w:val="44"/>
              <w:rPr>
                <w:color w:val="auto"/>
              </w:rPr>
            </w:pPr>
          </w:p>
        </w:tc>
        <w:tc>
          <w:tcPr>
            <w:tcW w:w="720" w:type="dxa"/>
            <w:vAlign w:val="center"/>
          </w:tcPr>
          <w:p w14:paraId="56F24B1A">
            <w:pPr>
              <w:pStyle w:val="44"/>
              <w:rPr>
                <w:color w:val="auto"/>
              </w:rPr>
            </w:pPr>
          </w:p>
        </w:tc>
      </w:tr>
      <w:tr w14:paraId="13A79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1167C48">
            <w:pPr>
              <w:pStyle w:val="44"/>
              <w:rPr>
                <w:color w:val="auto"/>
              </w:rPr>
            </w:pPr>
            <w:r>
              <w:rPr>
                <w:rFonts w:hint="eastAsia"/>
                <w:color w:val="auto"/>
              </w:rPr>
              <w:t>6</w:t>
            </w:r>
          </w:p>
        </w:tc>
        <w:tc>
          <w:tcPr>
            <w:tcW w:w="543" w:type="dxa"/>
            <w:vMerge w:val="continue"/>
            <w:vAlign w:val="center"/>
          </w:tcPr>
          <w:p w14:paraId="2224DC0F">
            <w:pPr>
              <w:pStyle w:val="44"/>
              <w:rPr>
                <w:color w:val="auto"/>
              </w:rPr>
            </w:pPr>
          </w:p>
        </w:tc>
        <w:tc>
          <w:tcPr>
            <w:tcW w:w="898" w:type="dxa"/>
            <w:vAlign w:val="center"/>
          </w:tcPr>
          <w:p w14:paraId="4D737CFD">
            <w:pPr>
              <w:pStyle w:val="44"/>
              <w:rPr>
                <w:color w:val="auto"/>
              </w:rPr>
            </w:pPr>
            <w:r>
              <w:rPr>
                <w:rFonts w:hint="eastAsia"/>
                <w:color w:val="auto"/>
              </w:rPr>
              <w:t>监测监控</w:t>
            </w:r>
          </w:p>
        </w:tc>
        <w:tc>
          <w:tcPr>
            <w:tcW w:w="5580" w:type="dxa"/>
            <w:vAlign w:val="center"/>
          </w:tcPr>
          <w:p w14:paraId="50348AE8">
            <w:pPr>
              <w:pStyle w:val="44"/>
              <w:jc w:val="left"/>
              <w:rPr>
                <w:color w:val="auto"/>
              </w:rPr>
            </w:pPr>
            <w:r>
              <w:rPr>
                <w:rFonts w:hint="eastAsia"/>
                <w:color w:val="auto"/>
              </w:rPr>
              <w:t>1）未编制监测方案或未按要求进行施工监测，扣10分</w:t>
            </w:r>
          </w:p>
          <w:p w14:paraId="1CE5AFE6">
            <w:pPr>
              <w:pStyle w:val="44"/>
              <w:jc w:val="left"/>
              <w:rPr>
                <w:color w:val="auto"/>
              </w:rPr>
            </w:pPr>
            <w:r>
              <w:rPr>
                <w:rFonts w:hint="eastAsia"/>
                <w:color w:val="auto"/>
              </w:rPr>
              <w:t>2）基坑监测项目不符合设计和标准要求，扣5-10分</w:t>
            </w:r>
          </w:p>
          <w:p w14:paraId="6C5E9D9A">
            <w:pPr>
              <w:pStyle w:val="44"/>
              <w:jc w:val="left"/>
              <w:rPr>
                <w:color w:val="auto"/>
              </w:rPr>
            </w:pPr>
            <w:r>
              <w:rPr>
                <w:rFonts w:hint="eastAsia"/>
                <w:color w:val="auto"/>
              </w:rPr>
              <w:t>3）监测的时间间隔不符合监测方案要求或监测结果变化速率较大未加密观测次数，扣5-8分</w:t>
            </w:r>
          </w:p>
          <w:p w14:paraId="50E1CE93">
            <w:pPr>
              <w:pStyle w:val="44"/>
              <w:jc w:val="left"/>
              <w:rPr>
                <w:color w:val="auto"/>
              </w:rPr>
            </w:pPr>
            <w:r>
              <w:rPr>
                <w:rFonts w:hint="eastAsia"/>
                <w:color w:val="auto"/>
              </w:rPr>
              <w:t>4）未按设计要求提交监测报告或监测报告内容不完整，扣5-8分</w:t>
            </w:r>
          </w:p>
          <w:p w14:paraId="094D1D6C">
            <w:pPr>
              <w:pStyle w:val="44"/>
              <w:jc w:val="left"/>
              <w:rPr>
                <w:color w:val="auto"/>
              </w:rPr>
            </w:pPr>
            <w:r>
              <w:rPr>
                <w:color w:val="auto"/>
              </w:rPr>
              <w:t>5</w:t>
            </w:r>
            <w:r>
              <w:rPr>
                <w:rFonts w:hint="eastAsia"/>
                <w:color w:val="auto"/>
              </w:rPr>
              <w:t>）当监测值达到所规定的报警值时未停止施工，查明原因，采取补救措施，扣</w:t>
            </w:r>
            <w:r>
              <w:rPr>
                <w:color w:val="auto"/>
              </w:rPr>
              <w:t>10</w:t>
            </w:r>
            <w:r>
              <w:rPr>
                <w:rFonts w:hint="eastAsia"/>
                <w:color w:val="auto"/>
              </w:rPr>
              <w:t>分</w:t>
            </w:r>
          </w:p>
        </w:tc>
        <w:tc>
          <w:tcPr>
            <w:tcW w:w="720" w:type="dxa"/>
            <w:vAlign w:val="center"/>
          </w:tcPr>
          <w:p w14:paraId="4C5E4450">
            <w:pPr>
              <w:pStyle w:val="44"/>
              <w:rPr>
                <w:color w:val="auto"/>
              </w:rPr>
            </w:pPr>
            <w:r>
              <w:rPr>
                <w:rFonts w:hint="eastAsia"/>
                <w:color w:val="auto"/>
              </w:rPr>
              <w:t>10</w:t>
            </w:r>
          </w:p>
        </w:tc>
        <w:tc>
          <w:tcPr>
            <w:tcW w:w="720" w:type="dxa"/>
            <w:vAlign w:val="center"/>
          </w:tcPr>
          <w:p w14:paraId="528EA4B7">
            <w:pPr>
              <w:pStyle w:val="44"/>
              <w:rPr>
                <w:color w:val="auto"/>
              </w:rPr>
            </w:pPr>
          </w:p>
        </w:tc>
        <w:tc>
          <w:tcPr>
            <w:tcW w:w="720" w:type="dxa"/>
            <w:vAlign w:val="center"/>
          </w:tcPr>
          <w:p w14:paraId="3C0EF8DB">
            <w:pPr>
              <w:pStyle w:val="44"/>
              <w:rPr>
                <w:color w:val="auto"/>
              </w:rPr>
            </w:pPr>
          </w:p>
        </w:tc>
      </w:tr>
      <w:tr w14:paraId="112AC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6DD656F">
            <w:pPr>
              <w:pStyle w:val="44"/>
              <w:rPr>
                <w:color w:val="auto"/>
              </w:rPr>
            </w:pPr>
          </w:p>
        </w:tc>
        <w:tc>
          <w:tcPr>
            <w:tcW w:w="543" w:type="dxa"/>
            <w:vMerge w:val="continue"/>
          </w:tcPr>
          <w:p w14:paraId="49FC19A8">
            <w:pPr>
              <w:pStyle w:val="44"/>
              <w:rPr>
                <w:color w:val="auto"/>
              </w:rPr>
            </w:pPr>
          </w:p>
        </w:tc>
        <w:tc>
          <w:tcPr>
            <w:tcW w:w="6478" w:type="dxa"/>
            <w:gridSpan w:val="2"/>
            <w:vAlign w:val="center"/>
          </w:tcPr>
          <w:p w14:paraId="3404468B">
            <w:pPr>
              <w:pStyle w:val="44"/>
              <w:rPr>
                <w:b/>
                <w:bCs w:val="0"/>
                <w:color w:val="auto"/>
              </w:rPr>
            </w:pPr>
            <w:r>
              <w:rPr>
                <w:rFonts w:hint="eastAsia"/>
                <w:b/>
                <w:bCs w:val="0"/>
                <w:color w:val="auto"/>
              </w:rPr>
              <w:t>小  计</w:t>
            </w:r>
          </w:p>
        </w:tc>
        <w:tc>
          <w:tcPr>
            <w:tcW w:w="720" w:type="dxa"/>
            <w:vAlign w:val="center"/>
          </w:tcPr>
          <w:p w14:paraId="26295DE3">
            <w:pPr>
              <w:pStyle w:val="44"/>
              <w:rPr>
                <w:color w:val="auto"/>
              </w:rPr>
            </w:pPr>
            <w:r>
              <w:rPr>
                <w:rFonts w:hint="eastAsia"/>
                <w:color w:val="auto"/>
              </w:rPr>
              <w:t>70</w:t>
            </w:r>
          </w:p>
        </w:tc>
        <w:tc>
          <w:tcPr>
            <w:tcW w:w="720" w:type="dxa"/>
            <w:vAlign w:val="center"/>
          </w:tcPr>
          <w:p w14:paraId="285A5E08">
            <w:pPr>
              <w:pStyle w:val="44"/>
              <w:rPr>
                <w:color w:val="auto"/>
              </w:rPr>
            </w:pPr>
          </w:p>
        </w:tc>
        <w:tc>
          <w:tcPr>
            <w:tcW w:w="720" w:type="dxa"/>
            <w:vAlign w:val="center"/>
          </w:tcPr>
          <w:p w14:paraId="3B16B9E7">
            <w:pPr>
              <w:pStyle w:val="44"/>
              <w:rPr>
                <w:color w:val="auto"/>
              </w:rPr>
            </w:pPr>
          </w:p>
        </w:tc>
      </w:tr>
      <w:tr w14:paraId="23158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2FE59F34">
            <w:pPr>
              <w:pStyle w:val="44"/>
              <w:rPr>
                <w:color w:val="auto"/>
              </w:rPr>
            </w:pPr>
            <w:r>
              <w:rPr>
                <w:rFonts w:hint="eastAsia"/>
                <w:color w:val="auto"/>
              </w:rPr>
              <w:t>1</w:t>
            </w:r>
          </w:p>
        </w:tc>
        <w:tc>
          <w:tcPr>
            <w:tcW w:w="543" w:type="dxa"/>
            <w:vMerge w:val="restart"/>
            <w:vAlign w:val="center"/>
          </w:tcPr>
          <w:p w14:paraId="507F0C8B">
            <w:pPr>
              <w:pStyle w:val="44"/>
              <w:rPr>
                <w:color w:val="auto"/>
              </w:rPr>
            </w:pPr>
            <w:r>
              <w:rPr>
                <w:rFonts w:hint="eastAsia"/>
                <w:color w:val="auto"/>
              </w:rPr>
              <w:t>一</w:t>
            </w:r>
          </w:p>
          <w:p w14:paraId="4F8193B8">
            <w:pPr>
              <w:pStyle w:val="44"/>
              <w:rPr>
                <w:color w:val="auto"/>
              </w:rPr>
            </w:pPr>
            <w:r>
              <w:rPr>
                <w:rFonts w:hint="eastAsia"/>
                <w:color w:val="auto"/>
              </w:rPr>
              <w:t>般</w:t>
            </w:r>
          </w:p>
          <w:p w14:paraId="585901A7">
            <w:pPr>
              <w:pStyle w:val="44"/>
              <w:rPr>
                <w:color w:val="auto"/>
              </w:rPr>
            </w:pPr>
            <w:r>
              <w:rPr>
                <w:rFonts w:hint="eastAsia"/>
                <w:color w:val="auto"/>
              </w:rPr>
              <w:t>项</w:t>
            </w:r>
          </w:p>
          <w:p w14:paraId="005C4E91">
            <w:pPr>
              <w:pStyle w:val="44"/>
              <w:rPr>
                <w:color w:val="auto"/>
              </w:rPr>
            </w:pPr>
            <w:r>
              <w:rPr>
                <w:rFonts w:hint="eastAsia"/>
                <w:color w:val="auto"/>
              </w:rPr>
              <w:t>目</w:t>
            </w:r>
          </w:p>
        </w:tc>
        <w:tc>
          <w:tcPr>
            <w:tcW w:w="898" w:type="dxa"/>
            <w:vAlign w:val="center"/>
          </w:tcPr>
          <w:p w14:paraId="3F730D3A">
            <w:pPr>
              <w:pStyle w:val="44"/>
              <w:rPr>
                <w:color w:val="auto"/>
              </w:rPr>
            </w:pPr>
            <w:r>
              <w:rPr>
                <w:rFonts w:hint="eastAsia"/>
                <w:color w:val="auto"/>
              </w:rPr>
              <w:t>安全防护</w:t>
            </w:r>
          </w:p>
        </w:tc>
        <w:tc>
          <w:tcPr>
            <w:tcW w:w="5580" w:type="dxa"/>
            <w:vAlign w:val="center"/>
          </w:tcPr>
          <w:p w14:paraId="6486389B">
            <w:pPr>
              <w:pStyle w:val="44"/>
              <w:jc w:val="left"/>
              <w:rPr>
                <w:color w:val="auto"/>
              </w:rPr>
            </w:pPr>
            <w:r>
              <w:rPr>
                <w:rFonts w:hint="eastAsia"/>
                <w:color w:val="auto"/>
              </w:rPr>
              <w:t>1）开挖深度2m及以上的基坑周边未按标准要求设置防护栏杆或栏杆设置不符合标准要求，扣5-10分</w:t>
            </w:r>
          </w:p>
          <w:p w14:paraId="4CFEE863">
            <w:pPr>
              <w:pStyle w:val="44"/>
              <w:jc w:val="left"/>
              <w:rPr>
                <w:color w:val="auto"/>
              </w:rPr>
            </w:pPr>
            <w:r>
              <w:rPr>
                <w:rFonts w:hint="eastAsia"/>
                <w:color w:val="auto"/>
              </w:rPr>
              <w:t>2）基坑内未设置供人员上下的专用通道或通道设置不符合标准要求，扣5-10分</w:t>
            </w:r>
          </w:p>
          <w:p w14:paraId="2F5600E2">
            <w:pPr>
              <w:pStyle w:val="44"/>
              <w:jc w:val="left"/>
              <w:rPr>
                <w:color w:val="auto"/>
              </w:rPr>
            </w:pPr>
            <w:r>
              <w:rPr>
                <w:rFonts w:hint="eastAsia"/>
                <w:color w:val="auto"/>
              </w:rPr>
              <w:t>3）降水井口未设置防护盖板或围栏，扣10分</w:t>
            </w:r>
          </w:p>
        </w:tc>
        <w:tc>
          <w:tcPr>
            <w:tcW w:w="720" w:type="dxa"/>
            <w:vAlign w:val="center"/>
          </w:tcPr>
          <w:p w14:paraId="7FCEF615">
            <w:pPr>
              <w:pStyle w:val="44"/>
              <w:rPr>
                <w:color w:val="auto"/>
              </w:rPr>
            </w:pPr>
            <w:r>
              <w:rPr>
                <w:rFonts w:hint="eastAsia"/>
                <w:color w:val="auto"/>
              </w:rPr>
              <w:t>10</w:t>
            </w:r>
          </w:p>
        </w:tc>
        <w:tc>
          <w:tcPr>
            <w:tcW w:w="720" w:type="dxa"/>
            <w:vAlign w:val="center"/>
          </w:tcPr>
          <w:p w14:paraId="04BF0D18">
            <w:pPr>
              <w:pStyle w:val="44"/>
              <w:rPr>
                <w:color w:val="auto"/>
              </w:rPr>
            </w:pPr>
          </w:p>
        </w:tc>
        <w:tc>
          <w:tcPr>
            <w:tcW w:w="720" w:type="dxa"/>
            <w:vAlign w:val="center"/>
          </w:tcPr>
          <w:p w14:paraId="606D931A">
            <w:pPr>
              <w:pStyle w:val="44"/>
              <w:rPr>
                <w:color w:val="auto"/>
              </w:rPr>
            </w:pPr>
          </w:p>
        </w:tc>
      </w:tr>
      <w:tr w14:paraId="47F00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993A65E">
            <w:pPr>
              <w:pStyle w:val="44"/>
              <w:rPr>
                <w:color w:val="auto"/>
              </w:rPr>
            </w:pPr>
            <w:r>
              <w:rPr>
                <w:rFonts w:hint="eastAsia"/>
                <w:color w:val="auto"/>
              </w:rPr>
              <w:t>2</w:t>
            </w:r>
          </w:p>
        </w:tc>
        <w:tc>
          <w:tcPr>
            <w:tcW w:w="543" w:type="dxa"/>
            <w:vMerge w:val="continue"/>
          </w:tcPr>
          <w:p w14:paraId="5285C525">
            <w:pPr>
              <w:pStyle w:val="44"/>
              <w:rPr>
                <w:color w:val="auto"/>
              </w:rPr>
            </w:pPr>
          </w:p>
        </w:tc>
        <w:tc>
          <w:tcPr>
            <w:tcW w:w="898" w:type="dxa"/>
            <w:vAlign w:val="center"/>
          </w:tcPr>
          <w:p w14:paraId="7E0B49AE">
            <w:pPr>
              <w:pStyle w:val="44"/>
              <w:rPr>
                <w:color w:val="auto"/>
              </w:rPr>
            </w:pPr>
            <w:r>
              <w:rPr>
                <w:rFonts w:hint="eastAsia"/>
                <w:color w:val="auto"/>
              </w:rPr>
              <w:t>支护拆除</w:t>
            </w:r>
          </w:p>
        </w:tc>
        <w:tc>
          <w:tcPr>
            <w:tcW w:w="5580" w:type="dxa"/>
            <w:vAlign w:val="center"/>
          </w:tcPr>
          <w:p w14:paraId="20DBB73C">
            <w:pPr>
              <w:pStyle w:val="44"/>
              <w:jc w:val="left"/>
              <w:rPr>
                <w:color w:val="auto"/>
              </w:rPr>
            </w:pPr>
            <w:r>
              <w:rPr>
                <w:rFonts w:hint="eastAsia"/>
                <w:color w:val="auto"/>
              </w:rPr>
              <w:t>1）未达到设计规定的拆除条件进行锚杆或支撑拆除，扣10分</w:t>
            </w:r>
          </w:p>
          <w:p w14:paraId="1B0DE703">
            <w:pPr>
              <w:pStyle w:val="44"/>
              <w:jc w:val="left"/>
              <w:rPr>
                <w:color w:val="auto"/>
              </w:rPr>
            </w:pPr>
            <w:r>
              <w:rPr>
                <w:rFonts w:hint="eastAsia"/>
                <w:color w:val="auto"/>
              </w:rPr>
              <w:t>2）支护结构拆除或换撑条件、顺序、方式不符合设计和方案要求，扣5-10分</w:t>
            </w:r>
          </w:p>
          <w:p w14:paraId="0D069E42">
            <w:pPr>
              <w:pStyle w:val="44"/>
              <w:jc w:val="left"/>
              <w:rPr>
                <w:color w:val="auto"/>
              </w:rPr>
            </w:pPr>
            <w:r>
              <w:rPr>
                <w:rFonts w:hint="eastAsia"/>
                <w:color w:val="auto"/>
              </w:rPr>
              <w:t>3）机械拆除作业时施工荷载大于支撑结构承载力，扣10分</w:t>
            </w:r>
          </w:p>
          <w:p w14:paraId="0030AF63">
            <w:pPr>
              <w:pStyle w:val="44"/>
              <w:jc w:val="left"/>
              <w:rPr>
                <w:color w:val="auto"/>
              </w:rPr>
            </w:pPr>
            <w:r>
              <w:rPr>
                <w:rFonts w:hint="eastAsia"/>
                <w:color w:val="auto"/>
              </w:rPr>
              <w:t>4）人工拆除作业时未按规定设置防护设施，扣8分</w:t>
            </w:r>
          </w:p>
          <w:p w14:paraId="2081C45A">
            <w:pPr>
              <w:pStyle w:val="44"/>
              <w:jc w:val="left"/>
              <w:rPr>
                <w:color w:val="auto"/>
              </w:rPr>
            </w:pPr>
            <w:r>
              <w:rPr>
                <w:rFonts w:hint="eastAsia"/>
                <w:color w:val="auto"/>
              </w:rPr>
              <w:t>5）采用非常规拆除方式不符合国家现行相关标准要求，扣10分</w:t>
            </w:r>
          </w:p>
        </w:tc>
        <w:tc>
          <w:tcPr>
            <w:tcW w:w="720" w:type="dxa"/>
            <w:vAlign w:val="center"/>
          </w:tcPr>
          <w:p w14:paraId="199E7F04">
            <w:pPr>
              <w:pStyle w:val="44"/>
              <w:rPr>
                <w:color w:val="auto"/>
              </w:rPr>
            </w:pPr>
            <w:r>
              <w:rPr>
                <w:rFonts w:hint="eastAsia"/>
                <w:color w:val="auto"/>
              </w:rPr>
              <w:t>10</w:t>
            </w:r>
          </w:p>
        </w:tc>
        <w:tc>
          <w:tcPr>
            <w:tcW w:w="720" w:type="dxa"/>
            <w:vAlign w:val="center"/>
          </w:tcPr>
          <w:p w14:paraId="051DB4CC">
            <w:pPr>
              <w:pStyle w:val="44"/>
              <w:rPr>
                <w:color w:val="auto"/>
              </w:rPr>
            </w:pPr>
          </w:p>
        </w:tc>
        <w:tc>
          <w:tcPr>
            <w:tcW w:w="720" w:type="dxa"/>
            <w:vAlign w:val="center"/>
          </w:tcPr>
          <w:p w14:paraId="3CEE5BE5">
            <w:pPr>
              <w:pStyle w:val="44"/>
              <w:rPr>
                <w:color w:val="auto"/>
              </w:rPr>
            </w:pPr>
          </w:p>
        </w:tc>
      </w:tr>
      <w:tr w14:paraId="1F05F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E3D3DAA">
            <w:pPr>
              <w:pStyle w:val="44"/>
              <w:rPr>
                <w:color w:val="auto"/>
              </w:rPr>
            </w:pPr>
            <w:r>
              <w:rPr>
                <w:rFonts w:hint="eastAsia"/>
                <w:color w:val="auto"/>
              </w:rPr>
              <w:t>3</w:t>
            </w:r>
          </w:p>
        </w:tc>
        <w:tc>
          <w:tcPr>
            <w:tcW w:w="543" w:type="dxa"/>
            <w:vMerge w:val="continue"/>
          </w:tcPr>
          <w:p w14:paraId="6B89368C">
            <w:pPr>
              <w:pStyle w:val="44"/>
              <w:rPr>
                <w:color w:val="auto"/>
              </w:rPr>
            </w:pPr>
          </w:p>
        </w:tc>
        <w:tc>
          <w:tcPr>
            <w:tcW w:w="898" w:type="dxa"/>
            <w:vAlign w:val="center"/>
          </w:tcPr>
          <w:p w14:paraId="62640C5E">
            <w:pPr>
              <w:pStyle w:val="44"/>
              <w:rPr>
                <w:color w:val="auto"/>
              </w:rPr>
            </w:pPr>
            <w:r>
              <w:rPr>
                <w:rFonts w:hint="eastAsia"/>
                <w:color w:val="auto"/>
              </w:rPr>
              <w:t>作业环境</w:t>
            </w:r>
          </w:p>
        </w:tc>
        <w:tc>
          <w:tcPr>
            <w:tcW w:w="5580" w:type="dxa"/>
            <w:vAlign w:val="center"/>
          </w:tcPr>
          <w:p w14:paraId="09693F14">
            <w:pPr>
              <w:pStyle w:val="44"/>
              <w:jc w:val="left"/>
              <w:rPr>
                <w:color w:val="auto"/>
              </w:rPr>
            </w:pPr>
            <w:r>
              <w:rPr>
                <w:rFonts w:hint="eastAsia"/>
                <w:color w:val="auto"/>
              </w:rPr>
              <w:t>1）基坑内土方机械、施工人员的安全距离不符合标准要求，扣10分</w:t>
            </w:r>
          </w:p>
          <w:p w14:paraId="383D3D3F">
            <w:pPr>
              <w:pStyle w:val="44"/>
              <w:jc w:val="left"/>
              <w:rPr>
                <w:color w:val="auto"/>
              </w:rPr>
            </w:pPr>
            <w:r>
              <w:rPr>
                <w:rFonts w:hint="eastAsia"/>
                <w:color w:val="auto"/>
              </w:rPr>
              <w:t>2）上下垂直作业未采取防护措施，扣5分</w:t>
            </w:r>
          </w:p>
          <w:p w14:paraId="49C6941B">
            <w:pPr>
              <w:pStyle w:val="44"/>
              <w:jc w:val="left"/>
              <w:rPr>
                <w:color w:val="auto"/>
              </w:rPr>
            </w:pPr>
            <w:r>
              <w:rPr>
                <w:rFonts w:hint="eastAsia"/>
                <w:color w:val="auto"/>
              </w:rPr>
              <w:t>3）在各种管线范围内挖土作业未采取安全保护措施或未设专人监护，扣5分</w:t>
            </w:r>
          </w:p>
          <w:p w14:paraId="10DE903A">
            <w:pPr>
              <w:pStyle w:val="44"/>
              <w:jc w:val="left"/>
              <w:rPr>
                <w:color w:val="auto"/>
              </w:rPr>
            </w:pPr>
            <w:r>
              <w:rPr>
                <w:rFonts w:hint="eastAsia"/>
                <w:color w:val="auto"/>
              </w:rPr>
              <w:t>4）作业区光线不良，扣5分</w:t>
            </w:r>
          </w:p>
        </w:tc>
        <w:tc>
          <w:tcPr>
            <w:tcW w:w="720" w:type="dxa"/>
            <w:vAlign w:val="center"/>
          </w:tcPr>
          <w:p w14:paraId="0E6F3B69">
            <w:pPr>
              <w:pStyle w:val="44"/>
              <w:rPr>
                <w:color w:val="auto"/>
              </w:rPr>
            </w:pPr>
            <w:r>
              <w:rPr>
                <w:rFonts w:hint="eastAsia"/>
                <w:color w:val="auto"/>
              </w:rPr>
              <w:t>10</w:t>
            </w:r>
          </w:p>
        </w:tc>
        <w:tc>
          <w:tcPr>
            <w:tcW w:w="720" w:type="dxa"/>
            <w:vAlign w:val="center"/>
          </w:tcPr>
          <w:p w14:paraId="47FA9FB0">
            <w:pPr>
              <w:pStyle w:val="44"/>
              <w:rPr>
                <w:color w:val="auto"/>
              </w:rPr>
            </w:pPr>
          </w:p>
        </w:tc>
        <w:tc>
          <w:tcPr>
            <w:tcW w:w="720" w:type="dxa"/>
            <w:vAlign w:val="center"/>
          </w:tcPr>
          <w:p w14:paraId="4F03E2E5">
            <w:pPr>
              <w:pStyle w:val="44"/>
              <w:rPr>
                <w:color w:val="auto"/>
              </w:rPr>
            </w:pPr>
          </w:p>
        </w:tc>
      </w:tr>
      <w:tr w14:paraId="5CAD7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9F965B7">
            <w:pPr>
              <w:pStyle w:val="44"/>
              <w:rPr>
                <w:color w:val="auto"/>
              </w:rPr>
            </w:pPr>
          </w:p>
        </w:tc>
        <w:tc>
          <w:tcPr>
            <w:tcW w:w="543" w:type="dxa"/>
            <w:vMerge w:val="continue"/>
          </w:tcPr>
          <w:p w14:paraId="45BA34A5">
            <w:pPr>
              <w:pStyle w:val="44"/>
              <w:rPr>
                <w:color w:val="auto"/>
              </w:rPr>
            </w:pPr>
          </w:p>
        </w:tc>
        <w:tc>
          <w:tcPr>
            <w:tcW w:w="6478" w:type="dxa"/>
            <w:gridSpan w:val="2"/>
            <w:vAlign w:val="center"/>
          </w:tcPr>
          <w:p w14:paraId="060B1B29">
            <w:pPr>
              <w:pStyle w:val="44"/>
              <w:rPr>
                <w:b/>
                <w:bCs w:val="0"/>
                <w:color w:val="auto"/>
              </w:rPr>
            </w:pPr>
            <w:r>
              <w:rPr>
                <w:rFonts w:hint="eastAsia"/>
                <w:b/>
                <w:bCs w:val="0"/>
                <w:color w:val="auto"/>
              </w:rPr>
              <w:t xml:space="preserve">小 </w:t>
            </w:r>
            <w:r>
              <w:rPr>
                <w:b/>
                <w:bCs w:val="0"/>
                <w:color w:val="auto"/>
              </w:rPr>
              <w:t xml:space="preserve"> </w:t>
            </w:r>
            <w:r>
              <w:rPr>
                <w:rFonts w:hint="eastAsia"/>
                <w:b/>
                <w:bCs w:val="0"/>
                <w:color w:val="auto"/>
              </w:rPr>
              <w:t>计</w:t>
            </w:r>
          </w:p>
        </w:tc>
        <w:tc>
          <w:tcPr>
            <w:tcW w:w="720" w:type="dxa"/>
            <w:vAlign w:val="center"/>
          </w:tcPr>
          <w:p w14:paraId="04F753C3">
            <w:pPr>
              <w:pStyle w:val="44"/>
              <w:rPr>
                <w:color w:val="auto"/>
              </w:rPr>
            </w:pPr>
            <w:r>
              <w:rPr>
                <w:rFonts w:hint="eastAsia"/>
                <w:color w:val="auto"/>
              </w:rPr>
              <w:t>30</w:t>
            </w:r>
          </w:p>
        </w:tc>
        <w:tc>
          <w:tcPr>
            <w:tcW w:w="720" w:type="dxa"/>
            <w:vAlign w:val="center"/>
          </w:tcPr>
          <w:p w14:paraId="7F66DA26">
            <w:pPr>
              <w:pStyle w:val="44"/>
              <w:rPr>
                <w:color w:val="auto"/>
              </w:rPr>
            </w:pPr>
          </w:p>
        </w:tc>
        <w:tc>
          <w:tcPr>
            <w:tcW w:w="720" w:type="dxa"/>
            <w:vAlign w:val="center"/>
          </w:tcPr>
          <w:p w14:paraId="73565E54">
            <w:pPr>
              <w:pStyle w:val="44"/>
              <w:rPr>
                <w:color w:val="auto"/>
              </w:rPr>
            </w:pPr>
          </w:p>
        </w:tc>
      </w:tr>
      <w:tr w14:paraId="3C0A7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560" w:type="dxa"/>
            <w:gridSpan w:val="4"/>
            <w:vAlign w:val="center"/>
          </w:tcPr>
          <w:p w14:paraId="0807062A">
            <w:pPr>
              <w:pStyle w:val="44"/>
              <w:rPr>
                <w:b/>
                <w:bCs w:val="0"/>
                <w:color w:val="auto"/>
              </w:rPr>
            </w:pPr>
            <w:r>
              <w:rPr>
                <w:rFonts w:hint="eastAsia"/>
                <w:b/>
                <w:bCs w:val="0"/>
                <w:color w:val="auto"/>
              </w:rPr>
              <w:t>检查项目合计</w:t>
            </w:r>
          </w:p>
        </w:tc>
        <w:tc>
          <w:tcPr>
            <w:tcW w:w="720" w:type="dxa"/>
            <w:vAlign w:val="center"/>
          </w:tcPr>
          <w:p w14:paraId="72A9435F">
            <w:pPr>
              <w:pStyle w:val="44"/>
              <w:rPr>
                <w:color w:val="auto"/>
              </w:rPr>
            </w:pPr>
            <w:r>
              <w:rPr>
                <w:rFonts w:hint="eastAsia"/>
                <w:color w:val="auto"/>
              </w:rPr>
              <w:t>100</w:t>
            </w:r>
          </w:p>
        </w:tc>
        <w:tc>
          <w:tcPr>
            <w:tcW w:w="720" w:type="dxa"/>
            <w:vAlign w:val="center"/>
          </w:tcPr>
          <w:p w14:paraId="29E3F7F3">
            <w:pPr>
              <w:pStyle w:val="44"/>
              <w:rPr>
                <w:color w:val="auto"/>
              </w:rPr>
            </w:pPr>
          </w:p>
        </w:tc>
        <w:tc>
          <w:tcPr>
            <w:tcW w:w="720" w:type="dxa"/>
            <w:vAlign w:val="center"/>
          </w:tcPr>
          <w:p w14:paraId="5EB90704">
            <w:pPr>
              <w:pStyle w:val="44"/>
              <w:rPr>
                <w:color w:val="auto"/>
              </w:rPr>
            </w:pPr>
          </w:p>
        </w:tc>
      </w:tr>
    </w:tbl>
    <w:p w14:paraId="458D0277"/>
    <w:p w14:paraId="73548699">
      <w:pPr>
        <w:pStyle w:val="5"/>
      </w:pPr>
      <w:r>
        <w:rPr>
          <w:rFonts w:hint="eastAsia"/>
        </w:rPr>
        <w:br w:type="page"/>
      </w:r>
      <w:bookmarkStart w:id="28" w:name="_Toc24836"/>
      <w:bookmarkStart w:id="29" w:name="_Toc31126"/>
      <w:bookmarkStart w:id="30" w:name="_Toc4678"/>
      <w:r>
        <w:rPr>
          <w:rFonts w:hint="eastAsia"/>
        </w:rPr>
        <w:t>表</w:t>
      </w:r>
      <w:r>
        <w:t xml:space="preserve">B.7  </w:t>
      </w:r>
      <w:r>
        <w:rPr>
          <w:rFonts w:hint="eastAsia"/>
        </w:rPr>
        <w:t>钢围堰检查评分表</w:t>
      </w:r>
      <w:bookmarkEnd w:id="28"/>
      <w:bookmarkEnd w:id="29"/>
      <w:bookmarkEnd w:id="30"/>
    </w:p>
    <w:tbl>
      <w:tblPr>
        <w:tblStyle w:val="19"/>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64607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jc w:val="center"/>
        </w:trPr>
        <w:tc>
          <w:tcPr>
            <w:tcW w:w="539" w:type="dxa"/>
            <w:vAlign w:val="center"/>
          </w:tcPr>
          <w:p w14:paraId="205BDA67">
            <w:pPr>
              <w:pStyle w:val="44"/>
              <w:rPr>
                <w:color w:val="auto"/>
              </w:rPr>
            </w:pPr>
            <w:r>
              <w:rPr>
                <w:rFonts w:hint="eastAsia"/>
                <w:color w:val="auto"/>
              </w:rPr>
              <w:t>序号</w:t>
            </w:r>
          </w:p>
        </w:tc>
        <w:tc>
          <w:tcPr>
            <w:tcW w:w="1441" w:type="dxa"/>
            <w:gridSpan w:val="2"/>
            <w:vAlign w:val="center"/>
          </w:tcPr>
          <w:p w14:paraId="64AE355F">
            <w:pPr>
              <w:pStyle w:val="44"/>
              <w:rPr>
                <w:color w:val="auto"/>
              </w:rPr>
            </w:pPr>
            <w:r>
              <w:rPr>
                <w:rFonts w:hint="eastAsia"/>
                <w:color w:val="auto"/>
              </w:rPr>
              <w:t>检查项目</w:t>
            </w:r>
          </w:p>
        </w:tc>
        <w:tc>
          <w:tcPr>
            <w:tcW w:w="5580" w:type="dxa"/>
            <w:vAlign w:val="center"/>
          </w:tcPr>
          <w:p w14:paraId="354F7DC1">
            <w:pPr>
              <w:pStyle w:val="44"/>
              <w:rPr>
                <w:color w:val="auto"/>
              </w:rPr>
            </w:pPr>
            <w:r>
              <w:rPr>
                <w:rFonts w:hint="eastAsia"/>
                <w:color w:val="auto"/>
              </w:rPr>
              <w:t>扣</w:t>
            </w:r>
            <w:r>
              <w:rPr>
                <w:color w:val="auto"/>
              </w:rPr>
              <w:t xml:space="preserve"> </w:t>
            </w:r>
            <w:r>
              <w:rPr>
                <w:rFonts w:hint="eastAsia"/>
                <w:color w:val="auto"/>
              </w:rPr>
              <w:t>分</w:t>
            </w:r>
            <w:r>
              <w:rPr>
                <w:color w:val="auto"/>
              </w:rPr>
              <w:t xml:space="preserve"> </w:t>
            </w:r>
            <w:r>
              <w:rPr>
                <w:rFonts w:hint="eastAsia"/>
                <w:color w:val="auto"/>
              </w:rPr>
              <w:t>标</w:t>
            </w:r>
            <w:r>
              <w:rPr>
                <w:color w:val="auto"/>
              </w:rPr>
              <w:t xml:space="preserve"> </w:t>
            </w:r>
            <w:r>
              <w:rPr>
                <w:rFonts w:hint="eastAsia"/>
                <w:color w:val="auto"/>
              </w:rPr>
              <w:t>准</w:t>
            </w:r>
          </w:p>
        </w:tc>
        <w:tc>
          <w:tcPr>
            <w:tcW w:w="720" w:type="dxa"/>
            <w:vAlign w:val="center"/>
          </w:tcPr>
          <w:p w14:paraId="16226890">
            <w:pPr>
              <w:pStyle w:val="44"/>
              <w:rPr>
                <w:color w:val="auto"/>
              </w:rPr>
            </w:pPr>
            <w:r>
              <w:rPr>
                <w:rFonts w:hint="eastAsia"/>
                <w:color w:val="auto"/>
              </w:rPr>
              <w:t>应得</w:t>
            </w:r>
          </w:p>
          <w:p w14:paraId="790CB899">
            <w:pPr>
              <w:pStyle w:val="44"/>
              <w:rPr>
                <w:color w:val="auto"/>
              </w:rPr>
            </w:pPr>
            <w:r>
              <w:rPr>
                <w:rFonts w:hint="eastAsia"/>
                <w:color w:val="auto"/>
              </w:rPr>
              <w:t>分数</w:t>
            </w:r>
          </w:p>
        </w:tc>
        <w:tc>
          <w:tcPr>
            <w:tcW w:w="720" w:type="dxa"/>
            <w:vAlign w:val="center"/>
          </w:tcPr>
          <w:p w14:paraId="25B14E26">
            <w:pPr>
              <w:pStyle w:val="44"/>
              <w:rPr>
                <w:color w:val="auto"/>
              </w:rPr>
            </w:pPr>
            <w:r>
              <w:rPr>
                <w:rFonts w:hint="eastAsia"/>
                <w:color w:val="auto"/>
              </w:rPr>
              <w:t>扣减</w:t>
            </w:r>
          </w:p>
          <w:p w14:paraId="16D8B513">
            <w:pPr>
              <w:pStyle w:val="44"/>
              <w:rPr>
                <w:color w:val="auto"/>
              </w:rPr>
            </w:pPr>
            <w:r>
              <w:rPr>
                <w:rFonts w:hint="eastAsia"/>
                <w:color w:val="auto"/>
              </w:rPr>
              <w:t>分数</w:t>
            </w:r>
          </w:p>
        </w:tc>
        <w:tc>
          <w:tcPr>
            <w:tcW w:w="720" w:type="dxa"/>
            <w:vAlign w:val="center"/>
          </w:tcPr>
          <w:p w14:paraId="4CD7E5FC">
            <w:pPr>
              <w:pStyle w:val="44"/>
              <w:rPr>
                <w:color w:val="auto"/>
              </w:rPr>
            </w:pPr>
            <w:r>
              <w:rPr>
                <w:rFonts w:hint="eastAsia"/>
                <w:color w:val="auto"/>
              </w:rPr>
              <w:t>实得</w:t>
            </w:r>
          </w:p>
          <w:p w14:paraId="1D003386">
            <w:pPr>
              <w:pStyle w:val="44"/>
              <w:rPr>
                <w:color w:val="auto"/>
              </w:rPr>
            </w:pPr>
            <w:r>
              <w:rPr>
                <w:rFonts w:hint="eastAsia"/>
                <w:color w:val="auto"/>
              </w:rPr>
              <w:t>分数</w:t>
            </w:r>
          </w:p>
        </w:tc>
      </w:tr>
      <w:tr w14:paraId="2F777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6D82BDDE">
            <w:pPr>
              <w:pStyle w:val="44"/>
              <w:rPr>
                <w:color w:val="auto"/>
              </w:rPr>
            </w:pPr>
            <w:r>
              <w:rPr>
                <w:color w:val="auto"/>
              </w:rPr>
              <w:t>1</w:t>
            </w:r>
          </w:p>
        </w:tc>
        <w:tc>
          <w:tcPr>
            <w:tcW w:w="543" w:type="dxa"/>
            <w:vMerge w:val="restart"/>
            <w:vAlign w:val="center"/>
          </w:tcPr>
          <w:p w14:paraId="24C27E99">
            <w:pPr>
              <w:pStyle w:val="44"/>
              <w:rPr>
                <w:color w:val="auto"/>
              </w:rPr>
            </w:pPr>
            <w:r>
              <w:rPr>
                <w:rFonts w:hint="eastAsia"/>
                <w:color w:val="auto"/>
              </w:rPr>
              <w:t>保</w:t>
            </w:r>
          </w:p>
          <w:p w14:paraId="154D65C4">
            <w:pPr>
              <w:pStyle w:val="44"/>
              <w:rPr>
                <w:color w:val="auto"/>
              </w:rPr>
            </w:pPr>
            <w:r>
              <w:rPr>
                <w:rFonts w:hint="eastAsia"/>
                <w:color w:val="auto"/>
              </w:rPr>
              <w:t>证</w:t>
            </w:r>
          </w:p>
          <w:p w14:paraId="64DFDFA5">
            <w:pPr>
              <w:pStyle w:val="44"/>
              <w:rPr>
                <w:color w:val="auto"/>
              </w:rPr>
            </w:pPr>
            <w:r>
              <w:rPr>
                <w:rFonts w:hint="eastAsia"/>
                <w:color w:val="auto"/>
              </w:rPr>
              <w:t>项</w:t>
            </w:r>
          </w:p>
          <w:p w14:paraId="3822F3B9">
            <w:pPr>
              <w:pStyle w:val="44"/>
              <w:rPr>
                <w:color w:val="auto"/>
              </w:rPr>
            </w:pPr>
            <w:r>
              <w:rPr>
                <w:rFonts w:hint="eastAsia"/>
                <w:color w:val="auto"/>
              </w:rPr>
              <w:t>目</w:t>
            </w:r>
          </w:p>
        </w:tc>
        <w:tc>
          <w:tcPr>
            <w:tcW w:w="898" w:type="dxa"/>
            <w:vAlign w:val="center"/>
          </w:tcPr>
          <w:p w14:paraId="3F909B67">
            <w:pPr>
              <w:pStyle w:val="44"/>
              <w:rPr>
                <w:color w:val="auto"/>
              </w:rPr>
            </w:pPr>
            <w:r>
              <w:rPr>
                <w:rFonts w:hint="eastAsia"/>
                <w:color w:val="auto"/>
              </w:rPr>
              <w:t>方案与交底</w:t>
            </w:r>
          </w:p>
        </w:tc>
        <w:tc>
          <w:tcPr>
            <w:tcW w:w="5580" w:type="dxa"/>
            <w:vAlign w:val="center"/>
          </w:tcPr>
          <w:p w14:paraId="4C7A3667">
            <w:pPr>
              <w:pStyle w:val="44"/>
              <w:jc w:val="left"/>
              <w:rPr>
                <w:color w:val="auto"/>
              </w:rPr>
            </w:pPr>
            <w:r>
              <w:rPr>
                <w:color w:val="auto"/>
              </w:rPr>
              <w:t>1</w:t>
            </w:r>
            <w:r>
              <w:rPr>
                <w:rFonts w:hint="eastAsia"/>
                <w:color w:val="auto"/>
              </w:rPr>
              <w:t>）未按规定编制专项施工方案，扣</w:t>
            </w:r>
            <w:r>
              <w:rPr>
                <w:color w:val="auto"/>
              </w:rPr>
              <w:t>10</w:t>
            </w:r>
            <w:r>
              <w:rPr>
                <w:rFonts w:hint="eastAsia"/>
                <w:color w:val="auto"/>
              </w:rPr>
              <w:t>分</w:t>
            </w:r>
          </w:p>
          <w:p w14:paraId="18A7FFE6">
            <w:pPr>
              <w:pStyle w:val="44"/>
              <w:jc w:val="left"/>
              <w:rPr>
                <w:color w:val="auto"/>
              </w:rPr>
            </w:pPr>
            <w:r>
              <w:rPr>
                <w:color w:val="auto"/>
              </w:rPr>
              <w:t>2</w:t>
            </w:r>
            <w:r>
              <w:rPr>
                <w:rFonts w:hint="eastAsia"/>
                <w:color w:val="auto"/>
              </w:rPr>
              <w:t>）未编制设计文件，扣</w:t>
            </w:r>
            <w:r>
              <w:rPr>
                <w:color w:val="auto"/>
              </w:rPr>
              <w:t>10</w:t>
            </w:r>
            <w:r>
              <w:rPr>
                <w:rFonts w:hint="eastAsia"/>
                <w:color w:val="auto"/>
              </w:rPr>
              <w:t>分</w:t>
            </w:r>
          </w:p>
          <w:p w14:paraId="38039ABC">
            <w:pPr>
              <w:pStyle w:val="44"/>
              <w:jc w:val="left"/>
              <w:rPr>
                <w:color w:val="auto"/>
              </w:rPr>
            </w:pPr>
            <w:r>
              <w:rPr>
                <w:color w:val="auto"/>
              </w:rPr>
              <w:t>3</w:t>
            </w:r>
            <w:r>
              <w:rPr>
                <w:rFonts w:hint="eastAsia"/>
                <w:color w:val="auto"/>
              </w:rPr>
              <w:t>）未对围堰结构、构件和附属装置进行设计计算，扣</w:t>
            </w:r>
            <w:r>
              <w:rPr>
                <w:color w:val="auto"/>
              </w:rPr>
              <w:t>10</w:t>
            </w:r>
            <w:r>
              <w:rPr>
                <w:rFonts w:hint="eastAsia"/>
                <w:color w:val="auto"/>
              </w:rPr>
              <w:t>分</w:t>
            </w:r>
          </w:p>
          <w:p w14:paraId="2DAEE511">
            <w:pPr>
              <w:pStyle w:val="44"/>
              <w:jc w:val="left"/>
              <w:rPr>
                <w:color w:val="auto"/>
              </w:rPr>
            </w:pPr>
            <w:r>
              <w:rPr>
                <w:color w:val="auto"/>
              </w:rPr>
              <w:t>4</w:t>
            </w:r>
            <w:r>
              <w:rPr>
                <w:rFonts w:hint="eastAsia"/>
                <w:color w:val="auto"/>
              </w:rPr>
              <w:t>）设计文件中图纸或计算书不齐全，扣</w:t>
            </w:r>
            <w:r>
              <w:rPr>
                <w:color w:val="auto"/>
              </w:rPr>
              <w:t>2-10</w:t>
            </w:r>
            <w:r>
              <w:rPr>
                <w:rFonts w:hint="eastAsia"/>
                <w:color w:val="auto"/>
              </w:rPr>
              <w:t>分</w:t>
            </w:r>
          </w:p>
          <w:p w14:paraId="69B4C815">
            <w:pPr>
              <w:pStyle w:val="44"/>
              <w:jc w:val="left"/>
              <w:rPr>
                <w:color w:val="auto"/>
              </w:rPr>
            </w:pPr>
            <w:r>
              <w:rPr>
                <w:color w:val="auto"/>
              </w:rPr>
              <w:t>5</w:t>
            </w:r>
            <w:r>
              <w:rPr>
                <w:rFonts w:hint="eastAsia"/>
                <w:color w:val="auto"/>
              </w:rPr>
              <w:t>）专项施工方案未按规定进行审核、审批，扣</w:t>
            </w:r>
            <w:r>
              <w:rPr>
                <w:color w:val="auto"/>
              </w:rPr>
              <w:t>10</w:t>
            </w:r>
            <w:r>
              <w:rPr>
                <w:rFonts w:hint="eastAsia"/>
                <w:color w:val="auto"/>
              </w:rPr>
              <w:t>分</w:t>
            </w:r>
          </w:p>
          <w:p w14:paraId="234661A2">
            <w:pPr>
              <w:pStyle w:val="44"/>
              <w:jc w:val="left"/>
              <w:rPr>
                <w:color w:val="auto"/>
              </w:rPr>
            </w:pPr>
            <w:r>
              <w:rPr>
                <w:color w:val="auto"/>
              </w:rPr>
              <w:t>6</w:t>
            </w:r>
            <w:r>
              <w:rPr>
                <w:rFonts w:hint="eastAsia"/>
                <w:color w:val="auto"/>
              </w:rPr>
              <w:t>）专项施工方案未按规定组织专家论证，扣</w:t>
            </w:r>
            <w:r>
              <w:rPr>
                <w:color w:val="auto"/>
              </w:rPr>
              <w:t>10</w:t>
            </w:r>
            <w:r>
              <w:rPr>
                <w:rFonts w:hint="eastAsia"/>
                <w:color w:val="auto"/>
              </w:rPr>
              <w:t>分</w:t>
            </w:r>
          </w:p>
          <w:p w14:paraId="7E7305DA">
            <w:pPr>
              <w:pStyle w:val="44"/>
              <w:jc w:val="left"/>
              <w:rPr>
                <w:color w:val="auto"/>
              </w:rPr>
            </w:pPr>
            <w:r>
              <w:rPr>
                <w:color w:val="auto"/>
              </w:rPr>
              <w:t>7</w:t>
            </w:r>
            <w:r>
              <w:rPr>
                <w:rFonts w:hint="eastAsia"/>
                <w:color w:val="auto"/>
              </w:rPr>
              <w:t>）专项施工方案实施前，未进行安全技术交底，扣</w:t>
            </w:r>
            <w:r>
              <w:rPr>
                <w:color w:val="auto"/>
              </w:rPr>
              <w:t>10</w:t>
            </w:r>
            <w:r>
              <w:rPr>
                <w:rFonts w:hint="eastAsia"/>
                <w:color w:val="auto"/>
              </w:rPr>
              <w:t>分；交底无针对性或无文字记录，扣</w:t>
            </w:r>
            <w:r>
              <w:rPr>
                <w:color w:val="auto"/>
              </w:rPr>
              <w:t>2-5</w:t>
            </w:r>
            <w:r>
              <w:rPr>
                <w:rFonts w:hint="eastAsia"/>
                <w:color w:val="auto"/>
              </w:rPr>
              <w:t>分</w:t>
            </w:r>
          </w:p>
        </w:tc>
        <w:tc>
          <w:tcPr>
            <w:tcW w:w="720" w:type="dxa"/>
            <w:vAlign w:val="center"/>
          </w:tcPr>
          <w:p w14:paraId="0B89238A">
            <w:pPr>
              <w:pStyle w:val="44"/>
              <w:rPr>
                <w:color w:val="auto"/>
              </w:rPr>
            </w:pPr>
            <w:r>
              <w:rPr>
                <w:color w:val="auto"/>
              </w:rPr>
              <w:t>10</w:t>
            </w:r>
          </w:p>
        </w:tc>
        <w:tc>
          <w:tcPr>
            <w:tcW w:w="720" w:type="dxa"/>
            <w:vAlign w:val="center"/>
          </w:tcPr>
          <w:p w14:paraId="439DC02D">
            <w:pPr>
              <w:pStyle w:val="44"/>
              <w:rPr>
                <w:color w:val="auto"/>
              </w:rPr>
            </w:pPr>
          </w:p>
        </w:tc>
        <w:tc>
          <w:tcPr>
            <w:tcW w:w="720" w:type="dxa"/>
            <w:vAlign w:val="center"/>
          </w:tcPr>
          <w:p w14:paraId="28DD842B">
            <w:pPr>
              <w:pStyle w:val="44"/>
              <w:rPr>
                <w:color w:val="auto"/>
              </w:rPr>
            </w:pPr>
          </w:p>
        </w:tc>
      </w:tr>
      <w:tr w14:paraId="3D0C2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11291A8A">
            <w:pPr>
              <w:pStyle w:val="44"/>
              <w:rPr>
                <w:color w:val="auto"/>
              </w:rPr>
            </w:pPr>
            <w:r>
              <w:rPr>
                <w:color w:val="auto"/>
              </w:rPr>
              <w:t>2</w:t>
            </w:r>
          </w:p>
        </w:tc>
        <w:tc>
          <w:tcPr>
            <w:tcW w:w="543" w:type="dxa"/>
            <w:vMerge w:val="continue"/>
          </w:tcPr>
          <w:p w14:paraId="20440143">
            <w:pPr>
              <w:pStyle w:val="44"/>
              <w:rPr>
                <w:color w:val="auto"/>
              </w:rPr>
            </w:pPr>
          </w:p>
        </w:tc>
        <w:tc>
          <w:tcPr>
            <w:tcW w:w="898" w:type="dxa"/>
            <w:vAlign w:val="center"/>
          </w:tcPr>
          <w:p w14:paraId="67E9901C">
            <w:pPr>
              <w:pStyle w:val="44"/>
              <w:rPr>
                <w:color w:val="auto"/>
              </w:rPr>
            </w:pPr>
            <w:r>
              <w:rPr>
                <w:rFonts w:hint="eastAsia"/>
                <w:color w:val="auto"/>
              </w:rPr>
              <w:t>构配件材质</w:t>
            </w:r>
          </w:p>
        </w:tc>
        <w:tc>
          <w:tcPr>
            <w:tcW w:w="5580" w:type="dxa"/>
            <w:vAlign w:val="center"/>
          </w:tcPr>
          <w:p w14:paraId="498C06BA">
            <w:pPr>
              <w:pStyle w:val="44"/>
              <w:jc w:val="left"/>
              <w:rPr>
                <w:color w:val="auto"/>
              </w:rPr>
            </w:pPr>
            <w:r>
              <w:rPr>
                <w:color w:val="auto"/>
              </w:rPr>
              <w:t>1</w:t>
            </w:r>
            <w:r>
              <w:rPr>
                <w:rFonts w:hint="eastAsia"/>
                <w:color w:val="auto"/>
              </w:rPr>
              <w:t>）原材料和构配件无质量合格证、产品性能检验报告，扣</w:t>
            </w:r>
            <w:r>
              <w:rPr>
                <w:color w:val="auto"/>
              </w:rPr>
              <w:t>10</w:t>
            </w:r>
            <w:r>
              <w:rPr>
                <w:rFonts w:hint="eastAsia"/>
                <w:color w:val="auto"/>
              </w:rPr>
              <w:t>分</w:t>
            </w:r>
          </w:p>
          <w:p w14:paraId="0EF63AA6">
            <w:pPr>
              <w:pStyle w:val="44"/>
              <w:jc w:val="left"/>
              <w:rPr>
                <w:color w:val="auto"/>
              </w:rPr>
            </w:pPr>
            <w:r>
              <w:rPr>
                <w:color w:val="auto"/>
              </w:rPr>
              <w:t>2</w:t>
            </w:r>
            <w:r>
              <w:rPr>
                <w:rFonts w:hint="eastAsia"/>
                <w:color w:val="auto"/>
              </w:rPr>
              <w:t>）原材料和构配件的品种、规格、型号、材质不符合专项施工方案和标准要求，扣</w:t>
            </w:r>
            <w:r>
              <w:rPr>
                <w:color w:val="auto"/>
              </w:rPr>
              <w:t>5-10</w:t>
            </w:r>
            <w:r>
              <w:rPr>
                <w:rFonts w:hint="eastAsia"/>
                <w:color w:val="auto"/>
              </w:rPr>
              <w:t>分</w:t>
            </w:r>
          </w:p>
          <w:p w14:paraId="04C1B8DA">
            <w:pPr>
              <w:pStyle w:val="44"/>
              <w:jc w:val="left"/>
              <w:rPr>
                <w:color w:val="auto"/>
              </w:rPr>
            </w:pPr>
            <w:r>
              <w:rPr>
                <w:color w:val="auto"/>
              </w:rPr>
              <w:t>3</w:t>
            </w:r>
            <w:r>
              <w:rPr>
                <w:rFonts w:hint="eastAsia"/>
                <w:color w:val="auto"/>
              </w:rPr>
              <w:t>）钢板桩等定型产品无使用说明书等技术文件，扣</w:t>
            </w:r>
            <w:r>
              <w:rPr>
                <w:color w:val="auto"/>
              </w:rPr>
              <w:t>5</w:t>
            </w:r>
            <w:r>
              <w:rPr>
                <w:rFonts w:hint="eastAsia"/>
                <w:color w:val="auto"/>
              </w:rPr>
              <w:t>分</w:t>
            </w:r>
          </w:p>
          <w:p w14:paraId="29A0F1E1">
            <w:pPr>
              <w:pStyle w:val="44"/>
              <w:jc w:val="left"/>
              <w:rPr>
                <w:color w:val="auto"/>
              </w:rPr>
            </w:pPr>
            <w:r>
              <w:rPr>
                <w:color w:val="auto"/>
              </w:rPr>
              <w:t>4</w:t>
            </w:r>
            <w:r>
              <w:rPr>
                <w:rFonts w:hint="eastAsia"/>
                <w:color w:val="auto"/>
              </w:rPr>
              <w:t>）主体结构构件、连接件有显著的变形、超标的挠度或严重锈蚀剥皮，扣</w:t>
            </w:r>
            <w:r>
              <w:rPr>
                <w:color w:val="auto"/>
              </w:rPr>
              <w:t>10</w:t>
            </w:r>
            <w:r>
              <w:rPr>
                <w:rFonts w:hint="eastAsia"/>
                <w:color w:val="auto"/>
              </w:rPr>
              <w:t>分</w:t>
            </w:r>
          </w:p>
        </w:tc>
        <w:tc>
          <w:tcPr>
            <w:tcW w:w="720" w:type="dxa"/>
            <w:vAlign w:val="center"/>
          </w:tcPr>
          <w:p w14:paraId="131994E8">
            <w:pPr>
              <w:pStyle w:val="44"/>
              <w:rPr>
                <w:color w:val="auto"/>
              </w:rPr>
            </w:pPr>
            <w:r>
              <w:rPr>
                <w:color w:val="auto"/>
              </w:rPr>
              <w:t>10</w:t>
            </w:r>
          </w:p>
        </w:tc>
        <w:tc>
          <w:tcPr>
            <w:tcW w:w="720" w:type="dxa"/>
            <w:vAlign w:val="center"/>
          </w:tcPr>
          <w:p w14:paraId="368041B2">
            <w:pPr>
              <w:pStyle w:val="44"/>
              <w:rPr>
                <w:color w:val="auto"/>
              </w:rPr>
            </w:pPr>
          </w:p>
        </w:tc>
        <w:tc>
          <w:tcPr>
            <w:tcW w:w="720" w:type="dxa"/>
            <w:vAlign w:val="center"/>
          </w:tcPr>
          <w:p w14:paraId="57C4C709">
            <w:pPr>
              <w:pStyle w:val="44"/>
              <w:rPr>
                <w:color w:val="auto"/>
              </w:rPr>
            </w:pPr>
          </w:p>
        </w:tc>
      </w:tr>
      <w:tr w14:paraId="7C459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B4C4F91">
            <w:pPr>
              <w:pStyle w:val="44"/>
              <w:rPr>
                <w:color w:val="auto"/>
              </w:rPr>
            </w:pPr>
            <w:r>
              <w:rPr>
                <w:color w:val="auto"/>
              </w:rPr>
              <w:t>3</w:t>
            </w:r>
          </w:p>
        </w:tc>
        <w:tc>
          <w:tcPr>
            <w:tcW w:w="543" w:type="dxa"/>
            <w:vMerge w:val="continue"/>
          </w:tcPr>
          <w:p w14:paraId="31897EB3">
            <w:pPr>
              <w:pStyle w:val="44"/>
              <w:rPr>
                <w:color w:val="auto"/>
              </w:rPr>
            </w:pPr>
          </w:p>
        </w:tc>
        <w:tc>
          <w:tcPr>
            <w:tcW w:w="898" w:type="dxa"/>
            <w:vAlign w:val="center"/>
          </w:tcPr>
          <w:p w14:paraId="716375D5">
            <w:pPr>
              <w:pStyle w:val="44"/>
              <w:rPr>
                <w:color w:val="auto"/>
              </w:rPr>
            </w:pPr>
            <w:r>
              <w:rPr>
                <w:rFonts w:hint="eastAsia"/>
                <w:color w:val="auto"/>
              </w:rPr>
              <w:t>围堰构造</w:t>
            </w:r>
          </w:p>
        </w:tc>
        <w:tc>
          <w:tcPr>
            <w:tcW w:w="5580" w:type="dxa"/>
            <w:vAlign w:val="center"/>
          </w:tcPr>
          <w:p w14:paraId="454B63A1">
            <w:pPr>
              <w:pStyle w:val="44"/>
              <w:jc w:val="left"/>
              <w:rPr>
                <w:color w:val="auto"/>
              </w:rPr>
            </w:pPr>
            <w:r>
              <w:rPr>
                <w:color w:val="auto"/>
              </w:rPr>
              <w:t>1</w:t>
            </w:r>
            <w:r>
              <w:rPr>
                <w:rFonts w:hint="eastAsia"/>
                <w:color w:val="auto"/>
              </w:rPr>
              <w:t>）侧壁结构尺寸不符合专项施工方案要求，扣</w:t>
            </w:r>
            <w:r>
              <w:rPr>
                <w:color w:val="auto"/>
              </w:rPr>
              <w:t>5-10</w:t>
            </w:r>
            <w:r>
              <w:rPr>
                <w:rFonts w:hint="eastAsia"/>
                <w:color w:val="auto"/>
              </w:rPr>
              <w:t>分</w:t>
            </w:r>
          </w:p>
          <w:p w14:paraId="778122B8">
            <w:pPr>
              <w:pStyle w:val="44"/>
              <w:jc w:val="left"/>
              <w:rPr>
                <w:color w:val="auto"/>
              </w:rPr>
            </w:pPr>
            <w:r>
              <w:rPr>
                <w:color w:val="auto"/>
              </w:rPr>
              <w:t>2</w:t>
            </w:r>
            <w:r>
              <w:rPr>
                <w:rFonts w:hint="eastAsia"/>
                <w:color w:val="auto"/>
              </w:rPr>
              <w:t>）嵌固深度或封底混凝土厚度应符合专项施工方案的要求，扣</w:t>
            </w:r>
            <w:r>
              <w:rPr>
                <w:color w:val="auto"/>
              </w:rPr>
              <w:t>10</w:t>
            </w:r>
            <w:r>
              <w:rPr>
                <w:rFonts w:hint="eastAsia"/>
                <w:color w:val="auto"/>
              </w:rPr>
              <w:t>分</w:t>
            </w:r>
          </w:p>
          <w:p w14:paraId="58BBDD84">
            <w:pPr>
              <w:pStyle w:val="44"/>
              <w:jc w:val="left"/>
              <w:rPr>
                <w:color w:val="auto"/>
              </w:rPr>
            </w:pPr>
            <w:r>
              <w:rPr>
                <w:color w:val="auto"/>
              </w:rPr>
              <w:t>3</w:t>
            </w:r>
            <w:r>
              <w:rPr>
                <w:rFonts w:hint="eastAsia"/>
                <w:color w:val="auto"/>
              </w:rPr>
              <w:t>）钢吊箱、钢套箱围堰的内支撑间距、层数、设置方式不符合专项施工方案的要求，扣</w:t>
            </w:r>
            <w:r>
              <w:rPr>
                <w:color w:val="auto"/>
              </w:rPr>
              <w:t>10</w:t>
            </w:r>
            <w:r>
              <w:rPr>
                <w:rFonts w:hint="eastAsia"/>
                <w:color w:val="auto"/>
              </w:rPr>
              <w:t>分</w:t>
            </w:r>
          </w:p>
          <w:p w14:paraId="244B2282">
            <w:pPr>
              <w:pStyle w:val="44"/>
              <w:jc w:val="left"/>
              <w:rPr>
                <w:color w:val="auto"/>
              </w:rPr>
            </w:pPr>
            <w:r>
              <w:rPr>
                <w:color w:val="auto"/>
              </w:rPr>
              <w:t>4</w:t>
            </w:r>
            <w:r>
              <w:rPr>
                <w:rFonts w:hint="eastAsia"/>
                <w:color w:val="auto"/>
              </w:rPr>
              <w:t>）钢管桩、钢板桩围堰未设置围檩和内支撑，扣</w:t>
            </w:r>
            <w:r>
              <w:rPr>
                <w:color w:val="auto"/>
              </w:rPr>
              <w:t>10</w:t>
            </w:r>
            <w:r>
              <w:rPr>
                <w:rFonts w:hint="eastAsia"/>
                <w:color w:val="auto"/>
              </w:rPr>
              <w:t>分；围檩和内支撑的设置不符合专项施工方案要求，扣</w:t>
            </w:r>
            <w:r>
              <w:rPr>
                <w:color w:val="auto"/>
              </w:rPr>
              <w:t>5-8</w:t>
            </w:r>
            <w:r>
              <w:rPr>
                <w:rFonts w:hint="eastAsia"/>
                <w:color w:val="auto"/>
              </w:rPr>
              <w:t>分</w:t>
            </w:r>
          </w:p>
          <w:p w14:paraId="77E3D4E9">
            <w:pPr>
              <w:pStyle w:val="44"/>
              <w:jc w:val="left"/>
              <w:rPr>
                <w:color w:val="auto"/>
              </w:rPr>
            </w:pPr>
            <w:r>
              <w:rPr>
                <w:color w:val="auto"/>
              </w:rPr>
              <w:t>5</w:t>
            </w:r>
            <w:r>
              <w:rPr>
                <w:rFonts w:hint="eastAsia"/>
                <w:color w:val="auto"/>
              </w:rPr>
              <w:t>）钢吊箱围堰的底板结构或吊挂系统的设置不符合专项施工方案的要求，扣</w:t>
            </w:r>
            <w:r>
              <w:rPr>
                <w:color w:val="auto"/>
              </w:rPr>
              <w:t>10</w:t>
            </w:r>
            <w:r>
              <w:rPr>
                <w:rFonts w:hint="eastAsia"/>
                <w:color w:val="auto"/>
              </w:rPr>
              <w:t>分</w:t>
            </w:r>
          </w:p>
        </w:tc>
        <w:tc>
          <w:tcPr>
            <w:tcW w:w="720" w:type="dxa"/>
            <w:vAlign w:val="center"/>
          </w:tcPr>
          <w:p w14:paraId="54B4BC26">
            <w:pPr>
              <w:pStyle w:val="44"/>
              <w:rPr>
                <w:color w:val="auto"/>
              </w:rPr>
            </w:pPr>
            <w:r>
              <w:rPr>
                <w:color w:val="auto"/>
              </w:rPr>
              <w:t>10</w:t>
            </w:r>
          </w:p>
        </w:tc>
        <w:tc>
          <w:tcPr>
            <w:tcW w:w="720" w:type="dxa"/>
            <w:vAlign w:val="center"/>
          </w:tcPr>
          <w:p w14:paraId="4EABD276">
            <w:pPr>
              <w:pStyle w:val="44"/>
              <w:rPr>
                <w:color w:val="auto"/>
              </w:rPr>
            </w:pPr>
          </w:p>
        </w:tc>
        <w:tc>
          <w:tcPr>
            <w:tcW w:w="720" w:type="dxa"/>
            <w:vAlign w:val="center"/>
          </w:tcPr>
          <w:p w14:paraId="3BF15A2B">
            <w:pPr>
              <w:pStyle w:val="44"/>
              <w:rPr>
                <w:color w:val="auto"/>
              </w:rPr>
            </w:pPr>
          </w:p>
        </w:tc>
      </w:tr>
      <w:tr w14:paraId="344EF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AC50294">
            <w:pPr>
              <w:pStyle w:val="44"/>
              <w:rPr>
                <w:color w:val="auto"/>
              </w:rPr>
            </w:pPr>
            <w:r>
              <w:rPr>
                <w:color w:val="auto"/>
              </w:rPr>
              <w:t>4</w:t>
            </w:r>
          </w:p>
        </w:tc>
        <w:tc>
          <w:tcPr>
            <w:tcW w:w="543" w:type="dxa"/>
            <w:vMerge w:val="continue"/>
          </w:tcPr>
          <w:p w14:paraId="31C0F574">
            <w:pPr>
              <w:pStyle w:val="44"/>
              <w:rPr>
                <w:color w:val="auto"/>
              </w:rPr>
            </w:pPr>
          </w:p>
        </w:tc>
        <w:tc>
          <w:tcPr>
            <w:tcW w:w="898" w:type="dxa"/>
            <w:vAlign w:val="center"/>
          </w:tcPr>
          <w:p w14:paraId="60AA7871">
            <w:pPr>
              <w:pStyle w:val="44"/>
              <w:rPr>
                <w:color w:val="auto"/>
              </w:rPr>
            </w:pPr>
            <w:r>
              <w:rPr>
                <w:rFonts w:hint="eastAsia"/>
                <w:color w:val="auto"/>
              </w:rPr>
              <w:t>制作及运输</w:t>
            </w:r>
          </w:p>
        </w:tc>
        <w:tc>
          <w:tcPr>
            <w:tcW w:w="5580" w:type="dxa"/>
            <w:vAlign w:val="center"/>
          </w:tcPr>
          <w:p w14:paraId="1414FE80">
            <w:pPr>
              <w:pStyle w:val="44"/>
              <w:jc w:val="left"/>
              <w:rPr>
                <w:color w:val="auto"/>
              </w:rPr>
            </w:pPr>
            <w:r>
              <w:rPr>
                <w:color w:val="auto"/>
              </w:rPr>
              <w:t>1</w:t>
            </w:r>
            <w:r>
              <w:rPr>
                <w:rFonts w:hint="eastAsia"/>
                <w:color w:val="auto"/>
              </w:rPr>
              <w:t>）钢围堰拼装未搭设牢固可靠的作业脚手架，扣</w:t>
            </w:r>
            <w:r>
              <w:rPr>
                <w:color w:val="auto"/>
              </w:rPr>
              <w:t>3</w:t>
            </w:r>
            <w:r>
              <w:rPr>
                <w:rFonts w:hint="eastAsia"/>
                <w:color w:val="auto"/>
              </w:rPr>
              <w:t>分</w:t>
            </w:r>
          </w:p>
          <w:p w14:paraId="2C0C7D2B">
            <w:pPr>
              <w:pStyle w:val="44"/>
              <w:jc w:val="left"/>
              <w:rPr>
                <w:color w:val="auto"/>
              </w:rPr>
            </w:pPr>
            <w:r>
              <w:rPr>
                <w:color w:val="auto"/>
              </w:rPr>
              <w:t>2</w:t>
            </w:r>
            <w:r>
              <w:rPr>
                <w:rFonts w:hint="eastAsia"/>
                <w:color w:val="auto"/>
              </w:rPr>
              <w:t>）航道上浮运钢围堰前未办理通航备案手续，扣</w:t>
            </w:r>
            <w:r>
              <w:rPr>
                <w:color w:val="auto"/>
              </w:rPr>
              <w:t>10</w:t>
            </w:r>
            <w:r>
              <w:rPr>
                <w:rFonts w:hint="eastAsia"/>
                <w:color w:val="auto"/>
              </w:rPr>
              <w:t>分</w:t>
            </w:r>
          </w:p>
          <w:p w14:paraId="4082A167">
            <w:pPr>
              <w:pStyle w:val="44"/>
              <w:jc w:val="left"/>
              <w:rPr>
                <w:color w:val="auto"/>
              </w:rPr>
            </w:pPr>
            <w:r>
              <w:rPr>
                <w:color w:val="auto"/>
              </w:rPr>
              <w:t>3</w:t>
            </w:r>
            <w:r>
              <w:rPr>
                <w:rFonts w:hint="eastAsia"/>
                <w:color w:val="auto"/>
              </w:rPr>
              <w:t>）采用气囊法坡道滑移入水的钢围堰，其组拼用的钢支墩的高度大于气囊直径的</w:t>
            </w:r>
            <w:r>
              <w:rPr>
                <w:color w:val="auto"/>
              </w:rPr>
              <w:t>0.6</w:t>
            </w:r>
            <w:r>
              <w:rPr>
                <w:rFonts w:hint="eastAsia"/>
                <w:color w:val="auto"/>
              </w:rPr>
              <w:t>倍，扣</w:t>
            </w:r>
            <w:r>
              <w:rPr>
                <w:color w:val="auto"/>
              </w:rPr>
              <w:t>5</w:t>
            </w:r>
            <w:r>
              <w:rPr>
                <w:rFonts w:hint="eastAsia"/>
                <w:color w:val="auto"/>
              </w:rPr>
              <w:t>分；气囊的工作高度小于</w:t>
            </w:r>
            <w:r>
              <w:rPr>
                <w:color w:val="auto"/>
              </w:rPr>
              <w:t>0.3m</w:t>
            </w:r>
            <w:r>
              <w:rPr>
                <w:rFonts w:hint="eastAsia"/>
                <w:color w:val="auto"/>
              </w:rPr>
              <w:t>，扣</w:t>
            </w:r>
            <w:r>
              <w:rPr>
                <w:color w:val="auto"/>
              </w:rPr>
              <w:t>3</w:t>
            </w:r>
            <w:r>
              <w:rPr>
                <w:rFonts w:hint="eastAsia"/>
                <w:color w:val="auto"/>
              </w:rPr>
              <w:t>分</w:t>
            </w:r>
          </w:p>
          <w:p w14:paraId="401872CA">
            <w:pPr>
              <w:pStyle w:val="44"/>
              <w:jc w:val="left"/>
              <w:rPr>
                <w:color w:val="auto"/>
              </w:rPr>
            </w:pPr>
            <w:r>
              <w:rPr>
                <w:color w:val="auto"/>
              </w:rPr>
              <w:t>4</w:t>
            </w:r>
            <w:r>
              <w:rPr>
                <w:rFonts w:hint="eastAsia"/>
                <w:color w:val="auto"/>
              </w:rPr>
              <w:t>）采取整体浮运就位时，干舷高度小于</w:t>
            </w:r>
            <w:r>
              <w:rPr>
                <w:color w:val="auto"/>
              </w:rPr>
              <w:t>3m</w:t>
            </w:r>
            <w:r>
              <w:rPr>
                <w:rFonts w:hint="eastAsia"/>
                <w:color w:val="auto"/>
              </w:rPr>
              <w:t>，扣</w:t>
            </w:r>
            <w:r>
              <w:rPr>
                <w:color w:val="auto"/>
              </w:rPr>
              <w:t>3</w:t>
            </w:r>
            <w:r>
              <w:rPr>
                <w:rFonts w:hint="eastAsia"/>
                <w:color w:val="auto"/>
              </w:rPr>
              <w:t>分；浮运速度大于</w:t>
            </w:r>
            <w:r>
              <w:rPr>
                <w:color w:val="auto"/>
              </w:rPr>
              <w:t>0.5m/s</w:t>
            </w:r>
            <w:r>
              <w:rPr>
                <w:rFonts w:hint="eastAsia"/>
                <w:color w:val="auto"/>
              </w:rPr>
              <w:t>，扣</w:t>
            </w:r>
            <w:r>
              <w:rPr>
                <w:color w:val="auto"/>
              </w:rPr>
              <w:t>2</w:t>
            </w:r>
            <w:r>
              <w:rPr>
                <w:rFonts w:hint="eastAsia"/>
                <w:color w:val="auto"/>
              </w:rPr>
              <w:t>分；未应设置防溜绳，扣</w:t>
            </w:r>
            <w:r>
              <w:rPr>
                <w:color w:val="auto"/>
              </w:rPr>
              <w:t>2</w:t>
            </w:r>
            <w:r>
              <w:rPr>
                <w:rFonts w:hint="eastAsia"/>
                <w:color w:val="auto"/>
              </w:rPr>
              <w:t>分</w:t>
            </w:r>
          </w:p>
        </w:tc>
        <w:tc>
          <w:tcPr>
            <w:tcW w:w="720" w:type="dxa"/>
            <w:vAlign w:val="center"/>
          </w:tcPr>
          <w:p w14:paraId="471B7174">
            <w:pPr>
              <w:pStyle w:val="44"/>
              <w:rPr>
                <w:color w:val="auto"/>
              </w:rPr>
            </w:pPr>
            <w:r>
              <w:rPr>
                <w:color w:val="auto"/>
              </w:rPr>
              <w:t>10</w:t>
            </w:r>
          </w:p>
        </w:tc>
        <w:tc>
          <w:tcPr>
            <w:tcW w:w="720" w:type="dxa"/>
            <w:vAlign w:val="center"/>
          </w:tcPr>
          <w:p w14:paraId="4A7D5934">
            <w:pPr>
              <w:pStyle w:val="44"/>
              <w:rPr>
                <w:color w:val="auto"/>
              </w:rPr>
            </w:pPr>
          </w:p>
        </w:tc>
        <w:tc>
          <w:tcPr>
            <w:tcW w:w="720" w:type="dxa"/>
            <w:vAlign w:val="center"/>
          </w:tcPr>
          <w:p w14:paraId="5C639D47">
            <w:pPr>
              <w:pStyle w:val="44"/>
              <w:rPr>
                <w:color w:val="auto"/>
              </w:rPr>
            </w:pPr>
          </w:p>
        </w:tc>
      </w:tr>
      <w:tr w14:paraId="3A380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0D3BA172">
            <w:pPr>
              <w:pStyle w:val="44"/>
              <w:rPr>
                <w:color w:val="auto"/>
              </w:rPr>
            </w:pPr>
            <w:r>
              <w:rPr>
                <w:color w:val="auto"/>
              </w:rPr>
              <w:t>5</w:t>
            </w:r>
          </w:p>
        </w:tc>
        <w:tc>
          <w:tcPr>
            <w:tcW w:w="543" w:type="dxa"/>
            <w:vMerge w:val="continue"/>
          </w:tcPr>
          <w:p w14:paraId="4E2F7554">
            <w:pPr>
              <w:pStyle w:val="44"/>
              <w:rPr>
                <w:color w:val="auto"/>
              </w:rPr>
            </w:pPr>
          </w:p>
        </w:tc>
        <w:tc>
          <w:tcPr>
            <w:tcW w:w="898" w:type="dxa"/>
            <w:vAlign w:val="center"/>
          </w:tcPr>
          <w:p w14:paraId="7235EB52">
            <w:pPr>
              <w:pStyle w:val="44"/>
              <w:rPr>
                <w:color w:val="auto"/>
              </w:rPr>
            </w:pPr>
            <w:r>
              <w:rPr>
                <w:rFonts w:hint="eastAsia"/>
                <w:color w:val="auto"/>
              </w:rPr>
              <w:t>钢围堰安装</w:t>
            </w:r>
          </w:p>
        </w:tc>
        <w:tc>
          <w:tcPr>
            <w:tcW w:w="5580" w:type="dxa"/>
            <w:vAlign w:val="center"/>
          </w:tcPr>
          <w:p w14:paraId="1BC80580">
            <w:pPr>
              <w:pStyle w:val="44"/>
              <w:jc w:val="left"/>
              <w:rPr>
                <w:color w:val="auto"/>
              </w:rPr>
            </w:pPr>
            <w:r>
              <w:rPr>
                <w:color w:val="auto"/>
              </w:rPr>
              <w:t>1</w:t>
            </w:r>
            <w:r>
              <w:rPr>
                <w:rFonts w:hint="eastAsia"/>
                <w:color w:val="auto"/>
              </w:rPr>
              <w:t>）钢板桩或钢管桩围堰在施打前，其锁口未采取可靠的止水措施，扣</w:t>
            </w:r>
            <w:r>
              <w:rPr>
                <w:color w:val="auto"/>
              </w:rPr>
              <w:t>2-5</w:t>
            </w:r>
            <w:r>
              <w:rPr>
                <w:rFonts w:hint="eastAsia"/>
                <w:color w:val="auto"/>
              </w:rPr>
              <w:t>分</w:t>
            </w:r>
          </w:p>
          <w:p w14:paraId="3C7E3064">
            <w:pPr>
              <w:pStyle w:val="44"/>
              <w:jc w:val="left"/>
              <w:rPr>
                <w:color w:val="auto"/>
              </w:rPr>
            </w:pPr>
            <w:r>
              <w:rPr>
                <w:color w:val="auto"/>
              </w:rPr>
              <w:t>2</w:t>
            </w:r>
            <w:r>
              <w:rPr>
                <w:rFonts w:hint="eastAsia"/>
                <w:color w:val="auto"/>
              </w:rPr>
              <w:t>）钢吊箱在浇筑封底混凝土前，未对底板与桩护筒之间的缝隙进行封堵，扣</w:t>
            </w:r>
            <w:r>
              <w:rPr>
                <w:color w:val="auto"/>
              </w:rPr>
              <w:t>5</w:t>
            </w:r>
            <w:r>
              <w:rPr>
                <w:rFonts w:hint="eastAsia"/>
                <w:color w:val="auto"/>
              </w:rPr>
              <w:t>分</w:t>
            </w:r>
          </w:p>
          <w:p w14:paraId="037434D9">
            <w:pPr>
              <w:pStyle w:val="44"/>
              <w:jc w:val="left"/>
              <w:rPr>
                <w:color w:val="auto"/>
              </w:rPr>
            </w:pPr>
            <w:r>
              <w:rPr>
                <w:color w:val="auto"/>
              </w:rPr>
              <w:t>3</w:t>
            </w:r>
            <w:r>
              <w:rPr>
                <w:rFonts w:hint="eastAsia"/>
                <w:color w:val="auto"/>
              </w:rPr>
              <w:t>）钢围堰施打或下沉应未取可靠的定位系统和导向装置，扣</w:t>
            </w:r>
            <w:r>
              <w:rPr>
                <w:color w:val="auto"/>
              </w:rPr>
              <w:t>3</w:t>
            </w:r>
            <w:r>
              <w:rPr>
                <w:rFonts w:hint="eastAsia"/>
                <w:color w:val="auto"/>
              </w:rPr>
              <w:t>分</w:t>
            </w:r>
          </w:p>
          <w:p w14:paraId="30075FE8">
            <w:pPr>
              <w:pStyle w:val="44"/>
              <w:jc w:val="left"/>
              <w:rPr>
                <w:color w:val="auto"/>
              </w:rPr>
            </w:pPr>
            <w:r>
              <w:rPr>
                <w:color w:val="auto"/>
              </w:rPr>
              <w:t>4)</w:t>
            </w:r>
            <w:r>
              <w:rPr>
                <w:rFonts w:hint="eastAsia"/>
                <w:color w:val="auto"/>
              </w:rPr>
              <w:t>钢围堰接高或下沉作业过程中，未采取保持围堰稳定的措施或围堰处于悬浮状态，扣</w:t>
            </w:r>
            <w:r>
              <w:rPr>
                <w:color w:val="auto"/>
              </w:rPr>
              <w:t>10</w:t>
            </w:r>
            <w:r>
              <w:rPr>
                <w:rFonts w:hint="eastAsia"/>
                <w:color w:val="auto"/>
              </w:rPr>
              <w:t>分</w:t>
            </w:r>
          </w:p>
          <w:p w14:paraId="15DCCC5B">
            <w:pPr>
              <w:pStyle w:val="44"/>
              <w:jc w:val="left"/>
              <w:rPr>
                <w:color w:val="auto"/>
              </w:rPr>
            </w:pPr>
            <w:r>
              <w:rPr>
                <w:color w:val="auto"/>
              </w:rPr>
              <w:t>5</w:t>
            </w:r>
            <w:r>
              <w:rPr>
                <w:rFonts w:hint="eastAsia"/>
                <w:color w:val="auto"/>
              </w:rPr>
              <w:t>）施工过程中未监测水位变化或围堰内外水头差超过设计允许范围，扣</w:t>
            </w:r>
            <w:r>
              <w:rPr>
                <w:color w:val="auto"/>
              </w:rPr>
              <w:t>5-10</w:t>
            </w:r>
            <w:r>
              <w:rPr>
                <w:rFonts w:hint="eastAsia"/>
                <w:color w:val="auto"/>
              </w:rPr>
              <w:t>分</w:t>
            </w:r>
          </w:p>
          <w:p w14:paraId="145B7216">
            <w:pPr>
              <w:pStyle w:val="44"/>
              <w:jc w:val="left"/>
              <w:rPr>
                <w:color w:val="auto"/>
              </w:rPr>
            </w:pPr>
            <w:r>
              <w:rPr>
                <w:color w:val="auto"/>
              </w:rPr>
              <w:t>6</w:t>
            </w:r>
            <w:r>
              <w:rPr>
                <w:rFonts w:hint="eastAsia"/>
                <w:color w:val="auto"/>
              </w:rPr>
              <w:t>）围堰抽水时未及时加设围檩和支撑系统，扣</w:t>
            </w:r>
            <w:r>
              <w:rPr>
                <w:color w:val="auto"/>
              </w:rPr>
              <w:t>10</w:t>
            </w:r>
            <w:r>
              <w:rPr>
                <w:rFonts w:hint="eastAsia"/>
                <w:color w:val="auto"/>
              </w:rPr>
              <w:t>分</w:t>
            </w:r>
          </w:p>
          <w:p w14:paraId="48801F62">
            <w:pPr>
              <w:pStyle w:val="44"/>
              <w:jc w:val="left"/>
              <w:rPr>
                <w:color w:val="auto"/>
              </w:rPr>
            </w:pPr>
            <w:r>
              <w:rPr>
                <w:color w:val="auto"/>
              </w:rPr>
              <w:t>7</w:t>
            </w:r>
            <w:r>
              <w:rPr>
                <w:rFonts w:hint="eastAsia"/>
                <w:color w:val="auto"/>
              </w:rPr>
              <w:t>）钢吊箱围堰进行围堰内抽水、体系转换作业时，封底混凝土未达到设计强度，扣</w:t>
            </w:r>
            <w:r>
              <w:rPr>
                <w:color w:val="auto"/>
              </w:rPr>
              <w:t>10</w:t>
            </w:r>
            <w:r>
              <w:rPr>
                <w:rFonts w:hint="eastAsia"/>
                <w:color w:val="auto"/>
              </w:rPr>
              <w:t>分</w:t>
            </w:r>
          </w:p>
        </w:tc>
        <w:tc>
          <w:tcPr>
            <w:tcW w:w="720" w:type="dxa"/>
            <w:vAlign w:val="center"/>
          </w:tcPr>
          <w:p w14:paraId="0384F748">
            <w:pPr>
              <w:pStyle w:val="44"/>
              <w:rPr>
                <w:color w:val="auto"/>
              </w:rPr>
            </w:pPr>
            <w:r>
              <w:rPr>
                <w:color w:val="auto"/>
              </w:rPr>
              <w:t>10</w:t>
            </w:r>
          </w:p>
        </w:tc>
        <w:tc>
          <w:tcPr>
            <w:tcW w:w="720" w:type="dxa"/>
            <w:vAlign w:val="center"/>
          </w:tcPr>
          <w:p w14:paraId="6E5791AD">
            <w:pPr>
              <w:pStyle w:val="44"/>
              <w:rPr>
                <w:color w:val="auto"/>
              </w:rPr>
            </w:pPr>
          </w:p>
        </w:tc>
        <w:tc>
          <w:tcPr>
            <w:tcW w:w="720" w:type="dxa"/>
            <w:vAlign w:val="center"/>
          </w:tcPr>
          <w:p w14:paraId="55462BB3">
            <w:pPr>
              <w:pStyle w:val="44"/>
              <w:rPr>
                <w:color w:val="auto"/>
              </w:rPr>
            </w:pPr>
          </w:p>
        </w:tc>
      </w:tr>
      <w:tr w14:paraId="2F351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A80C9EC">
            <w:pPr>
              <w:pStyle w:val="44"/>
              <w:rPr>
                <w:color w:val="auto"/>
              </w:rPr>
            </w:pPr>
            <w:r>
              <w:rPr>
                <w:color w:val="auto"/>
              </w:rPr>
              <w:t>6</w:t>
            </w:r>
          </w:p>
        </w:tc>
        <w:tc>
          <w:tcPr>
            <w:tcW w:w="543" w:type="dxa"/>
            <w:vMerge w:val="continue"/>
            <w:vAlign w:val="center"/>
          </w:tcPr>
          <w:p w14:paraId="477E787C">
            <w:pPr>
              <w:pStyle w:val="44"/>
              <w:rPr>
                <w:color w:val="auto"/>
              </w:rPr>
            </w:pPr>
          </w:p>
        </w:tc>
        <w:tc>
          <w:tcPr>
            <w:tcW w:w="898" w:type="dxa"/>
            <w:vAlign w:val="center"/>
          </w:tcPr>
          <w:p w14:paraId="4CEC2609">
            <w:pPr>
              <w:pStyle w:val="44"/>
              <w:rPr>
                <w:color w:val="auto"/>
              </w:rPr>
            </w:pPr>
            <w:r>
              <w:rPr>
                <w:rFonts w:hint="eastAsia"/>
                <w:color w:val="auto"/>
              </w:rPr>
              <w:t>检查验收</w:t>
            </w:r>
          </w:p>
        </w:tc>
        <w:tc>
          <w:tcPr>
            <w:tcW w:w="5580" w:type="dxa"/>
            <w:vAlign w:val="center"/>
          </w:tcPr>
          <w:p w14:paraId="3E3C30AE">
            <w:pPr>
              <w:pStyle w:val="44"/>
              <w:jc w:val="left"/>
              <w:rPr>
                <w:color w:val="auto"/>
              </w:rPr>
            </w:pPr>
            <w:r>
              <w:rPr>
                <w:color w:val="auto"/>
              </w:rPr>
              <w:t>1</w:t>
            </w:r>
            <w:r>
              <w:rPr>
                <w:rFonts w:hint="eastAsia"/>
                <w:color w:val="auto"/>
              </w:rPr>
              <w:t>）在原材料和构配件进场进场、围堰结构安装完成、安全防护设施安装完毕时，未进行分阶段验收，或未形成记录，扣</w:t>
            </w:r>
            <w:r>
              <w:rPr>
                <w:color w:val="auto"/>
              </w:rPr>
              <w:t>6</w:t>
            </w:r>
            <w:r>
              <w:rPr>
                <w:rFonts w:hint="eastAsia"/>
                <w:color w:val="auto"/>
              </w:rPr>
              <w:t>分</w:t>
            </w:r>
          </w:p>
          <w:p w14:paraId="39828466">
            <w:pPr>
              <w:pStyle w:val="44"/>
              <w:jc w:val="left"/>
              <w:rPr>
                <w:color w:val="auto"/>
              </w:rPr>
            </w:pPr>
            <w:r>
              <w:rPr>
                <w:color w:val="auto"/>
              </w:rPr>
              <w:t>2</w:t>
            </w:r>
            <w:r>
              <w:rPr>
                <w:rFonts w:hint="eastAsia"/>
                <w:color w:val="auto"/>
              </w:rPr>
              <w:t>）围堰施工完成、投入使用前未办理完工验收手续，扣</w:t>
            </w:r>
            <w:r>
              <w:rPr>
                <w:color w:val="auto"/>
              </w:rPr>
              <w:t>10</w:t>
            </w:r>
            <w:r>
              <w:rPr>
                <w:rFonts w:hint="eastAsia"/>
                <w:color w:val="auto"/>
              </w:rPr>
              <w:t>分</w:t>
            </w:r>
          </w:p>
          <w:p w14:paraId="3D0A329B">
            <w:pPr>
              <w:pStyle w:val="44"/>
              <w:jc w:val="left"/>
              <w:rPr>
                <w:color w:val="auto"/>
              </w:rPr>
            </w:pPr>
            <w:r>
              <w:rPr>
                <w:color w:val="auto"/>
              </w:rPr>
              <w:t>3</w:t>
            </w:r>
            <w:r>
              <w:rPr>
                <w:rFonts w:hint="eastAsia"/>
                <w:color w:val="auto"/>
              </w:rPr>
              <w:t>）完工验收未形成记录或未经责任人签字确认，扣</w:t>
            </w:r>
            <w:r>
              <w:rPr>
                <w:color w:val="auto"/>
              </w:rPr>
              <w:t>5</w:t>
            </w:r>
            <w:r>
              <w:rPr>
                <w:rFonts w:hint="eastAsia"/>
                <w:color w:val="auto"/>
              </w:rPr>
              <w:t>分</w:t>
            </w:r>
          </w:p>
          <w:p w14:paraId="65A9EDAD">
            <w:pPr>
              <w:pStyle w:val="44"/>
              <w:jc w:val="left"/>
              <w:rPr>
                <w:color w:val="auto"/>
              </w:rPr>
            </w:pPr>
            <w:r>
              <w:rPr>
                <w:color w:val="auto"/>
              </w:rPr>
              <w:t>4</w:t>
            </w:r>
            <w:r>
              <w:rPr>
                <w:rFonts w:hint="eastAsia"/>
                <w:color w:val="auto"/>
              </w:rPr>
              <w:t>）各阶段检查验收内容和指标未进行量化，扣</w:t>
            </w:r>
            <w:r>
              <w:rPr>
                <w:color w:val="auto"/>
              </w:rPr>
              <w:t>5</w:t>
            </w:r>
            <w:r>
              <w:rPr>
                <w:rFonts w:hint="eastAsia"/>
                <w:color w:val="auto"/>
              </w:rPr>
              <w:t>分</w:t>
            </w:r>
          </w:p>
          <w:p w14:paraId="0342D629">
            <w:pPr>
              <w:pStyle w:val="44"/>
              <w:jc w:val="left"/>
              <w:rPr>
                <w:color w:val="auto"/>
              </w:rPr>
            </w:pPr>
            <w:r>
              <w:rPr>
                <w:color w:val="auto"/>
              </w:rPr>
              <w:t>5</w:t>
            </w:r>
            <w:r>
              <w:rPr>
                <w:rFonts w:hint="eastAsia"/>
                <w:color w:val="auto"/>
              </w:rPr>
              <w:t>）验收合格后未在明显位置悬挂验收合格牌，扣</w:t>
            </w:r>
            <w:r>
              <w:rPr>
                <w:color w:val="auto"/>
              </w:rPr>
              <w:t>3</w:t>
            </w:r>
            <w:r>
              <w:rPr>
                <w:rFonts w:hint="eastAsia"/>
                <w:color w:val="auto"/>
              </w:rPr>
              <w:t>分</w:t>
            </w:r>
          </w:p>
        </w:tc>
        <w:tc>
          <w:tcPr>
            <w:tcW w:w="720" w:type="dxa"/>
            <w:vAlign w:val="center"/>
          </w:tcPr>
          <w:p w14:paraId="01FCBE57">
            <w:pPr>
              <w:pStyle w:val="44"/>
              <w:rPr>
                <w:color w:val="auto"/>
              </w:rPr>
            </w:pPr>
            <w:r>
              <w:rPr>
                <w:color w:val="auto"/>
              </w:rPr>
              <w:t>10</w:t>
            </w:r>
          </w:p>
        </w:tc>
        <w:tc>
          <w:tcPr>
            <w:tcW w:w="720" w:type="dxa"/>
            <w:vAlign w:val="center"/>
          </w:tcPr>
          <w:p w14:paraId="73F394BC">
            <w:pPr>
              <w:pStyle w:val="44"/>
              <w:rPr>
                <w:color w:val="auto"/>
              </w:rPr>
            </w:pPr>
          </w:p>
        </w:tc>
        <w:tc>
          <w:tcPr>
            <w:tcW w:w="720" w:type="dxa"/>
            <w:vAlign w:val="center"/>
          </w:tcPr>
          <w:p w14:paraId="28759E36">
            <w:pPr>
              <w:pStyle w:val="44"/>
              <w:rPr>
                <w:color w:val="auto"/>
              </w:rPr>
            </w:pPr>
          </w:p>
        </w:tc>
      </w:tr>
      <w:tr w14:paraId="3B501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9EFE55F">
            <w:pPr>
              <w:pStyle w:val="44"/>
              <w:rPr>
                <w:color w:val="auto"/>
              </w:rPr>
            </w:pPr>
            <w:r>
              <w:rPr>
                <w:color w:val="auto"/>
              </w:rPr>
              <w:t>7</w:t>
            </w:r>
          </w:p>
        </w:tc>
        <w:tc>
          <w:tcPr>
            <w:tcW w:w="543" w:type="dxa"/>
            <w:vMerge w:val="continue"/>
            <w:vAlign w:val="center"/>
          </w:tcPr>
          <w:p w14:paraId="28E15B9E">
            <w:pPr>
              <w:pStyle w:val="44"/>
              <w:rPr>
                <w:color w:val="auto"/>
              </w:rPr>
            </w:pPr>
          </w:p>
        </w:tc>
        <w:tc>
          <w:tcPr>
            <w:tcW w:w="898" w:type="dxa"/>
            <w:vAlign w:val="center"/>
          </w:tcPr>
          <w:p w14:paraId="3510B673">
            <w:pPr>
              <w:pStyle w:val="44"/>
              <w:rPr>
                <w:color w:val="auto"/>
              </w:rPr>
            </w:pPr>
            <w:r>
              <w:rPr>
                <w:rFonts w:hint="eastAsia"/>
                <w:color w:val="auto"/>
              </w:rPr>
              <w:t>监测</w:t>
            </w:r>
          </w:p>
        </w:tc>
        <w:tc>
          <w:tcPr>
            <w:tcW w:w="5580" w:type="dxa"/>
            <w:vAlign w:val="center"/>
          </w:tcPr>
          <w:p w14:paraId="5EF1CA0B">
            <w:pPr>
              <w:pStyle w:val="44"/>
              <w:jc w:val="left"/>
              <w:rPr>
                <w:color w:val="auto"/>
              </w:rPr>
            </w:pPr>
            <w:r>
              <w:rPr>
                <w:color w:val="auto"/>
              </w:rPr>
              <w:t>1</w:t>
            </w:r>
            <w:r>
              <w:rPr>
                <w:rFonts w:hint="eastAsia"/>
                <w:color w:val="auto"/>
              </w:rPr>
              <w:t>）未编制监测方案或未按照监测方案对围堰结构、内外部水位和相邻有影响的建（构）筑物进行监测监控，扣</w:t>
            </w:r>
            <w:r>
              <w:rPr>
                <w:color w:val="auto"/>
              </w:rPr>
              <w:t>10</w:t>
            </w:r>
            <w:r>
              <w:rPr>
                <w:rFonts w:hint="eastAsia"/>
                <w:color w:val="auto"/>
              </w:rPr>
              <w:t>分</w:t>
            </w:r>
          </w:p>
          <w:p w14:paraId="404A7325">
            <w:pPr>
              <w:pStyle w:val="44"/>
              <w:jc w:val="left"/>
              <w:rPr>
                <w:color w:val="auto"/>
              </w:rPr>
            </w:pPr>
            <w:r>
              <w:rPr>
                <w:color w:val="auto"/>
              </w:rPr>
              <w:t>2</w:t>
            </w:r>
            <w:r>
              <w:rPr>
                <w:rFonts w:hint="eastAsia"/>
                <w:color w:val="auto"/>
              </w:rPr>
              <w:t>）未设置变形观测基准点和观测点，扣</w:t>
            </w:r>
            <w:r>
              <w:rPr>
                <w:color w:val="auto"/>
              </w:rPr>
              <w:t>10</w:t>
            </w:r>
            <w:r>
              <w:rPr>
                <w:rFonts w:hint="eastAsia"/>
                <w:color w:val="auto"/>
              </w:rPr>
              <w:t>分</w:t>
            </w:r>
          </w:p>
          <w:p w14:paraId="6D034E3D">
            <w:pPr>
              <w:pStyle w:val="44"/>
              <w:jc w:val="left"/>
              <w:rPr>
                <w:color w:val="auto"/>
              </w:rPr>
            </w:pPr>
            <w:r>
              <w:rPr>
                <w:color w:val="auto"/>
              </w:rPr>
              <w:t>3</w:t>
            </w:r>
            <w:r>
              <w:rPr>
                <w:rFonts w:hint="eastAsia"/>
                <w:color w:val="auto"/>
              </w:rPr>
              <w:t>）布设支撑前未测读变形观测和水位观测的初始值，扣</w:t>
            </w:r>
            <w:r>
              <w:rPr>
                <w:color w:val="auto"/>
              </w:rPr>
              <w:t>5</w:t>
            </w:r>
            <w:r>
              <w:rPr>
                <w:rFonts w:hint="eastAsia"/>
                <w:color w:val="auto"/>
              </w:rPr>
              <w:t>分</w:t>
            </w:r>
          </w:p>
          <w:p w14:paraId="0B0ACC12">
            <w:pPr>
              <w:pStyle w:val="44"/>
              <w:jc w:val="left"/>
              <w:rPr>
                <w:color w:val="auto"/>
              </w:rPr>
            </w:pPr>
            <w:r>
              <w:rPr>
                <w:color w:val="auto"/>
              </w:rPr>
              <w:t>4</w:t>
            </w:r>
            <w:r>
              <w:rPr>
                <w:rFonts w:hint="eastAsia"/>
                <w:color w:val="auto"/>
              </w:rPr>
              <w:t>）监测监控未记录监测时间、工况、监测点、监测项目和报警值，扣</w:t>
            </w:r>
            <w:r>
              <w:rPr>
                <w:color w:val="auto"/>
              </w:rPr>
              <w:t>2-5</w:t>
            </w:r>
            <w:r>
              <w:rPr>
                <w:rFonts w:hint="eastAsia"/>
                <w:color w:val="auto"/>
              </w:rPr>
              <w:t>分</w:t>
            </w:r>
          </w:p>
          <w:p w14:paraId="74E8A6D2">
            <w:pPr>
              <w:pStyle w:val="44"/>
              <w:jc w:val="left"/>
              <w:rPr>
                <w:color w:val="auto"/>
              </w:rPr>
            </w:pPr>
            <w:r>
              <w:rPr>
                <w:color w:val="auto"/>
              </w:rPr>
              <w:t>5</w:t>
            </w:r>
            <w:r>
              <w:rPr>
                <w:rFonts w:hint="eastAsia"/>
                <w:color w:val="auto"/>
              </w:rPr>
              <w:t>）围堰内抽水时未对围堰各部位的变形进行监测，扣</w:t>
            </w:r>
            <w:r>
              <w:rPr>
                <w:color w:val="auto"/>
              </w:rPr>
              <w:t>5</w:t>
            </w:r>
            <w:r>
              <w:rPr>
                <w:rFonts w:hint="eastAsia"/>
                <w:color w:val="auto"/>
              </w:rPr>
              <w:t>分</w:t>
            </w:r>
          </w:p>
        </w:tc>
        <w:tc>
          <w:tcPr>
            <w:tcW w:w="720" w:type="dxa"/>
            <w:vAlign w:val="center"/>
          </w:tcPr>
          <w:p w14:paraId="47CB2230">
            <w:pPr>
              <w:pStyle w:val="44"/>
              <w:rPr>
                <w:color w:val="auto"/>
              </w:rPr>
            </w:pPr>
            <w:r>
              <w:rPr>
                <w:color w:val="auto"/>
              </w:rPr>
              <w:t>10</w:t>
            </w:r>
          </w:p>
        </w:tc>
        <w:tc>
          <w:tcPr>
            <w:tcW w:w="720" w:type="dxa"/>
            <w:vAlign w:val="center"/>
          </w:tcPr>
          <w:p w14:paraId="6E9DD369">
            <w:pPr>
              <w:pStyle w:val="44"/>
              <w:rPr>
                <w:color w:val="auto"/>
              </w:rPr>
            </w:pPr>
          </w:p>
        </w:tc>
        <w:tc>
          <w:tcPr>
            <w:tcW w:w="720" w:type="dxa"/>
            <w:vAlign w:val="center"/>
          </w:tcPr>
          <w:p w14:paraId="7526AAEF">
            <w:pPr>
              <w:pStyle w:val="44"/>
              <w:rPr>
                <w:color w:val="auto"/>
              </w:rPr>
            </w:pPr>
          </w:p>
        </w:tc>
      </w:tr>
      <w:tr w14:paraId="0E95A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3213CE0">
            <w:pPr>
              <w:pStyle w:val="44"/>
              <w:rPr>
                <w:color w:val="auto"/>
              </w:rPr>
            </w:pPr>
          </w:p>
        </w:tc>
        <w:tc>
          <w:tcPr>
            <w:tcW w:w="543" w:type="dxa"/>
            <w:vMerge w:val="continue"/>
          </w:tcPr>
          <w:p w14:paraId="6CF25E58">
            <w:pPr>
              <w:pStyle w:val="44"/>
              <w:rPr>
                <w:color w:val="auto"/>
              </w:rPr>
            </w:pPr>
          </w:p>
        </w:tc>
        <w:tc>
          <w:tcPr>
            <w:tcW w:w="6478" w:type="dxa"/>
            <w:gridSpan w:val="2"/>
            <w:vAlign w:val="center"/>
          </w:tcPr>
          <w:p w14:paraId="6EDCE492">
            <w:pPr>
              <w:pStyle w:val="44"/>
              <w:rPr>
                <w:b/>
                <w:bCs w:val="0"/>
                <w:color w:val="auto"/>
              </w:rPr>
            </w:pPr>
            <w:r>
              <w:rPr>
                <w:rFonts w:hint="eastAsia"/>
                <w:b/>
                <w:bCs w:val="0"/>
                <w:color w:val="auto"/>
              </w:rPr>
              <w:t>小</w:t>
            </w:r>
            <w:r>
              <w:rPr>
                <w:b/>
                <w:bCs w:val="0"/>
                <w:color w:val="auto"/>
              </w:rPr>
              <w:t xml:space="preserve">  </w:t>
            </w:r>
            <w:r>
              <w:rPr>
                <w:rFonts w:hint="eastAsia"/>
                <w:b/>
                <w:bCs w:val="0"/>
                <w:color w:val="auto"/>
              </w:rPr>
              <w:t>计</w:t>
            </w:r>
          </w:p>
        </w:tc>
        <w:tc>
          <w:tcPr>
            <w:tcW w:w="720" w:type="dxa"/>
            <w:vAlign w:val="center"/>
          </w:tcPr>
          <w:p w14:paraId="0C6C44C6">
            <w:pPr>
              <w:pStyle w:val="44"/>
              <w:rPr>
                <w:color w:val="auto"/>
              </w:rPr>
            </w:pPr>
            <w:r>
              <w:rPr>
                <w:color w:val="auto"/>
              </w:rPr>
              <w:t>70</w:t>
            </w:r>
          </w:p>
        </w:tc>
        <w:tc>
          <w:tcPr>
            <w:tcW w:w="720" w:type="dxa"/>
            <w:vAlign w:val="center"/>
          </w:tcPr>
          <w:p w14:paraId="14CD06CB">
            <w:pPr>
              <w:pStyle w:val="44"/>
              <w:rPr>
                <w:color w:val="auto"/>
              </w:rPr>
            </w:pPr>
          </w:p>
        </w:tc>
        <w:tc>
          <w:tcPr>
            <w:tcW w:w="720" w:type="dxa"/>
            <w:vAlign w:val="center"/>
          </w:tcPr>
          <w:p w14:paraId="5CC73757">
            <w:pPr>
              <w:pStyle w:val="44"/>
              <w:rPr>
                <w:color w:val="auto"/>
              </w:rPr>
            </w:pPr>
          </w:p>
        </w:tc>
      </w:tr>
      <w:tr w14:paraId="0B23B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11F5A6F3">
            <w:pPr>
              <w:pStyle w:val="44"/>
              <w:rPr>
                <w:color w:val="auto"/>
              </w:rPr>
            </w:pPr>
            <w:r>
              <w:rPr>
                <w:color w:val="auto"/>
              </w:rPr>
              <w:t>1</w:t>
            </w:r>
          </w:p>
        </w:tc>
        <w:tc>
          <w:tcPr>
            <w:tcW w:w="543" w:type="dxa"/>
            <w:vMerge w:val="restart"/>
            <w:vAlign w:val="center"/>
          </w:tcPr>
          <w:p w14:paraId="27F865BF">
            <w:pPr>
              <w:pStyle w:val="44"/>
              <w:rPr>
                <w:color w:val="auto"/>
              </w:rPr>
            </w:pPr>
            <w:r>
              <w:rPr>
                <w:rFonts w:hint="eastAsia"/>
                <w:color w:val="auto"/>
              </w:rPr>
              <w:t>一</w:t>
            </w:r>
          </w:p>
          <w:p w14:paraId="33B06763">
            <w:pPr>
              <w:pStyle w:val="44"/>
              <w:rPr>
                <w:color w:val="auto"/>
              </w:rPr>
            </w:pPr>
            <w:r>
              <w:rPr>
                <w:rFonts w:hint="eastAsia"/>
                <w:color w:val="auto"/>
              </w:rPr>
              <w:t>般</w:t>
            </w:r>
          </w:p>
          <w:p w14:paraId="02038B0E">
            <w:pPr>
              <w:pStyle w:val="44"/>
              <w:rPr>
                <w:color w:val="auto"/>
              </w:rPr>
            </w:pPr>
            <w:r>
              <w:rPr>
                <w:rFonts w:hint="eastAsia"/>
                <w:color w:val="auto"/>
              </w:rPr>
              <w:t>项</w:t>
            </w:r>
          </w:p>
          <w:p w14:paraId="385325C6">
            <w:pPr>
              <w:pStyle w:val="44"/>
              <w:rPr>
                <w:color w:val="auto"/>
              </w:rPr>
            </w:pPr>
            <w:r>
              <w:rPr>
                <w:rFonts w:hint="eastAsia"/>
                <w:color w:val="auto"/>
              </w:rPr>
              <w:t>目</w:t>
            </w:r>
          </w:p>
        </w:tc>
        <w:tc>
          <w:tcPr>
            <w:tcW w:w="898" w:type="dxa"/>
            <w:vAlign w:val="center"/>
          </w:tcPr>
          <w:p w14:paraId="2730C28E">
            <w:pPr>
              <w:pStyle w:val="44"/>
              <w:rPr>
                <w:color w:val="auto"/>
              </w:rPr>
            </w:pPr>
            <w:r>
              <w:rPr>
                <w:rFonts w:hint="eastAsia"/>
                <w:color w:val="auto"/>
              </w:rPr>
              <w:t>安全使用</w:t>
            </w:r>
          </w:p>
        </w:tc>
        <w:tc>
          <w:tcPr>
            <w:tcW w:w="5580" w:type="dxa"/>
            <w:vAlign w:val="center"/>
          </w:tcPr>
          <w:p w14:paraId="0AD68ED4">
            <w:pPr>
              <w:pStyle w:val="44"/>
              <w:jc w:val="left"/>
              <w:rPr>
                <w:color w:val="auto"/>
              </w:rPr>
            </w:pPr>
            <w:r>
              <w:rPr>
                <w:color w:val="auto"/>
              </w:rPr>
              <w:t>1</w:t>
            </w:r>
            <w:r>
              <w:rPr>
                <w:rFonts w:hint="eastAsia"/>
                <w:color w:val="auto"/>
              </w:rPr>
              <w:t>）围堰顶的高度不满足正常施工状态下围堰内不灌水得要求，扣</w:t>
            </w:r>
            <w:r>
              <w:rPr>
                <w:color w:val="auto"/>
              </w:rPr>
              <w:t>10</w:t>
            </w:r>
            <w:r>
              <w:rPr>
                <w:rFonts w:hint="eastAsia"/>
                <w:color w:val="auto"/>
              </w:rPr>
              <w:t>分</w:t>
            </w:r>
          </w:p>
          <w:p w14:paraId="3C9582D1">
            <w:pPr>
              <w:pStyle w:val="44"/>
              <w:jc w:val="left"/>
              <w:rPr>
                <w:color w:val="auto"/>
              </w:rPr>
            </w:pPr>
            <w:r>
              <w:rPr>
                <w:color w:val="auto"/>
              </w:rPr>
              <w:t>2</w:t>
            </w:r>
            <w:r>
              <w:rPr>
                <w:rFonts w:hint="eastAsia"/>
                <w:color w:val="auto"/>
              </w:rPr>
              <w:t>）使用过程中未经重新设计私自加高钢围堰，扣</w:t>
            </w:r>
            <w:r>
              <w:rPr>
                <w:color w:val="auto"/>
              </w:rPr>
              <w:t>10</w:t>
            </w:r>
            <w:r>
              <w:rPr>
                <w:rFonts w:hint="eastAsia"/>
                <w:color w:val="auto"/>
              </w:rPr>
              <w:t>分</w:t>
            </w:r>
          </w:p>
          <w:p w14:paraId="4A1423C6">
            <w:pPr>
              <w:pStyle w:val="44"/>
              <w:jc w:val="left"/>
              <w:rPr>
                <w:color w:val="auto"/>
              </w:rPr>
            </w:pPr>
            <w:r>
              <w:rPr>
                <w:color w:val="auto"/>
              </w:rPr>
              <w:t>3</w:t>
            </w:r>
            <w:r>
              <w:rPr>
                <w:rFonts w:hint="eastAsia"/>
                <w:color w:val="auto"/>
              </w:rPr>
              <w:t>）上部作业平台施工均布荷载、集中荷载超过设计允许范围，扣</w:t>
            </w:r>
            <w:r>
              <w:rPr>
                <w:color w:val="auto"/>
              </w:rPr>
              <w:t>10</w:t>
            </w:r>
            <w:r>
              <w:rPr>
                <w:rFonts w:hint="eastAsia"/>
                <w:color w:val="auto"/>
              </w:rPr>
              <w:t>分</w:t>
            </w:r>
          </w:p>
        </w:tc>
        <w:tc>
          <w:tcPr>
            <w:tcW w:w="720" w:type="dxa"/>
            <w:vAlign w:val="center"/>
          </w:tcPr>
          <w:p w14:paraId="7FF2FAA8">
            <w:pPr>
              <w:pStyle w:val="44"/>
              <w:rPr>
                <w:color w:val="auto"/>
              </w:rPr>
            </w:pPr>
            <w:r>
              <w:rPr>
                <w:color w:val="auto"/>
              </w:rPr>
              <w:t>10</w:t>
            </w:r>
          </w:p>
        </w:tc>
        <w:tc>
          <w:tcPr>
            <w:tcW w:w="720" w:type="dxa"/>
            <w:vAlign w:val="center"/>
          </w:tcPr>
          <w:p w14:paraId="35207D88">
            <w:pPr>
              <w:pStyle w:val="44"/>
              <w:rPr>
                <w:color w:val="auto"/>
              </w:rPr>
            </w:pPr>
          </w:p>
        </w:tc>
        <w:tc>
          <w:tcPr>
            <w:tcW w:w="720" w:type="dxa"/>
            <w:vAlign w:val="center"/>
          </w:tcPr>
          <w:p w14:paraId="68F3AD28">
            <w:pPr>
              <w:pStyle w:val="44"/>
              <w:rPr>
                <w:color w:val="auto"/>
              </w:rPr>
            </w:pPr>
          </w:p>
        </w:tc>
      </w:tr>
      <w:tr w14:paraId="12456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D7F1E0A">
            <w:pPr>
              <w:pStyle w:val="44"/>
              <w:rPr>
                <w:color w:val="auto"/>
              </w:rPr>
            </w:pPr>
            <w:r>
              <w:rPr>
                <w:color w:val="auto"/>
              </w:rPr>
              <w:t>2</w:t>
            </w:r>
          </w:p>
        </w:tc>
        <w:tc>
          <w:tcPr>
            <w:tcW w:w="543" w:type="dxa"/>
            <w:vMerge w:val="continue"/>
          </w:tcPr>
          <w:p w14:paraId="09D82230">
            <w:pPr>
              <w:pStyle w:val="44"/>
              <w:rPr>
                <w:color w:val="auto"/>
              </w:rPr>
            </w:pPr>
          </w:p>
        </w:tc>
        <w:tc>
          <w:tcPr>
            <w:tcW w:w="898" w:type="dxa"/>
            <w:vAlign w:val="center"/>
          </w:tcPr>
          <w:p w14:paraId="1F4BEB78">
            <w:pPr>
              <w:pStyle w:val="44"/>
              <w:rPr>
                <w:color w:val="auto"/>
              </w:rPr>
            </w:pPr>
            <w:r>
              <w:rPr>
                <w:rFonts w:hint="eastAsia"/>
                <w:color w:val="auto"/>
              </w:rPr>
              <w:t>安全防护</w:t>
            </w:r>
          </w:p>
        </w:tc>
        <w:tc>
          <w:tcPr>
            <w:tcW w:w="5580" w:type="dxa"/>
            <w:vAlign w:val="center"/>
          </w:tcPr>
          <w:p w14:paraId="43A03C0F">
            <w:pPr>
              <w:pStyle w:val="44"/>
              <w:jc w:val="left"/>
              <w:rPr>
                <w:color w:val="auto"/>
              </w:rPr>
            </w:pPr>
            <w:r>
              <w:rPr>
                <w:color w:val="auto"/>
              </w:rPr>
              <w:t>1</w:t>
            </w:r>
            <w:r>
              <w:rPr>
                <w:rFonts w:hint="eastAsia"/>
                <w:color w:val="auto"/>
              </w:rPr>
              <w:t>）钢围堰内外未按规定设置上下通道，扣</w:t>
            </w:r>
            <w:r>
              <w:rPr>
                <w:color w:val="auto"/>
              </w:rPr>
              <w:t>10</w:t>
            </w:r>
            <w:r>
              <w:rPr>
                <w:rFonts w:hint="eastAsia"/>
                <w:color w:val="auto"/>
              </w:rPr>
              <w:t>分</w:t>
            </w:r>
          </w:p>
          <w:p w14:paraId="4535D81D">
            <w:pPr>
              <w:pStyle w:val="44"/>
              <w:jc w:val="left"/>
              <w:rPr>
                <w:color w:val="auto"/>
              </w:rPr>
            </w:pPr>
            <w:r>
              <w:rPr>
                <w:color w:val="auto"/>
              </w:rPr>
              <w:t>2</w:t>
            </w:r>
            <w:r>
              <w:rPr>
                <w:rFonts w:hint="eastAsia"/>
                <w:color w:val="auto"/>
              </w:rPr>
              <w:t>）临边未按规定设置防护栏杆，扣</w:t>
            </w:r>
            <w:r>
              <w:rPr>
                <w:color w:val="auto"/>
              </w:rPr>
              <w:t>5</w:t>
            </w:r>
            <w:r>
              <w:rPr>
                <w:rFonts w:hint="eastAsia"/>
                <w:color w:val="auto"/>
              </w:rPr>
              <w:t>分</w:t>
            </w:r>
          </w:p>
          <w:p w14:paraId="4DE62FD1">
            <w:pPr>
              <w:pStyle w:val="44"/>
              <w:jc w:val="left"/>
              <w:rPr>
                <w:color w:val="auto"/>
              </w:rPr>
            </w:pPr>
            <w:r>
              <w:rPr>
                <w:color w:val="auto"/>
              </w:rPr>
              <w:t>3</w:t>
            </w:r>
            <w:r>
              <w:rPr>
                <w:rFonts w:hint="eastAsia"/>
                <w:color w:val="auto"/>
              </w:rPr>
              <w:t>）船舶停泊处水中围堰未设置船舶靠泊系揽桩，或将船舶系缆于围堰结构上，扣</w:t>
            </w:r>
            <w:r>
              <w:rPr>
                <w:color w:val="auto"/>
              </w:rPr>
              <w:t>10</w:t>
            </w:r>
            <w:r>
              <w:rPr>
                <w:rFonts w:hint="eastAsia"/>
                <w:color w:val="auto"/>
              </w:rPr>
              <w:t>分</w:t>
            </w:r>
          </w:p>
          <w:p w14:paraId="5DF8BA21">
            <w:pPr>
              <w:pStyle w:val="44"/>
              <w:jc w:val="left"/>
              <w:rPr>
                <w:color w:val="auto"/>
              </w:rPr>
            </w:pPr>
            <w:r>
              <w:rPr>
                <w:color w:val="auto"/>
              </w:rPr>
              <w:t>4</w:t>
            </w:r>
            <w:r>
              <w:rPr>
                <w:rFonts w:hint="eastAsia"/>
                <w:color w:val="auto"/>
              </w:rPr>
              <w:t>）通航水域围堰的临边栏杆未设置反光设施，或边角处未设置红色警示灯，扣</w:t>
            </w:r>
            <w:r>
              <w:rPr>
                <w:color w:val="auto"/>
              </w:rPr>
              <w:t>10</w:t>
            </w:r>
            <w:r>
              <w:rPr>
                <w:rFonts w:hint="eastAsia"/>
                <w:color w:val="auto"/>
              </w:rPr>
              <w:t>分</w:t>
            </w:r>
          </w:p>
          <w:p w14:paraId="1E04846A">
            <w:pPr>
              <w:pStyle w:val="44"/>
              <w:jc w:val="left"/>
              <w:rPr>
                <w:color w:val="auto"/>
              </w:rPr>
            </w:pPr>
            <w:r>
              <w:rPr>
                <w:color w:val="auto"/>
              </w:rPr>
              <w:t>5</w:t>
            </w:r>
            <w:r>
              <w:rPr>
                <w:rFonts w:hint="eastAsia"/>
                <w:color w:val="auto"/>
              </w:rPr>
              <w:t>）通航水域的围堰未设置船舶防撞桩，扣</w:t>
            </w:r>
            <w:r>
              <w:rPr>
                <w:color w:val="auto"/>
              </w:rPr>
              <w:t>10</w:t>
            </w:r>
            <w:r>
              <w:rPr>
                <w:rFonts w:hint="eastAsia"/>
                <w:color w:val="auto"/>
              </w:rPr>
              <w:t>分</w:t>
            </w:r>
          </w:p>
          <w:p w14:paraId="60679D7E">
            <w:pPr>
              <w:pStyle w:val="44"/>
              <w:jc w:val="left"/>
              <w:rPr>
                <w:color w:val="auto"/>
              </w:rPr>
            </w:pPr>
            <w:r>
              <w:rPr>
                <w:color w:val="auto"/>
              </w:rPr>
              <w:t>6</w:t>
            </w:r>
            <w:r>
              <w:rPr>
                <w:rFonts w:hint="eastAsia"/>
                <w:color w:val="auto"/>
              </w:rPr>
              <w:t>）围堰上未配备足够的、各种类型的消防、救生器材，扣</w:t>
            </w:r>
            <w:r>
              <w:rPr>
                <w:color w:val="auto"/>
              </w:rPr>
              <w:t>5</w:t>
            </w:r>
            <w:r>
              <w:rPr>
                <w:rFonts w:hint="eastAsia"/>
                <w:color w:val="auto"/>
              </w:rPr>
              <w:t>分</w:t>
            </w:r>
          </w:p>
        </w:tc>
        <w:tc>
          <w:tcPr>
            <w:tcW w:w="720" w:type="dxa"/>
            <w:vAlign w:val="center"/>
          </w:tcPr>
          <w:p w14:paraId="0FFE1E21">
            <w:pPr>
              <w:pStyle w:val="44"/>
              <w:rPr>
                <w:color w:val="auto"/>
              </w:rPr>
            </w:pPr>
            <w:r>
              <w:rPr>
                <w:color w:val="auto"/>
              </w:rPr>
              <w:t>10</w:t>
            </w:r>
          </w:p>
        </w:tc>
        <w:tc>
          <w:tcPr>
            <w:tcW w:w="720" w:type="dxa"/>
            <w:vAlign w:val="center"/>
          </w:tcPr>
          <w:p w14:paraId="66D250C9">
            <w:pPr>
              <w:pStyle w:val="44"/>
              <w:rPr>
                <w:color w:val="auto"/>
              </w:rPr>
            </w:pPr>
          </w:p>
        </w:tc>
        <w:tc>
          <w:tcPr>
            <w:tcW w:w="720" w:type="dxa"/>
            <w:vAlign w:val="center"/>
          </w:tcPr>
          <w:p w14:paraId="7E3E2620">
            <w:pPr>
              <w:pStyle w:val="44"/>
              <w:rPr>
                <w:color w:val="auto"/>
              </w:rPr>
            </w:pPr>
          </w:p>
        </w:tc>
      </w:tr>
      <w:tr w14:paraId="78963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D45058D">
            <w:pPr>
              <w:pStyle w:val="44"/>
              <w:rPr>
                <w:color w:val="auto"/>
              </w:rPr>
            </w:pPr>
            <w:r>
              <w:rPr>
                <w:color w:val="auto"/>
              </w:rPr>
              <w:t>3</w:t>
            </w:r>
          </w:p>
        </w:tc>
        <w:tc>
          <w:tcPr>
            <w:tcW w:w="543" w:type="dxa"/>
            <w:vMerge w:val="continue"/>
          </w:tcPr>
          <w:p w14:paraId="05F6AF7E">
            <w:pPr>
              <w:pStyle w:val="44"/>
              <w:rPr>
                <w:color w:val="auto"/>
              </w:rPr>
            </w:pPr>
          </w:p>
        </w:tc>
        <w:tc>
          <w:tcPr>
            <w:tcW w:w="898" w:type="dxa"/>
            <w:vAlign w:val="center"/>
          </w:tcPr>
          <w:p w14:paraId="0390543A">
            <w:pPr>
              <w:pStyle w:val="44"/>
              <w:rPr>
                <w:color w:val="auto"/>
              </w:rPr>
            </w:pPr>
            <w:r>
              <w:rPr>
                <w:rFonts w:hint="eastAsia"/>
                <w:color w:val="auto"/>
              </w:rPr>
              <w:t>拆除</w:t>
            </w:r>
          </w:p>
        </w:tc>
        <w:tc>
          <w:tcPr>
            <w:tcW w:w="5580" w:type="dxa"/>
            <w:vAlign w:val="center"/>
          </w:tcPr>
          <w:p w14:paraId="1D6DF171">
            <w:pPr>
              <w:pStyle w:val="44"/>
              <w:jc w:val="left"/>
              <w:rPr>
                <w:color w:val="auto"/>
              </w:rPr>
            </w:pPr>
            <w:r>
              <w:rPr>
                <w:color w:val="auto"/>
              </w:rPr>
              <w:t>1</w:t>
            </w:r>
            <w:r>
              <w:rPr>
                <w:rFonts w:hint="eastAsia"/>
                <w:color w:val="auto"/>
              </w:rPr>
              <w:t>）钢板桩或钢管桩围堰拆除未按从下游侧开始逐步向上游侧的顺序进行，扣</w:t>
            </w:r>
            <w:r>
              <w:rPr>
                <w:color w:val="auto"/>
              </w:rPr>
              <w:t>10</w:t>
            </w:r>
            <w:r>
              <w:rPr>
                <w:rFonts w:hint="eastAsia"/>
                <w:color w:val="auto"/>
              </w:rPr>
              <w:t>分</w:t>
            </w:r>
          </w:p>
          <w:p w14:paraId="76AA72DD">
            <w:pPr>
              <w:pStyle w:val="44"/>
              <w:jc w:val="left"/>
              <w:rPr>
                <w:color w:val="auto"/>
              </w:rPr>
            </w:pPr>
            <w:r>
              <w:rPr>
                <w:color w:val="auto"/>
              </w:rPr>
              <w:t>2</w:t>
            </w:r>
            <w:r>
              <w:rPr>
                <w:rFonts w:hint="eastAsia"/>
                <w:color w:val="auto"/>
              </w:rPr>
              <w:t>）钢板桩或钢管桩围堰内支撑拆除未按从下往上的顺序进行，或未按照先拆除支撑，再拆除围檩，最后拔出钢板桩或钢管桩的顺序进行拆除，扣</w:t>
            </w:r>
            <w:r>
              <w:rPr>
                <w:color w:val="auto"/>
              </w:rPr>
              <w:t>10</w:t>
            </w:r>
            <w:r>
              <w:rPr>
                <w:rFonts w:hint="eastAsia"/>
                <w:color w:val="auto"/>
              </w:rPr>
              <w:t>分</w:t>
            </w:r>
          </w:p>
          <w:p w14:paraId="23CF4D22">
            <w:pPr>
              <w:pStyle w:val="44"/>
              <w:jc w:val="left"/>
              <w:rPr>
                <w:color w:val="auto"/>
              </w:rPr>
            </w:pPr>
            <w:r>
              <w:rPr>
                <w:color w:val="auto"/>
              </w:rPr>
              <w:t>3</w:t>
            </w:r>
            <w:r>
              <w:rPr>
                <w:rFonts w:hint="eastAsia"/>
                <w:color w:val="auto"/>
              </w:rPr>
              <w:t>）钢套箱或钢吊箱围堰未按照先上后下、先支撑后侧板的顺序进行拆除，扣</w:t>
            </w:r>
            <w:r>
              <w:rPr>
                <w:color w:val="auto"/>
              </w:rPr>
              <w:t>10</w:t>
            </w:r>
            <w:r>
              <w:rPr>
                <w:rFonts w:hint="eastAsia"/>
                <w:color w:val="auto"/>
              </w:rPr>
              <w:t>分</w:t>
            </w:r>
          </w:p>
          <w:p w14:paraId="68270C06">
            <w:pPr>
              <w:pStyle w:val="44"/>
              <w:jc w:val="left"/>
              <w:rPr>
                <w:color w:val="auto"/>
              </w:rPr>
            </w:pPr>
            <w:r>
              <w:rPr>
                <w:color w:val="auto"/>
              </w:rPr>
              <w:t>4</w:t>
            </w:r>
            <w:r>
              <w:rPr>
                <w:rFonts w:hint="eastAsia"/>
                <w:color w:val="auto"/>
              </w:rPr>
              <w:t>）钢围堰拆除未采取向围堰内注水或在侧板上开连通孔，使内外水压保持平衡的措施，扣</w:t>
            </w:r>
            <w:r>
              <w:rPr>
                <w:color w:val="auto"/>
              </w:rPr>
              <w:t>10</w:t>
            </w:r>
            <w:r>
              <w:rPr>
                <w:rFonts w:hint="eastAsia"/>
                <w:color w:val="auto"/>
              </w:rPr>
              <w:t>分</w:t>
            </w:r>
          </w:p>
          <w:p w14:paraId="1E79F3B2">
            <w:pPr>
              <w:pStyle w:val="44"/>
              <w:jc w:val="left"/>
              <w:rPr>
                <w:color w:val="auto"/>
              </w:rPr>
            </w:pPr>
            <w:r>
              <w:rPr>
                <w:color w:val="auto"/>
              </w:rPr>
              <w:t>5</w:t>
            </w:r>
            <w:r>
              <w:rPr>
                <w:rFonts w:hint="eastAsia"/>
                <w:color w:val="auto"/>
              </w:rPr>
              <w:t>）每道支撑拆除前，未按专项施工方案的规定采取换撑措施，扣</w:t>
            </w:r>
            <w:r>
              <w:rPr>
                <w:color w:val="auto"/>
              </w:rPr>
              <w:t>10</w:t>
            </w:r>
            <w:r>
              <w:rPr>
                <w:rFonts w:hint="eastAsia"/>
                <w:color w:val="auto"/>
              </w:rPr>
              <w:t>分</w:t>
            </w:r>
          </w:p>
          <w:p w14:paraId="7B2D1EFD">
            <w:pPr>
              <w:pStyle w:val="44"/>
              <w:jc w:val="left"/>
              <w:rPr>
                <w:color w:val="auto"/>
              </w:rPr>
            </w:pPr>
            <w:r>
              <w:rPr>
                <w:color w:val="auto"/>
              </w:rPr>
              <w:t>6</w:t>
            </w:r>
            <w:r>
              <w:rPr>
                <w:rFonts w:hint="eastAsia"/>
                <w:color w:val="auto"/>
              </w:rPr>
              <w:t>）钢管桩或钢板桩拔桩的起重设备未配置超载限制器，或强制进行拔桩，扣</w:t>
            </w:r>
            <w:r>
              <w:rPr>
                <w:color w:val="auto"/>
              </w:rPr>
              <w:t>10</w:t>
            </w:r>
            <w:r>
              <w:rPr>
                <w:rFonts w:hint="eastAsia"/>
                <w:color w:val="auto"/>
              </w:rPr>
              <w:t>分</w:t>
            </w:r>
          </w:p>
          <w:p w14:paraId="0D777022">
            <w:pPr>
              <w:pStyle w:val="44"/>
              <w:jc w:val="left"/>
              <w:rPr>
                <w:color w:val="auto"/>
              </w:rPr>
            </w:pPr>
            <w:r>
              <w:rPr>
                <w:color w:val="auto"/>
              </w:rPr>
              <w:t>7</w:t>
            </w:r>
            <w:r>
              <w:rPr>
                <w:rFonts w:hint="eastAsia"/>
                <w:color w:val="auto"/>
              </w:rPr>
              <w:t>）从事钢围堰拆除作业潜水员未经专业机构培训并取得相应从业资格，扣</w:t>
            </w:r>
            <w:r>
              <w:rPr>
                <w:color w:val="auto"/>
              </w:rPr>
              <w:t>5</w:t>
            </w:r>
            <w:r>
              <w:rPr>
                <w:rFonts w:hint="eastAsia"/>
                <w:color w:val="auto"/>
              </w:rPr>
              <w:t>分</w:t>
            </w:r>
          </w:p>
        </w:tc>
        <w:tc>
          <w:tcPr>
            <w:tcW w:w="720" w:type="dxa"/>
            <w:vAlign w:val="center"/>
          </w:tcPr>
          <w:p w14:paraId="6ED9E83E">
            <w:pPr>
              <w:pStyle w:val="44"/>
              <w:rPr>
                <w:color w:val="auto"/>
              </w:rPr>
            </w:pPr>
            <w:r>
              <w:rPr>
                <w:color w:val="auto"/>
              </w:rPr>
              <w:t>10</w:t>
            </w:r>
          </w:p>
        </w:tc>
        <w:tc>
          <w:tcPr>
            <w:tcW w:w="720" w:type="dxa"/>
            <w:vAlign w:val="center"/>
          </w:tcPr>
          <w:p w14:paraId="1F838150">
            <w:pPr>
              <w:pStyle w:val="44"/>
              <w:rPr>
                <w:color w:val="auto"/>
              </w:rPr>
            </w:pPr>
          </w:p>
        </w:tc>
        <w:tc>
          <w:tcPr>
            <w:tcW w:w="720" w:type="dxa"/>
            <w:vAlign w:val="center"/>
          </w:tcPr>
          <w:p w14:paraId="367B268F">
            <w:pPr>
              <w:pStyle w:val="44"/>
              <w:rPr>
                <w:color w:val="auto"/>
              </w:rPr>
            </w:pPr>
          </w:p>
        </w:tc>
      </w:tr>
      <w:tr w14:paraId="0BEDE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FF6E2C1">
            <w:pPr>
              <w:pStyle w:val="44"/>
              <w:rPr>
                <w:color w:val="auto"/>
              </w:rPr>
            </w:pPr>
          </w:p>
        </w:tc>
        <w:tc>
          <w:tcPr>
            <w:tcW w:w="543" w:type="dxa"/>
            <w:vMerge w:val="continue"/>
          </w:tcPr>
          <w:p w14:paraId="7B809ECB">
            <w:pPr>
              <w:pStyle w:val="44"/>
              <w:rPr>
                <w:color w:val="auto"/>
              </w:rPr>
            </w:pPr>
          </w:p>
        </w:tc>
        <w:tc>
          <w:tcPr>
            <w:tcW w:w="6478" w:type="dxa"/>
            <w:gridSpan w:val="2"/>
            <w:vAlign w:val="center"/>
          </w:tcPr>
          <w:p w14:paraId="36C883B2">
            <w:pPr>
              <w:pStyle w:val="44"/>
              <w:rPr>
                <w:b/>
                <w:bCs w:val="0"/>
                <w:color w:val="auto"/>
              </w:rPr>
            </w:pPr>
            <w:r>
              <w:rPr>
                <w:rFonts w:hint="eastAsia"/>
                <w:b/>
                <w:bCs w:val="0"/>
                <w:color w:val="auto"/>
              </w:rPr>
              <w:t xml:space="preserve">小 </w:t>
            </w:r>
            <w:r>
              <w:rPr>
                <w:b/>
                <w:bCs w:val="0"/>
                <w:color w:val="auto"/>
              </w:rPr>
              <w:t xml:space="preserve"> </w:t>
            </w:r>
            <w:r>
              <w:rPr>
                <w:rFonts w:hint="eastAsia"/>
                <w:b/>
                <w:bCs w:val="0"/>
                <w:color w:val="auto"/>
              </w:rPr>
              <w:t>计</w:t>
            </w:r>
          </w:p>
        </w:tc>
        <w:tc>
          <w:tcPr>
            <w:tcW w:w="720" w:type="dxa"/>
            <w:vAlign w:val="center"/>
          </w:tcPr>
          <w:p w14:paraId="689A9861">
            <w:pPr>
              <w:pStyle w:val="44"/>
              <w:rPr>
                <w:color w:val="auto"/>
              </w:rPr>
            </w:pPr>
            <w:r>
              <w:rPr>
                <w:color w:val="auto"/>
              </w:rPr>
              <w:t>30</w:t>
            </w:r>
          </w:p>
        </w:tc>
        <w:tc>
          <w:tcPr>
            <w:tcW w:w="720" w:type="dxa"/>
            <w:vAlign w:val="center"/>
          </w:tcPr>
          <w:p w14:paraId="2DE6B715">
            <w:pPr>
              <w:pStyle w:val="44"/>
              <w:rPr>
                <w:color w:val="auto"/>
              </w:rPr>
            </w:pPr>
          </w:p>
        </w:tc>
        <w:tc>
          <w:tcPr>
            <w:tcW w:w="720" w:type="dxa"/>
            <w:vAlign w:val="center"/>
          </w:tcPr>
          <w:p w14:paraId="065E688C">
            <w:pPr>
              <w:pStyle w:val="44"/>
              <w:rPr>
                <w:color w:val="auto"/>
              </w:rPr>
            </w:pPr>
          </w:p>
        </w:tc>
      </w:tr>
      <w:tr w14:paraId="5EBE4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560" w:type="dxa"/>
            <w:gridSpan w:val="4"/>
            <w:vAlign w:val="center"/>
          </w:tcPr>
          <w:p w14:paraId="365467B6">
            <w:pPr>
              <w:pStyle w:val="44"/>
              <w:rPr>
                <w:b/>
                <w:bCs w:val="0"/>
                <w:color w:val="auto"/>
              </w:rPr>
            </w:pPr>
            <w:r>
              <w:rPr>
                <w:rFonts w:hint="eastAsia"/>
                <w:b/>
                <w:bCs w:val="0"/>
                <w:color w:val="auto"/>
              </w:rPr>
              <w:t>检查项目合计</w:t>
            </w:r>
          </w:p>
        </w:tc>
        <w:tc>
          <w:tcPr>
            <w:tcW w:w="720" w:type="dxa"/>
            <w:vAlign w:val="center"/>
          </w:tcPr>
          <w:p w14:paraId="04C7E1D2">
            <w:pPr>
              <w:pStyle w:val="44"/>
              <w:rPr>
                <w:color w:val="auto"/>
              </w:rPr>
            </w:pPr>
            <w:r>
              <w:rPr>
                <w:color w:val="auto"/>
              </w:rPr>
              <w:t>100</w:t>
            </w:r>
          </w:p>
        </w:tc>
        <w:tc>
          <w:tcPr>
            <w:tcW w:w="720" w:type="dxa"/>
            <w:vAlign w:val="center"/>
          </w:tcPr>
          <w:p w14:paraId="6AB95A24">
            <w:pPr>
              <w:pStyle w:val="44"/>
              <w:rPr>
                <w:color w:val="auto"/>
              </w:rPr>
            </w:pPr>
          </w:p>
        </w:tc>
        <w:tc>
          <w:tcPr>
            <w:tcW w:w="720" w:type="dxa"/>
            <w:vAlign w:val="center"/>
          </w:tcPr>
          <w:p w14:paraId="45CCDFF8">
            <w:pPr>
              <w:pStyle w:val="44"/>
              <w:rPr>
                <w:color w:val="auto"/>
              </w:rPr>
            </w:pPr>
          </w:p>
        </w:tc>
      </w:tr>
    </w:tbl>
    <w:p w14:paraId="6EFE0C5D"/>
    <w:p w14:paraId="73A7F039">
      <w:pPr>
        <w:pStyle w:val="5"/>
      </w:pPr>
      <w:r>
        <w:rPr>
          <w:rFonts w:hint="eastAsia"/>
        </w:rPr>
        <w:br w:type="page"/>
      </w:r>
      <w:bookmarkStart w:id="31" w:name="_Toc10548"/>
      <w:bookmarkStart w:id="32" w:name="_Toc9756"/>
      <w:bookmarkStart w:id="33" w:name="_Toc18899"/>
      <w:r>
        <w:rPr>
          <w:rFonts w:hint="eastAsia"/>
        </w:rPr>
        <w:t>表</w:t>
      </w:r>
      <w:r>
        <w:t xml:space="preserve">B.8  </w:t>
      </w:r>
      <w:r>
        <w:rPr>
          <w:rFonts w:hint="eastAsia"/>
        </w:rPr>
        <w:t>土石围堰检查评分表</w:t>
      </w:r>
      <w:bookmarkEnd w:id="31"/>
      <w:bookmarkEnd w:id="32"/>
      <w:bookmarkEnd w:id="33"/>
    </w:p>
    <w:tbl>
      <w:tblPr>
        <w:tblStyle w:val="19"/>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4070D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jc w:val="center"/>
        </w:trPr>
        <w:tc>
          <w:tcPr>
            <w:tcW w:w="539" w:type="dxa"/>
            <w:vAlign w:val="center"/>
          </w:tcPr>
          <w:p w14:paraId="0FDE4080">
            <w:pPr>
              <w:pStyle w:val="44"/>
              <w:rPr>
                <w:color w:val="auto"/>
              </w:rPr>
            </w:pPr>
            <w:r>
              <w:rPr>
                <w:rFonts w:hint="eastAsia"/>
                <w:color w:val="auto"/>
              </w:rPr>
              <w:t>序号</w:t>
            </w:r>
          </w:p>
        </w:tc>
        <w:tc>
          <w:tcPr>
            <w:tcW w:w="1441" w:type="dxa"/>
            <w:gridSpan w:val="2"/>
            <w:vAlign w:val="center"/>
          </w:tcPr>
          <w:p w14:paraId="44ACD405">
            <w:pPr>
              <w:pStyle w:val="44"/>
              <w:rPr>
                <w:color w:val="auto"/>
              </w:rPr>
            </w:pPr>
            <w:r>
              <w:rPr>
                <w:rFonts w:hint="eastAsia"/>
                <w:color w:val="auto"/>
              </w:rPr>
              <w:t>检查项目</w:t>
            </w:r>
          </w:p>
        </w:tc>
        <w:tc>
          <w:tcPr>
            <w:tcW w:w="5580" w:type="dxa"/>
            <w:vAlign w:val="center"/>
          </w:tcPr>
          <w:p w14:paraId="75BEC85C">
            <w:pPr>
              <w:pStyle w:val="44"/>
              <w:rPr>
                <w:color w:val="auto"/>
              </w:rPr>
            </w:pPr>
            <w:r>
              <w:rPr>
                <w:rFonts w:hint="eastAsia"/>
                <w:color w:val="auto"/>
              </w:rPr>
              <w:t>扣</w:t>
            </w:r>
            <w:r>
              <w:rPr>
                <w:color w:val="auto"/>
              </w:rPr>
              <w:t xml:space="preserve"> </w:t>
            </w:r>
            <w:r>
              <w:rPr>
                <w:rFonts w:hint="eastAsia"/>
                <w:color w:val="auto"/>
              </w:rPr>
              <w:t>分</w:t>
            </w:r>
            <w:r>
              <w:rPr>
                <w:color w:val="auto"/>
              </w:rPr>
              <w:t xml:space="preserve"> </w:t>
            </w:r>
            <w:r>
              <w:rPr>
                <w:rFonts w:hint="eastAsia"/>
                <w:color w:val="auto"/>
              </w:rPr>
              <w:t>标</w:t>
            </w:r>
            <w:r>
              <w:rPr>
                <w:color w:val="auto"/>
              </w:rPr>
              <w:t xml:space="preserve"> </w:t>
            </w:r>
            <w:r>
              <w:rPr>
                <w:rFonts w:hint="eastAsia"/>
                <w:color w:val="auto"/>
              </w:rPr>
              <w:t>准</w:t>
            </w:r>
          </w:p>
        </w:tc>
        <w:tc>
          <w:tcPr>
            <w:tcW w:w="720" w:type="dxa"/>
            <w:vAlign w:val="center"/>
          </w:tcPr>
          <w:p w14:paraId="44381408">
            <w:pPr>
              <w:pStyle w:val="44"/>
              <w:rPr>
                <w:color w:val="auto"/>
              </w:rPr>
            </w:pPr>
            <w:r>
              <w:rPr>
                <w:rFonts w:hint="eastAsia"/>
                <w:color w:val="auto"/>
              </w:rPr>
              <w:t>应得</w:t>
            </w:r>
          </w:p>
          <w:p w14:paraId="178A1A5E">
            <w:pPr>
              <w:pStyle w:val="44"/>
              <w:rPr>
                <w:color w:val="auto"/>
              </w:rPr>
            </w:pPr>
            <w:r>
              <w:rPr>
                <w:rFonts w:hint="eastAsia"/>
                <w:color w:val="auto"/>
              </w:rPr>
              <w:t>分数</w:t>
            </w:r>
          </w:p>
        </w:tc>
        <w:tc>
          <w:tcPr>
            <w:tcW w:w="720" w:type="dxa"/>
            <w:vAlign w:val="center"/>
          </w:tcPr>
          <w:p w14:paraId="60ECD06B">
            <w:pPr>
              <w:pStyle w:val="44"/>
              <w:rPr>
                <w:color w:val="auto"/>
              </w:rPr>
            </w:pPr>
            <w:r>
              <w:rPr>
                <w:rFonts w:hint="eastAsia"/>
                <w:color w:val="auto"/>
              </w:rPr>
              <w:t>扣减</w:t>
            </w:r>
          </w:p>
          <w:p w14:paraId="1D8E8251">
            <w:pPr>
              <w:pStyle w:val="44"/>
              <w:rPr>
                <w:color w:val="auto"/>
              </w:rPr>
            </w:pPr>
            <w:r>
              <w:rPr>
                <w:rFonts w:hint="eastAsia"/>
                <w:color w:val="auto"/>
              </w:rPr>
              <w:t>分数</w:t>
            </w:r>
          </w:p>
        </w:tc>
        <w:tc>
          <w:tcPr>
            <w:tcW w:w="720" w:type="dxa"/>
            <w:vAlign w:val="center"/>
          </w:tcPr>
          <w:p w14:paraId="24856B04">
            <w:pPr>
              <w:pStyle w:val="44"/>
              <w:rPr>
                <w:color w:val="auto"/>
              </w:rPr>
            </w:pPr>
            <w:r>
              <w:rPr>
                <w:rFonts w:hint="eastAsia"/>
                <w:color w:val="auto"/>
              </w:rPr>
              <w:t>实得</w:t>
            </w:r>
          </w:p>
          <w:p w14:paraId="2CCE2913">
            <w:pPr>
              <w:pStyle w:val="44"/>
              <w:rPr>
                <w:color w:val="auto"/>
              </w:rPr>
            </w:pPr>
            <w:r>
              <w:rPr>
                <w:rFonts w:hint="eastAsia"/>
                <w:color w:val="auto"/>
              </w:rPr>
              <w:t>分数</w:t>
            </w:r>
          </w:p>
        </w:tc>
      </w:tr>
      <w:tr w14:paraId="10169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1903773F">
            <w:pPr>
              <w:pStyle w:val="44"/>
              <w:rPr>
                <w:color w:val="auto"/>
              </w:rPr>
            </w:pPr>
            <w:r>
              <w:rPr>
                <w:color w:val="auto"/>
              </w:rPr>
              <w:t>1</w:t>
            </w:r>
          </w:p>
        </w:tc>
        <w:tc>
          <w:tcPr>
            <w:tcW w:w="543" w:type="dxa"/>
            <w:vMerge w:val="restart"/>
            <w:vAlign w:val="center"/>
          </w:tcPr>
          <w:p w14:paraId="487B86F3">
            <w:pPr>
              <w:pStyle w:val="44"/>
              <w:rPr>
                <w:color w:val="auto"/>
              </w:rPr>
            </w:pPr>
            <w:r>
              <w:rPr>
                <w:rFonts w:hint="eastAsia"/>
                <w:color w:val="auto"/>
              </w:rPr>
              <w:t>保</w:t>
            </w:r>
          </w:p>
          <w:p w14:paraId="00A190D9">
            <w:pPr>
              <w:pStyle w:val="44"/>
              <w:rPr>
                <w:color w:val="auto"/>
              </w:rPr>
            </w:pPr>
            <w:r>
              <w:rPr>
                <w:rFonts w:hint="eastAsia"/>
                <w:color w:val="auto"/>
              </w:rPr>
              <w:t>证</w:t>
            </w:r>
          </w:p>
          <w:p w14:paraId="3B8E290F">
            <w:pPr>
              <w:pStyle w:val="44"/>
              <w:rPr>
                <w:color w:val="auto"/>
              </w:rPr>
            </w:pPr>
            <w:r>
              <w:rPr>
                <w:rFonts w:hint="eastAsia"/>
                <w:color w:val="auto"/>
              </w:rPr>
              <w:t>项</w:t>
            </w:r>
          </w:p>
          <w:p w14:paraId="22411FDB">
            <w:pPr>
              <w:pStyle w:val="44"/>
              <w:rPr>
                <w:color w:val="auto"/>
              </w:rPr>
            </w:pPr>
            <w:r>
              <w:rPr>
                <w:rFonts w:hint="eastAsia"/>
                <w:color w:val="auto"/>
              </w:rPr>
              <w:t>目</w:t>
            </w:r>
          </w:p>
        </w:tc>
        <w:tc>
          <w:tcPr>
            <w:tcW w:w="898" w:type="dxa"/>
            <w:vAlign w:val="center"/>
          </w:tcPr>
          <w:p w14:paraId="087D30C7">
            <w:pPr>
              <w:pStyle w:val="44"/>
              <w:rPr>
                <w:color w:val="auto"/>
              </w:rPr>
            </w:pPr>
            <w:r>
              <w:rPr>
                <w:rFonts w:hint="eastAsia"/>
                <w:color w:val="auto"/>
              </w:rPr>
              <w:t>方案与交底</w:t>
            </w:r>
          </w:p>
        </w:tc>
        <w:tc>
          <w:tcPr>
            <w:tcW w:w="5580" w:type="dxa"/>
            <w:vAlign w:val="center"/>
          </w:tcPr>
          <w:p w14:paraId="4C5640B3">
            <w:pPr>
              <w:pStyle w:val="44"/>
              <w:jc w:val="left"/>
              <w:rPr>
                <w:color w:val="auto"/>
              </w:rPr>
            </w:pPr>
            <w:r>
              <w:rPr>
                <w:color w:val="auto"/>
              </w:rPr>
              <w:t xml:space="preserve">1) </w:t>
            </w:r>
            <w:r>
              <w:rPr>
                <w:rFonts w:hint="eastAsia"/>
                <w:color w:val="auto"/>
              </w:rPr>
              <w:t>未按规定编制专项施工方案或为进行设计计算，扣</w:t>
            </w:r>
            <w:r>
              <w:rPr>
                <w:color w:val="auto"/>
              </w:rPr>
              <w:t>15</w:t>
            </w:r>
            <w:r>
              <w:rPr>
                <w:rFonts w:hint="eastAsia"/>
                <w:color w:val="auto"/>
              </w:rPr>
              <w:t>分</w:t>
            </w:r>
          </w:p>
          <w:p w14:paraId="1D0A640C">
            <w:pPr>
              <w:pStyle w:val="44"/>
              <w:jc w:val="left"/>
              <w:rPr>
                <w:color w:val="auto"/>
              </w:rPr>
            </w:pPr>
            <w:r>
              <w:rPr>
                <w:color w:val="auto"/>
              </w:rPr>
              <w:t>2</w:t>
            </w:r>
            <w:r>
              <w:rPr>
                <w:rFonts w:hint="eastAsia"/>
                <w:color w:val="auto"/>
              </w:rPr>
              <w:t>）专项方案未按规定进行审核、审批，扣</w:t>
            </w:r>
            <w:r>
              <w:rPr>
                <w:color w:val="auto"/>
              </w:rPr>
              <w:t>15</w:t>
            </w:r>
            <w:r>
              <w:rPr>
                <w:rFonts w:hint="eastAsia"/>
                <w:color w:val="auto"/>
              </w:rPr>
              <w:t>分</w:t>
            </w:r>
          </w:p>
          <w:p w14:paraId="2E04BF5D">
            <w:pPr>
              <w:pStyle w:val="44"/>
              <w:jc w:val="left"/>
              <w:rPr>
                <w:color w:val="auto"/>
              </w:rPr>
            </w:pPr>
            <w:r>
              <w:rPr>
                <w:color w:val="auto"/>
              </w:rPr>
              <w:t>3</w:t>
            </w:r>
            <w:r>
              <w:rPr>
                <w:rFonts w:hint="eastAsia"/>
                <w:color w:val="auto"/>
              </w:rPr>
              <w:t>）需要组织论证的专项施工方案，未按规定组织专家论证，扣</w:t>
            </w:r>
            <w:r>
              <w:rPr>
                <w:color w:val="auto"/>
              </w:rPr>
              <w:t>15</w:t>
            </w:r>
            <w:r>
              <w:rPr>
                <w:rFonts w:hint="eastAsia"/>
                <w:color w:val="auto"/>
              </w:rPr>
              <w:t>分</w:t>
            </w:r>
          </w:p>
          <w:p w14:paraId="5A293587">
            <w:pPr>
              <w:pStyle w:val="44"/>
              <w:jc w:val="left"/>
              <w:rPr>
                <w:color w:val="auto"/>
              </w:rPr>
            </w:pPr>
            <w:r>
              <w:rPr>
                <w:color w:val="auto"/>
              </w:rPr>
              <w:t>4</w:t>
            </w:r>
            <w:r>
              <w:rPr>
                <w:rFonts w:hint="eastAsia"/>
                <w:color w:val="auto"/>
              </w:rPr>
              <w:t>）专项施工方案实施前，未进行安全技术交底，扣</w:t>
            </w:r>
            <w:r>
              <w:rPr>
                <w:color w:val="auto"/>
              </w:rPr>
              <w:t>15</w:t>
            </w:r>
            <w:r>
              <w:rPr>
                <w:rFonts w:hint="eastAsia"/>
                <w:color w:val="auto"/>
              </w:rPr>
              <w:t>分；交底无针对性或无文字记录，扣</w:t>
            </w:r>
            <w:r>
              <w:rPr>
                <w:color w:val="auto"/>
              </w:rPr>
              <w:t>5-15</w:t>
            </w:r>
            <w:r>
              <w:rPr>
                <w:rFonts w:hint="eastAsia"/>
                <w:color w:val="auto"/>
              </w:rPr>
              <w:t>分</w:t>
            </w:r>
          </w:p>
        </w:tc>
        <w:tc>
          <w:tcPr>
            <w:tcW w:w="720" w:type="dxa"/>
            <w:vAlign w:val="center"/>
          </w:tcPr>
          <w:p w14:paraId="0702B78F">
            <w:pPr>
              <w:pStyle w:val="44"/>
              <w:rPr>
                <w:color w:val="auto"/>
              </w:rPr>
            </w:pPr>
            <w:r>
              <w:rPr>
                <w:color w:val="auto"/>
              </w:rPr>
              <w:t>15</w:t>
            </w:r>
          </w:p>
        </w:tc>
        <w:tc>
          <w:tcPr>
            <w:tcW w:w="720" w:type="dxa"/>
            <w:vAlign w:val="center"/>
          </w:tcPr>
          <w:p w14:paraId="4AA17C50">
            <w:pPr>
              <w:pStyle w:val="44"/>
              <w:rPr>
                <w:color w:val="auto"/>
              </w:rPr>
            </w:pPr>
          </w:p>
        </w:tc>
        <w:tc>
          <w:tcPr>
            <w:tcW w:w="720" w:type="dxa"/>
            <w:vAlign w:val="center"/>
          </w:tcPr>
          <w:p w14:paraId="604DCE5B">
            <w:pPr>
              <w:pStyle w:val="44"/>
              <w:rPr>
                <w:color w:val="auto"/>
              </w:rPr>
            </w:pPr>
          </w:p>
        </w:tc>
      </w:tr>
      <w:tr w14:paraId="3FF7B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13D120A2">
            <w:pPr>
              <w:pStyle w:val="44"/>
              <w:rPr>
                <w:color w:val="auto"/>
              </w:rPr>
            </w:pPr>
            <w:r>
              <w:rPr>
                <w:color w:val="auto"/>
              </w:rPr>
              <w:t>2</w:t>
            </w:r>
          </w:p>
        </w:tc>
        <w:tc>
          <w:tcPr>
            <w:tcW w:w="543" w:type="dxa"/>
            <w:vMerge w:val="continue"/>
          </w:tcPr>
          <w:p w14:paraId="479A2908">
            <w:pPr>
              <w:pStyle w:val="44"/>
              <w:rPr>
                <w:color w:val="auto"/>
              </w:rPr>
            </w:pPr>
          </w:p>
        </w:tc>
        <w:tc>
          <w:tcPr>
            <w:tcW w:w="898" w:type="dxa"/>
            <w:vAlign w:val="center"/>
          </w:tcPr>
          <w:p w14:paraId="53642C8D">
            <w:pPr>
              <w:pStyle w:val="44"/>
              <w:rPr>
                <w:color w:val="auto"/>
              </w:rPr>
            </w:pPr>
            <w:r>
              <w:rPr>
                <w:rFonts w:hint="eastAsia"/>
                <w:color w:val="auto"/>
              </w:rPr>
              <w:t>筑堰材料</w:t>
            </w:r>
          </w:p>
        </w:tc>
        <w:tc>
          <w:tcPr>
            <w:tcW w:w="5580" w:type="dxa"/>
            <w:vAlign w:val="center"/>
          </w:tcPr>
          <w:p w14:paraId="418DEB4D">
            <w:pPr>
              <w:pStyle w:val="44"/>
              <w:jc w:val="left"/>
              <w:rPr>
                <w:color w:val="auto"/>
              </w:rPr>
            </w:pPr>
            <w:r>
              <w:rPr>
                <w:color w:val="auto"/>
              </w:rPr>
              <w:t>1</w:t>
            </w:r>
            <w:r>
              <w:rPr>
                <w:rFonts w:hint="eastAsia"/>
                <w:color w:val="auto"/>
              </w:rPr>
              <w:t>）筑堰材料与土围堰的填筑方式不适应相适应，或筑堰材料不符合规定，扣</w:t>
            </w:r>
            <w:r>
              <w:rPr>
                <w:color w:val="auto"/>
              </w:rPr>
              <w:t>5-10</w:t>
            </w:r>
            <w:r>
              <w:rPr>
                <w:rFonts w:hint="eastAsia"/>
                <w:color w:val="auto"/>
              </w:rPr>
              <w:t>分</w:t>
            </w:r>
          </w:p>
          <w:p w14:paraId="250A5DD0">
            <w:pPr>
              <w:pStyle w:val="44"/>
              <w:jc w:val="left"/>
              <w:rPr>
                <w:color w:val="auto"/>
              </w:rPr>
            </w:pPr>
            <w:r>
              <w:rPr>
                <w:color w:val="auto"/>
              </w:rPr>
              <w:t>2</w:t>
            </w:r>
            <w:r>
              <w:rPr>
                <w:rFonts w:hint="eastAsia"/>
                <w:color w:val="auto"/>
              </w:rPr>
              <w:t>）用草袋、麻袋等装土筑堰时，填料渗水，或装土方式不符合规定，扣</w:t>
            </w:r>
            <w:r>
              <w:rPr>
                <w:color w:val="auto"/>
              </w:rPr>
              <w:t>5-10</w:t>
            </w:r>
            <w:r>
              <w:rPr>
                <w:rFonts w:hint="eastAsia"/>
                <w:color w:val="auto"/>
              </w:rPr>
              <w:t>分</w:t>
            </w:r>
          </w:p>
        </w:tc>
        <w:tc>
          <w:tcPr>
            <w:tcW w:w="720" w:type="dxa"/>
            <w:vAlign w:val="center"/>
          </w:tcPr>
          <w:p w14:paraId="68E005AA">
            <w:pPr>
              <w:pStyle w:val="44"/>
              <w:rPr>
                <w:color w:val="auto"/>
              </w:rPr>
            </w:pPr>
            <w:r>
              <w:rPr>
                <w:color w:val="auto"/>
              </w:rPr>
              <w:t>10</w:t>
            </w:r>
          </w:p>
        </w:tc>
        <w:tc>
          <w:tcPr>
            <w:tcW w:w="720" w:type="dxa"/>
            <w:vAlign w:val="center"/>
          </w:tcPr>
          <w:p w14:paraId="78BABEC6">
            <w:pPr>
              <w:pStyle w:val="44"/>
              <w:rPr>
                <w:color w:val="auto"/>
              </w:rPr>
            </w:pPr>
          </w:p>
        </w:tc>
        <w:tc>
          <w:tcPr>
            <w:tcW w:w="720" w:type="dxa"/>
            <w:vAlign w:val="center"/>
          </w:tcPr>
          <w:p w14:paraId="1AC9F696">
            <w:pPr>
              <w:pStyle w:val="44"/>
              <w:rPr>
                <w:color w:val="auto"/>
              </w:rPr>
            </w:pPr>
          </w:p>
        </w:tc>
      </w:tr>
      <w:tr w14:paraId="39E32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651F208">
            <w:pPr>
              <w:pStyle w:val="44"/>
              <w:rPr>
                <w:color w:val="auto"/>
              </w:rPr>
            </w:pPr>
            <w:r>
              <w:rPr>
                <w:color w:val="auto"/>
              </w:rPr>
              <w:t>3</w:t>
            </w:r>
          </w:p>
        </w:tc>
        <w:tc>
          <w:tcPr>
            <w:tcW w:w="543" w:type="dxa"/>
            <w:vMerge w:val="continue"/>
          </w:tcPr>
          <w:p w14:paraId="0E6DDE21">
            <w:pPr>
              <w:pStyle w:val="44"/>
              <w:rPr>
                <w:color w:val="auto"/>
              </w:rPr>
            </w:pPr>
          </w:p>
        </w:tc>
        <w:tc>
          <w:tcPr>
            <w:tcW w:w="898" w:type="dxa"/>
            <w:vAlign w:val="center"/>
          </w:tcPr>
          <w:p w14:paraId="3B88565E">
            <w:pPr>
              <w:pStyle w:val="44"/>
              <w:rPr>
                <w:color w:val="auto"/>
              </w:rPr>
            </w:pPr>
            <w:r>
              <w:rPr>
                <w:rFonts w:hint="eastAsia"/>
                <w:color w:val="auto"/>
              </w:rPr>
              <w:t>堰身构造</w:t>
            </w:r>
          </w:p>
        </w:tc>
        <w:tc>
          <w:tcPr>
            <w:tcW w:w="5580" w:type="dxa"/>
            <w:vAlign w:val="center"/>
          </w:tcPr>
          <w:p w14:paraId="518D4D2F">
            <w:pPr>
              <w:pStyle w:val="44"/>
              <w:jc w:val="left"/>
              <w:rPr>
                <w:color w:val="auto"/>
              </w:rPr>
            </w:pPr>
            <w:r>
              <w:rPr>
                <w:color w:val="auto"/>
              </w:rPr>
              <w:t>1</w:t>
            </w:r>
            <w:r>
              <w:rPr>
                <w:rFonts w:hint="eastAsia"/>
                <w:color w:val="auto"/>
              </w:rPr>
              <w:t>）土石围堰的外形尺寸应影响河道泄洪或通航能力，扣</w:t>
            </w:r>
            <w:r>
              <w:rPr>
                <w:color w:val="auto"/>
              </w:rPr>
              <w:t>10-15</w:t>
            </w:r>
            <w:r>
              <w:rPr>
                <w:rFonts w:hint="eastAsia"/>
                <w:color w:val="auto"/>
              </w:rPr>
              <w:t>分</w:t>
            </w:r>
          </w:p>
          <w:p w14:paraId="289790A0">
            <w:pPr>
              <w:pStyle w:val="44"/>
              <w:jc w:val="left"/>
              <w:rPr>
                <w:color w:val="auto"/>
              </w:rPr>
            </w:pPr>
            <w:r>
              <w:rPr>
                <w:color w:val="auto"/>
              </w:rPr>
              <w:t>2</w:t>
            </w:r>
            <w:r>
              <w:rPr>
                <w:rFonts w:hint="eastAsia"/>
                <w:color w:val="auto"/>
              </w:rPr>
              <w:t>）围堰高度不满足挡水安全要求，扣</w:t>
            </w:r>
            <w:r>
              <w:rPr>
                <w:color w:val="auto"/>
              </w:rPr>
              <w:t>15</w:t>
            </w:r>
            <w:r>
              <w:rPr>
                <w:rFonts w:hint="eastAsia"/>
                <w:color w:val="auto"/>
              </w:rPr>
              <w:t>分</w:t>
            </w:r>
          </w:p>
          <w:p w14:paraId="6525235A">
            <w:pPr>
              <w:pStyle w:val="44"/>
              <w:jc w:val="left"/>
              <w:rPr>
                <w:color w:val="auto"/>
              </w:rPr>
            </w:pPr>
            <w:r>
              <w:rPr>
                <w:color w:val="auto"/>
              </w:rPr>
              <w:t>3</w:t>
            </w:r>
            <w:r>
              <w:rPr>
                <w:rFonts w:hint="eastAsia"/>
                <w:color w:val="auto"/>
              </w:rPr>
              <w:t>）围堰填筑宽度不符合专项方案和标准要求，或不能有效抵抗水压和流水冲刷，扣</w:t>
            </w:r>
            <w:r>
              <w:rPr>
                <w:color w:val="auto"/>
              </w:rPr>
              <w:t>10-15</w:t>
            </w:r>
            <w:r>
              <w:rPr>
                <w:rFonts w:hint="eastAsia"/>
                <w:color w:val="auto"/>
              </w:rPr>
              <w:t>分</w:t>
            </w:r>
          </w:p>
          <w:p w14:paraId="259061C5">
            <w:pPr>
              <w:pStyle w:val="44"/>
              <w:jc w:val="left"/>
              <w:rPr>
                <w:color w:val="auto"/>
              </w:rPr>
            </w:pPr>
            <w:r>
              <w:rPr>
                <w:color w:val="auto"/>
              </w:rPr>
              <w:t>4</w:t>
            </w:r>
            <w:r>
              <w:rPr>
                <w:rFonts w:hint="eastAsia"/>
                <w:color w:val="auto"/>
              </w:rPr>
              <w:t>）围堰外侧迎水面未采取防冲刷措施，或防水不严密，扣</w:t>
            </w:r>
            <w:r>
              <w:rPr>
                <w:color w:val="auto"/>
              </w:rPr>
              <w:t>10</w:t>
            </w:r>
            <w:r>
              <w:rPr>
                <w:rFonts w:hint="eastAsia"/>
                <w:color w:val="auto"/>
              </w:rPr>
              <w:t>分</w:t>
            </w:r>
          </w:p>
          <w:p w14:paraId="19360409">
            <w:pPr>
              <w:pStyle w:val="44"/>
              <w:jc w:val="left"/>
              <w:rPr>
                <w:color w:val="auto"/>
              </w:rPr>
            </w:pPr>
            <w:r>
              <w:rPr>
                <w:color w:val="auto"/>
              </w:rPr>
              <w:t>5</w:t>
            </w:r>
            <w:r>
              <w:rPr>
                <w:rFonts w:hint="eastAsia"/>
                <w:color w:val="auto"/>
              </w:rPr>
              <w:t>）围堰填筑内侧坡脚到基坑开挖边缘距离不符专项施工方案要求，扣</w:t>
            </w:r>
            <w:r>
              <w:rPr>
                <w:color w:val="auto"/>
              </w:rPr>
              <w:t>10-15</w:t>
            </w:r>
            <w:r>
              <w:rPr>
                <w:rFonts w:hint="eastAsia"/>
                <w:color w:val="auto"/>
              </w:rPr>
              <w:t>分</w:t>
            </w:r>
          </w:p>
          <w:p w14:paraId="578DF415">
            <w:pPr>
              <w:pStyle w:val="44"/>
              <w:jc w:val="left"/>
              <w:rPr>
                <w:color w:val="auto"/>
              </w:rPr>
            </w:pPr>
            <w:r>
              <w:rPr>
                <w:color w:val="auto"/>
              </w:rPr>
              <w:t>6</w:t>
            </w:r>
            <w:r>
              <w:rPr>
                <w:rFonts w:hint="eastAsia"/>
                <w:color w:val="auto"/>
              </w:rPr>
              <w:t>）堰身内外边坡坡率不应符合专项施工方案和标准要求，扣</w:t>
            </w:r>
            <w:r>
              <w:rPr>
                <w:color w:val="auto"/>
              </w:rPr>
              <w:t>5-10</w:t>
            </w:r>
            <w:r>
              <w:rPr>
                <w:rFonts w:hint="eastAsia"/>
                <w:color w:val="auto"/>
              </w:rPr>
              <w:t>分</w:t>
            </w:r>
          </w:p>
        </w:tc>
        <w:tc>
          <w:tcPr>
            <w:tcW w:w="720" w:type="dxa"/>
            <w:vAlign w:val="center"/>
          </w:tcPr>
          <w:p w14:paraId="172343DA">
            <w:pPr>
              <w:pStyle w:val="44"/>
              <w:rPr>
                <w:color w:val="auto"/>
              </w:rPr>
            </w:pPr>
            <w:r>
              <w:rPr>
                <w:color w:val="auto"/>
              </w:rPr>
              <w:t>15</w:t>
            </w:r>
          </w:p>
        </w:tc>
        <w:tc>
          <w:tcPr>
            <w:tcW w:w="720" w:type="dxa"/>
            <w:vAlign w:val="center"/>
          </w:tcPr>
          <w:p w14:paraId="34CB825C">
            <w:pPr>
              <w:pStyle w:val="44"/>
              <w:rPr>
                <w:color w:val="auto"/>
              </w:rPr>
            </w:pPr>
          </w:p>
        </w:tc>
        <w:tc>
          <w:tcPr>
            <w:tcW w:w="720" w:type="dxa"/>
            <w:vAlign w:val="center"/>
          </w:tcPr>
          <w:p w14:paraId="4D755300">
            <w:pPr>
              <w:pStyle w:val="44"/>
              <w:rPr>
                <w:color w:val="auto"/>
              </w:rPr>
            </w:pPr>
          </w:p>
        </w:tc>
      </w:tr>
      <w:tr w14:paraId="5B684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11F0A91">
            <w:pPr>
              <w:pStyle w:val="44"/>
              <w:rPr>
                <w:color w:val="auto"/>
              </w:rPr>
            </w:pPr>
            <w:r>
              <w:rPr>
                <w:color w:val="auto"/>
              </w:rPr>
              <w:t>4</w:t>
            </w:r>
          </w:p>
        </w:tc>
        <w:tc>
          <w:tcPr>
            <w:tcW w:w="543" w:type="dxa"/>
            <w:vMerge w:val="continue"/>
          </w:tcPr>
          <w:p w14:paraId="6DBE1E24">
            <w:pPr>
              <w:pStyle w:val="44"/>
              <w:rPr>
                <w:color w:val="auto"/>
              </w:rPr>
            </w:pPr>
          </w:p>
        </w:tc>
        <w:tc>
          <w:tcPr>
            <w:tcW w:w="898" w:type="dxa"/>
            <w:vAlign w:val="center"/>
          </w:tcPr>
          <w:p w14:paraId="2BA81FF3">
            <w:pPr>
              <w:pStyle w:val="44"/>
              <w:rPr>
                <w:color w:val="auto"/>
              </w:rPr>
            </w:pPr>
            <w:r>
              <w:rPr>
                <w:rFonts w:hint="eastAsia"/>
                <w:color w:val="auto"/>
              </w:rPr>
              <w:t>围堰填筑</w:t>
            </w:r>
          </w:p>
        </w:tc>
        <w:tc>
          <w:tcPr>
            <w:tcW w:w="5580" w:type="dxa"/>
            <w:vAlign w:val="center"/>
          </w:tcPr>
          <w:p w14:paraId="65EB007D">
            <w:pPr>
              <w:pStyle w:val="44"/>
              <w:jc w:val="left"/>
              <w:rPr>
                <w:color w:val="auto"/>
              </w:rPr>
            </w:pPr>
            <w:r>
              <w:rPr>
                <w:color w:val="auto"/>
              </w:rPr>
              <w:t>1</w:t>
            </w:r>
            <w:r>
              <w:rPr>
                <w:rFonts w:hint="eastAsia"/>
                <w:color w:val="auto"/>
              </w:rPr>
              <w:t>）未按规定到相关部门办理河道施工通航备案手续，扣</w:t>
            </w:r>
            <w:r>
              <w:rPr>
                <w:color w:val="auto"/>
              </w:rPr>
              <w:t>10</w:t>
            </w:r>
            <w:r>
              <w:rPr>
                <w:rFonts w:hint="eastAsia"/>
                <w:color w:val="auto"/>
              </w:rPr>
              <w:t>分</w:t>
            </w:r>
          </w:p>
          <w:p w14:paraId="2413DE9C">
            <w:pPr>
              <w:pStyle w:val="44"/>
              <w:jc w:val="left"/>
              <w:rPr>
                <w:color w:val="auto"/>
              </w:rPr>
            </w:pPr>
            <w:r>
              <w:rPr>
                <w:color w:val="auto"/>
              </w:rPr>
              <w:t>2</w:t>
            </w:r>
            <w:r>
              <w:rPr>
                <w:rFonts w:hint="eastAsia"/>
                <w:color w:val="auto"/>
              </w:rPr>
              <w:t>）围堰填筑未分层进行，扣</w:t>
            </w:r>
            <w:r>
              <w:rPr>
                <w:color w:val="auto"/>
              </w:rPr>
              <w:t>5-10</w:t>
            </w:r>
            <w:r>
              <w:rPr>
                <w:rFonts w:hint="eastAsia"/>
                <w:color w:val="auto"/>
              </w:rPr>
              <w:t>分</w:t>
            </w:r>
          </w:p>
          <w:p w14:paraId="4333073F">
            <w:pPr>
              <w:pStyle w:val="44"/>
              <w:jc w:val="left"/>
              <w:rPr>
                <w:color w:val="auto"/>
              </w:rPr>
            </w:pPr>
            <w:r>
              <w:rPr>
                <w:color w:val="auto"/>
              </w:rPr>
              <w:t>3</w:t>
            </w:r>
            <w:r>
              <w:rPr>
                <w:rFonts w:hint="eastAsia"/>
                <w:color w:val="auto"/>
              </w:rPr>
              <w:t>）未将堰底河床处的树根、石块、杂物清除干净，扣</w:t>
            </w:r>
            <w:r>
              <w:rPr>
                <w:color w:val="auto"/>
              </w:rPr>
              <w:t>15</w:t>
            </w:r>
            <w:r>
              <w:rPr>
                <w:rFonts w:hint="eastAsia"/>
                <w:color w:val="auto"/>
              </w:rPr>
              <w:t>分</w:t>
            </w:r>
          </w:p>
          <w:p w14:paraId="3B3D17F8">
            <w:pPr>
              <w:pStyle w:val="44"/>
              <w:jc w:val="left"/>
              <w:rPr>
                <w:color w:val="auto"/>
              </w:rPr>
            </w:pPr>
            <w:r>
              <w:rPr>
                <w:color w:val="auto"/>
              </w:rPr>
              <w:t>4</w:t>
            </w:r>
            <w:r>
              <w:rPr>
                <w:rFonts w:hint="eastAsia"/>
                <w:color w:val="auto"/>
              </w:rPr>
              <w:t>）围堰基础清理未在小围堰保护下进行，扣</w:t>
            </w:r>
            <w:r>
              <w:rPr>
                <w:color w:val="auto"/>
              </w:rPr>
              <w:t>5-10</w:t>
            </w:r>
            <w:r>
              <w:rPr>
                <w:rFonts w:hint="eastAsia"/>
                <w:color w:val="auto"/>
              </w:rPr>
              <w:t>分</w:t>
            </w:r>
          </w:p>
          <w:p w14:paraId="31921359">
            <w:pPr>
              <w:pStyle w:val="44"/>
              <w:jc w:val="left"/>
              <w:rPr>
                <w:color w:val="auto"/>
              </w:rPr>
            </w:pPr>
            <w:r>
              <w:rPr>
                <w:color w:val="auto"/>
              </w:rPr>
              <w:t>5</w:t>
            </w:r>
            <w:r>
              <w:rPr>
                <w:rFonts w:hint="eastAsia"/>
                <w:color w:val="auto"/>
              </w:rPr>
              <w:t>）堰体范围内的水井、泉眼、地道等未按规定处理，扣</w:t>
            </w:r>
            <w:r>
              <w:rPr>
                <w:color w:val="auto"/>
              </w:rPr>
              <w:t>10</w:t>
            </w:r>
            <w:r>
              <w:rPr>
                <w:rFonts w:hint="eastAsia"/>
                <w:color w:val="auto"/>
              </w:rPr>
              <w:t>分；未经验收并形成记录，扣</w:t>
            </w:r>
            <w:r>
              <w:rPr>
                <w:color w:val="auto"/>
              </w:rPr>
              <w:t>5-8</w:t>
            </w:r>
            <w:r>
              <w:rPr>
                <w:rFonts w:hint="eastAsia"/>
                <w:color w:val="auto"/>
              </w:rPr>
              <w:t>分</w:t>
            </w:r>
          </w:p>
          <w:p w14:paraId="7327DE2F">
            <w:pPr>
              <w:pStyle w:val="44"/>
              <w:jc w:val="left"/>
              <w:rPr>
                <w:color w:val="auto"/>
              </w:rPr>
            </w:pPr>
            <w:r>
              <w:rPr>
                <w:color w:val="auto"/>
              </w:rPr>
              <w:t>6</w:t>
            </w:r>
            <w:r>
              <w:rPr>
                <w:rFonts w:hint="eastAsia"/>
                <w:color w:val="auto"/>
              </w:rPr>
              <w:t>）竹笼、木笼、铅丝笼、钢笼围堰在套笼下水时未打桩固定，扣</w:t>
            </w:r>
            <w:r>
              <w:rPr>
                <w:color w:val="auto"/>
              </w:rPr>
              <w:t>10</w:t>
            </w:r>
            <w:r>
              <w:rPr>
                <w:rFonts w:hint="eastAsia"/>
                <w:color w:val="auto"/>
              </w:rPr>
              <w:t>分</w:t>
            </w:r>
          </w:p>
          <w:p w14:paraId="5B1BB702">
            <w:pPr>
              <w:pStyle w:val="44"/>
              <w:jc w:val="left"/>
              <w:rPr>
                <w:color w:val="auto"/>
              </w:rPr>
            </w:pPr>
            <w:r>
              <w:rPr>
                <w:color w:val="auto"/>
              </w:rPr>
              <w:t>7</w:t>
            </w:r>
            <w:r>
              <w:rPr>
                <w:rFonts w:hint="eastAsia"/>
                <w:color w:val="auto"/>
              </w:rPr>
              <w:t>）采用吸泥船吹砂筑岛时，其他船舶和无关人员进入作业区内，或有人员在承载吸泥管的浮筒上行走，扣</w:t>
            </w:r>
            <w:r>
              <w:rPr>
                <w:color w:val="auto"/>
              </w:rPr>
              <w:t>10</w:t>
            </w:r>
            <w:r>
              <w:rPr>
                <w:rFonts w:hint="eastAsia"/>
                <w:color w:val="auto"/>
              </w:rPr>
              <w:t>分</w:t>
            </w:r>
          </w:p>
          <w:p w14:paraId="5CD8F72F">
            <w:pPr>
              <w:pStyle w:val="44"/>
              <w:jc w:val="left"/>
              <w:rPr>
                <w:color w:val="auto"/>
              </w:rPr>
            </w:pPr>
            <w:r>
              <w:rPr>
                <w:color w:val="auto"/>
              </w:rPr>
              <w:t>8</w:t>
            </w:r>
            <w:r>
              <w:rPr>
                <w:rFonts w:hint="eastAsia"/>
                <w:color w:val="auto"/>
              </w:rPr>
              <w:t>）围堰未按自上游到下游的顺序进行填筑，扣</w:t>
            </w:r>
            <w:r>
              <w:rPr>
                <w:color w:val="auto"/>
              </w:rPr>
              <w:t>10</w:t>
            </w:r>
            <w:r>
              <w:rPr>
                <w:rFonts w:hint="eastAsia"/>
                <w:color w:val="auto"/>
              </w:rPr>
              <w:t>分</w:t>
            </w:r>
          </w:p>
        </w:tc>
        <w:tc>
          <w:tcPr>
            <w:tcW w:w="720" w:type="dxa"/>
            <w:vAlign w:val="center"/>
          </w:tcPr>
          <w:p w14:paraId="330F7007">
            <w:pPr>
              <w:pStyle w:val="44"/>
              <w:rPr>
                <w:color w:val="auto"/>
              </w:rPr>
            </w:pPr>
            <w:r>
              <w:rPr>
                <w:color w:val="auto"/>
              </w:rPr>
              <w:t>10</w:t>
            </w:r>
          </w:p>
        </w:tc>
        <w:tc>
          <w:tcPr>
            <w:tcW w:w="720" w:type="dxa"/>
            <w:vAlign w:val="center"/>
          </w:tcPr>
          <w:p w14:paraId="037FCEB6">
            <w:pPr>
              <w:pStyle w:val="44"/>
              <w:rPr>
                <w:color w:val="auto"/>
              </w:rPr>
            </w:pPr>
          </w:p>
        </w:tc>
        <w:tc>
          <w:tcPr>
            <w:tcW w:w="720" w:type="dxa"/>
            <w:vAlign w:val="center"/>
          </w:tcPr>
          <w:p w14:paraId="622CA4AE">
            <w:pPr>
              <w:pStyle w:val="44"/>
              <w:rPr>
                <w:color w:val="auto"/>
              </w:rPr>
            </w:pPr>
          </w:p>
        </w:tc>
      </w:tr>
      <w:tr w14:paraId="7EB3F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2A0F946B">
            <w:pPr>
              <w:pStyle w:val="44"/>
              <w:rPr>
                <w:color w:val="auto"/>
              </w:rPr>
            </w:pPr>
            <w:r>
              <w:rPr>
                <w:color w:val="auto"/>
              </w:rPr>
              <w:t>5</w:t>
            </w:r>
          </w:p>
        </w:tc>
        <w:tc>
          <w:tcPr>
            <w:tcW w:w="543" w:type="dxa"/>
            <w:vMerge w:val="continue"/>
          </w:tcPr>
          <w:p w14:paraId="37158F23">
            <w:pPr>
              <w:pStyle w:val="44"/>
              <w:rPr>
                <w:color w:val="auto"/>
              </w:rPr>
            </w:pPr>
          </w:p>
        </w:tc>
        <w:tc>
          <w:tcPr>
            <w:tcW w:w="898" w:type="dxa"/>
            <w:vAlign w:val="center"/>
          </w:tcPr>
          <w:p w14:paraId="0410DC29">
            <w:pPr>
              <w:pStyle w:val="44"/>
              <w:rPr>
                <w:color w:val="auto"/>
              </w:rPr>
            </w:pPr>
            <w:r>
              <w:rPr>
                <w:rFonts w:hint="eastAsia"/>
                <w:color w:val="auto"/>
              </w:rPr>
              <w:t>监测</w:t>
            </w:r>
          </w:p>
        </w:tc>
        <w:tc>
          <w:tcPr>
            <w:tcW w:w="5580" w:type="dxa"/>
            <w:vAlign w:val="center"/>
          </w:tcPr>
          <w:p w14:paraId="6A843269">
            <w:pPr>
              <w:pStyle w:val="44"/>
              <w:jc w:val="left"/>
              <w:rPr>
                <w:color w:val="auto"/>
              </w:rPr>
            </w:pPr>
            <w:r>
              <w:rPr>
                <w:color w:val="auto"/>
              </w:rPr>
              <w:t>1</w:t>
            </w:r>
            <w:r>
              <w:rPr>
                <w:rFonts w:hint="eastAsia"/>
                <w:color w:val="auto"/>
              </w:rPr>
              <w:t>）围堰施工过程中未进行全面监测，扣</w:t>
            </w:r>
            <w:r>
              <w:rPr>
                <w:color w:val="auto"/>
              </w:rPr>
              <w:t>5-10</w:t>
            </w:r>
            <w:r>
              <w:rPr>
                <w:rFonts w:hint="eastAsia"/>
                <w:color w:val="auto"/>
              </w:rPr>
              <w:t>分</w:t>
            </w:r>
          </w:p>
          <w:p w14:paraId="5890D7C2">
            <w:pPr>
              <w:pStyle w:val="44"/>
              <w:jc w:val="left"/>
              <w:rPr>
                <w:color w:val="auto"/>
              </w:rPr>
            </w:pPr>
            <w:r>
              <w:rPr>
                <w:color w:val="auto"/>
              </w:rPr>
              <w:t>2</w:t>
            </w:r>
            <w:r>
              <w:rPr>
                <w:rFonts w:hint="eastAsia"/>
                <w:color w:val="auto"/>
              </w:rPr>
              <w:t>）未按规定设置水位标尺，扣</w:t>
            </w:r>
            <w:r>
              <w:rPr>
                <w:color w:val="auto"/>
              </w:rPr>
              <w:t>10</w:t>
            </w:r>
            <w:r>
              <w:rPr>
                <w:rFonts w:hint="eastAsia"/>
                <w:color w:val="auto"/>
              </w:rPr>
              <w:t>分</w:t>
            </w:r>
          </w:p>
          <w:p w14:paraId="0891D280">
            <w:pPr>
              <w:pStyle w:val="44"/>
              <w:jc w:val="left"/>
              <w:rPr>
                <w:color w:val="auto"/>
              </w:rPr>
            </w:pPr>
            <w:r>
              <w:rPr>
                <w:color w:val="auto"/>
              </w:rPr>
              <w:t>3</w:t>
            </w:r>
            <w:r>
              <w:rPr>
                <w:rFonts w:hint="eastAsia"/>
                <w:color w:val="auto"/>
              </w:rPr>
              <w:t>）未按规定记录各时间段的水位情况，扣</w:t>
            </w:r>
            <w:r>
              <w:rPr>
                <w:color w:val="auto"/>
              </w:rPr>
              <w:t>5-10</w:t>
            </w:r>
            <w:r>
              <w:rPr>
                <w:rFonts w:hint="eastAsia"/>
                <w:color w:val="auto"/>
              </w:rPr>
              <w:t>分</w:t>
            </w:r>
          </w:p>
        </w:tc>
        <w:tc>
          <w:tcPr>
            <w:tcW w:w="720" w:type="dxa"/>
            <w:vAlign w:val="center"/>
          </w:tcPr>
          <w:p w14:paraId="4D7133B4">
            <w:pPr>
              <w:pStyle w:val="44"/>
              <w:rPr>
                <w:color w:val="auto"/>
              </w:rPr>
            </w:pPr>
            <w:r>
              <w:rPr>
                <w:color w:val="auto"/>
              </w:rPr>
              <w:t>10</w:t>
            </w:r>
          </w:p>
        </w:tc>
        <w:tc>
          <w:tcPr>
            <w:tcW w:w="720" w:type="dxa"/>
            <w:vAlign w:val="center"/>
          </w:tcPr>
          <w:p w14:paraId="4C1E69CC">
            <w:pPr>
              <w:pStyle w:val="44"/>
              <w:rPr>
                <w:color w:val="auto"/>
              </w:rPr>
            </w:pPr>
          </w:p>
        </w:tc>
        <w:tc>
          <w:tcPr>
            <w:tcW w:w="720" w:type="dxa"/>
            <w:vAlign w:val="center"/>
          </w:tcPr>
          <w:p w14:paraId="0FCBC1E2">
            <w:pPr>
              <w:pStyle w:val="44"/>
              <w:rPr>
                <w:color w:val="auto"/>
              </w:rPr>
            </w:pPr>
          </w:p>
        </w:tc>
      </w:tr>
      <w:tr w14:paraId="27C7D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F11589C">
            <w:pPr>
              <w:pStyle w:val="44"/>
              <w:rPr>
                <w:color w:val="auto"/>
              </w:rPr>
            </w:pPr>
            <w:r>
              <w:rPr>
                <w:color w:val="auto"/>
              </w:rPr>
              <w:t>6</w:t>
            </w:r>
          </w:p>
        </w:tc>
        <w:tc>
          <w:tcPr>
            <w:tcW w:w="543" w:type="dxa"/>
            <w:vMerge w:val="continue"/>
            <w:vAlign w:val="center"/>
          </w:tcPr>
          <w:p w14:paraId="4660CDA3">
            <w:pPr>
              <w:pStyle w:val="44"/>
              <w:rPr>
                <w:color w:val="auto"/>
              </w:rPr>
            </w:pPr>
          </w:p>
        </w:tc>
        <w:tc>
          <w:tcPr>
            <w:tcW w:w="898" w:type="dxa"/>
            <w:vAlign w:val="center"/>
          </w:tcPr>
          <w:p w14:paraId="2BAEBA29">
            <w:pPr>
              <w:pStyle w:val="44"/>
              <w:rPr>
                <w:color w:val="auto"/>
              </w:rPr>
            </w:pPr>
            <w:r>
              <w:rPr>
                <w:rFonts w:hint="eastAsia"/>
                <w:color w:val="auto"/>
              </w:rPr>
              <w:t>验收</w:t>
            </w:r>
          </w:p>
        </w:tc>
        <w:tc>
          <w:tcPr>
            <w:tcW w:w="5580" w:type="dxa"/>
            <w:vAlign w:val="center"/>
          </w:tcPr>
          <w:p w14:paraId="6120D38C">
            <w:pPr>
              <w:pStyle w:val="44"/>
              <w:jc w:val="left"/>
              <w:rPr>
                <w:color w:val="auto"/>
              </w:rPr>
            </w:pPr>
            <w:r>
              <w:rPr>
                <w:rFonts w:hint="eastAsia"/>
                <w:color w:val="auto"/>
              </w:rPr>
              <w:t>围堰施工完毕未未按规定办理验收手续，扣</w:t>
            </w:r>
            <w:r>
              <w:rPr>
                <w:color w:val="auto"/>
              </w:rPr>
              <w:t>10</w:t>
            </w:r>
            <w:r>
              <w:rPr>
                <w:rFonts w:hint="eastAsia"/>
                <w:color w:val="auto"/>
              </w:rPr>
              <w:t>分</w:t>
            </w:r>
          </w:p>
          <w:p w14:paraId="19163200">
            <w:pPr>
              <w:pStyle w:val="44"/>
              <w:jc w:val="left"/>
              <w:rPr>
                <w:color w:val="auto"/>
              </w:rPr>
            </w:pPr>
            <w:r>
              <w:rPr>
                <w:rFonts w:hint="eastAsia"/>
                <w:color w:val="auto"/>
              </w:rPr>
              <w:t>验收内容未量化或未经责任人签字确认，扣</w:t>
            </w:r>
            <w:r>
              <w:rPr>
                <w:color w:val="auto"/>
              </w:rPr>
              <w:t>5-8</w:t>
            </w:r>
            <w:r>
              <w:rPr>
                <w:rFonts w:hint="eastAsia"/>
                <w:color w:val="auto"/>
              </w:rPr>
              <w:t>分</w:t>
            </w:r>
          </w:p>
          <w:p w14:paraId="6393786D">
            <w:pPr>
              <w:pStyle w:val="44"/>
              <w:jc w:val="left"/>
              <w:rPr>
                <w:color w:val="auto"/>
              </w:rPr>
            </w:pPr>
            <w:r>
              <w:rPr>
                <w:rFonts w:hint="eastAsia"/>
                <w:color w:val="auto"/>
              </w:rPr>
              <w:t>验收合格后未在明显位置悬挂验收合格牌，扣</w:t>
            </w:r>
            <w:r>
              <w:rPr>
                <w:color w:val="auto"/>
              </w:rPr>
              <w:t>2</w:t>
            </w:r>
            <w:r>
              <w:rPr>
                <w:rFonts w:hint="eastAsia"/>
                <w:color w:val="auto"/>
              </w:rPr>
              <w:t>分</w:t>
            </w:r>
          </w:p>
        </w:tc>
        <w:tc>
          <w:tcPr>
            <w:tcW w:w="720" w:type="dxa"/>
            <w:vAlign w:val="center"/>
          </w:tcPr>
          <w:p w14:paraId="7F749CFF">
            <w:pPr>
              <w:pStyle w:val="44"/>
              <w:rPr>
                <w:color w:val="auto"/>
              </w:rPr>
            </w:pPr>
            <w:r>
              <w:rPr>
                <w:color w:val="auto"/>
              </w:rPr>
              <w:t>10</w:t>
            </w:r>
          </w:p>
        </w:tc>
        <w:tc>
          <w:tcPr>
            <w:tcW w:w="720" w:type="dxa"/>
            <w:vAlign w:val="center"/>
          </w:tcPr>
          <w:p w14:paraId="1F7C9493">
            <w:pPr>
              <w:pStyle w:val="44"/>
              <w:rPr>
                <w:color w:val="auto"/>
              </w:rPr>
            </w:pPr>
          </w:p>
        </w:tc>
        <w:tc>
          <w:tcPr>
            <w:tcW w:w="720" w:type="dxa"/>
            <w:vAlign w:val="center"/>
          </w:tcPr>
          <w:p w14:paraId="2BF2D18A">
            <w:pPr>
              <w:pStyle w:val="44"/>
              <w:rPr>
                <w:color w:val="auto"/>
              </w:rPr>
            </w:pPr>
          </w:p>
        </w:tc>
      </w:tr>
      <w:tr w14:paraId="6CA74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354D23C">
            <w:pPr>
              <w:pStyle w:val="44"/>
              <w:rPr>
                <w:color w:val="auto"/>
              </w:rPr>
            </w:pPr>
          </w:p>
        </w:tc>
        <w:tc>
          <w:tcPr>
            <w:tcW w:w="543" w:type="dxa"/>
            <w:vMerge w:val="continue"/>
          </w:tcPr>
          <w:p w14:paraId="6C1F970F">
            <w:pPr>
              <w:pStyle w:val="44"/>
              <w:rPr>
                <w:color w:val="auto"/>
              </w:rPr>
            </w:pPr>
          </w:p>
        </w:tc>
        <w:tc>
          <w:tcPr>
            <w:tcW w:w="6478" w:type="dxa"/>
            <w:gridSpan w:val="2"/>
            <w:vAlign w:val="center"/>
          </w:tcPr>
          <w:p w14:paraId="2948518D">
            <w:pPr>
              <w:pStyle w:val="44"/>
              <w:rPr>
                <w:b/>
                <w:bCs w:val="0"/>
                <w:color w:val="auto"/>
              </w:rPr>
            </w:pPr>
            <w:r>
              <w:rPr>
                <w:rFonts w:hint="eastAsia"/>
                <w:b/>
                <w:bCs w:val="0"/>
                <w:color w:val="auto"/>
              </w:rPr>
              <w:t>小</w:t>
            </w:r>
            <w:r>
              <w:rPr>
                <w:b/>
                <w:bCs w:val="0"/>
                <w:color w:val="auto"/>
              </w:rPr>
              <w:t xml:space="preserve">  </w:t>
            </w:r>
            <w:r>
              <w:rPr>
                <w:rFonts w:hint="eastAsia"/>
                <w:b/>
                <w:bCs w:val="0"/>
                <w:color w:val="auto"/>
              </w:rPr>
              <w:t>计</w:t>
            </w:r>
          </w:p>
        </w:tc>
        <w:tc>
          <w:tcPr>
            <w:tcW w:w="720" w:type="dxa"/>
            <w:vAlign w:val="center"/>
          </w:tcPr>
          <w:p w14:paraId="084E26FA">
            <w:pPr>
              <w:pStyle w:val="44"/>
              <w:rPr>
                <w:color w:val="auto"/>
              </w:rPr>
            </w:pPr>
            <w:r>
              <w:rPr>
                <w:color w:val="auto"/>
              </w:rPr>
              <w:t>70</w:t>
            </w:r>
          </w:p>
        </w:tc>
        <w:tc>
          <w:tcPr>
            <w:tcW w:w="720" w:type="dxa"/>
            <w:vAlign w:val="center"/>
          </w:tcPr>
          <w:p w14:paraId="1105841E">
            <w:pPr>
              <w:pStyle w:val="44"/>
              <w:rPr>
                <w:color w:val="auto"/>
              </w:rPr>
            </w:pPr>
          </w:p>
        </w:tc>
        <w:tc>
          <w:tcPr>
            <w:tcW w:w="720" w:type="dxa"/>
            <w:vAlign w:val="center"/>
          </w:tcPr>
          <w:p w14:paraId="44DC7106">
            <w:pPr>
              <w:pStyle w:val="44"/>
              <w:rPr>
                <w:color w:val="auto"/>
              </w:rPr>
            </w:pPr>
          </w:p>
        </w:tc>
      </w:tr>
      <w:tr w14:paraId="6717E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15348B57">
            <w:pPr>
              <w:pStyle w:val="44"/>
              <w:rPr>
                <w:color w:val="auto"/>
              </w:rPr>
            </w:pPr>
            <w:r>
              <w:rPr>
                <w:color w:val="auto"/>
              </w:rPr>
              <w:t>1</w:t>
            </w:r>
          </w:p>
        </w:tc>
        <w:tc>
          <w:tcPr>
            <w:tcW w:w="543" w:type="dxa"/>
            <w:vMerge w:val="restart"/>
            <w:vAlign w:val="center"/>
          </w:tcPr>
          <w:p w14:paraId="2D185517">
            <w:pPr>
              <w:pStyle w:val="44"/>
              <w:rPr>
                <w:color w:val="auto"/>
              </w:rPr>
            </w:pPr>
            <w:r>
              <w:rPr>
                <w:rFonts w:hint="eastAsia"/>
                <w:color w:val="auto"/>
              </w:rPr>
              <w:t>一</w:t>
            </w:r>
          </w:p>
          <w:p w14:paraId="34210F81">
            <w:pPr>
              <w:pStyle w:val="44"/>
              <w:rPr>
                <w:color w:val="auto"/>
              </w:rPr>
            </w:pPr>
            <w:r>
              <w:rPr>
                <w:rFonts w:hint="eastAsia"/>
                <w:color w:val="auto"/>
              </w:rPr>
              <w:t>般</w:t>
            </w:r>
          </w:p>
          <w:p w14:paraId="152F3E79">
            <w:pPr>
              <w:pStyle w:val="44"/>
              <w:rPr>
                <w:color w:val="auto"/>
              </w:rPr>
            </w:pPr>
            <w:r>
              <w:rPr>
                <w:rFonts w:hint="eastAsia"/>
                <w:color w:val="auto"/>
              </w:rPr>
              <w:t>项</w:t>
            </w:r>
          </w:p>
          <w:p w14:paraId="4ED93705">
            <w:pPr>
              <w:pStyle w:val="44"/>
              <w:rPr>
                <w:color w:val="auto"/>
              </w:rPr>
            </w:pPr>
            <w:r>
              <w:rPr>
                <w:rFonts w:hint="eastAsia"/>
                <w:color w:val="auto"/>
              </w:rPr>
              <w:t>目</w:t>
            </w:r>
          </w:p>
        </w:tc>
        <w:tc>
          <w:tcPr>
            <w:tcW w:w="898" w:type="dxa"/>
            <w:vAlign w:val="center"/>
          </w:tcPr>
          <w:p w14:paraId="076157E4">
            <w:pPr>
              <w:pStyle w:val="44"/>
              <w:rPr>
                <w:color w:val="auto"/>
              </w:rPr>
            </w:pPr>
            <w:r>
              <w:rPr>
                <w:rFonts w:hint="eastAsia"/>
                <w:color w:val="auto"/>
              </w:rPr>
              <w:t>安全防护</w:t>
            </w:r>
          </w:p>
        </w:tc>
        <w:tc>
          <w:tcPr>
            <w:tcW w:w="5580" w:type="dxa"/>
            <w:vAlign w:val="center"/>
          </w:tcPr>
          <w:p w14:paraId="5BD147BD">
            <w:pPr>
              <w:pStyle w:val="44"/>
              <w:jc w:val="left"/>
              <w:rPr>
                <w:color w:val="auto"/>
              </w:rPr>
            </w:pPr>
            <w:r>
              <w:rPr>
                <w:color w:val="auto"/>
              </w:rPr>
              <w:t>1</w:t>
            </w:r>
            <w:r>
              <w:rPr>
                <w:rFonts w:hint="eastAsia"/>
                <w:color w:val="auto"/>
              </w:rPr>
              <w:t>）围堰作业区域未设置安全警戒标识或未采取隔离措施，扣</w:t>
            </w:r>
            <w:r>
              <w:rPr>
                <w:color w:val="auto"/>
              </w:rPr>
              <w:t>10</w:t>
            </w:r>
            <w:r>
              <w:rPr>
                <w:rFonts w:hint="eastAsia"/>
                <w:color w:val="auto"/>
              </w:rPr>
              <w:t>分</w:t>
            </w:r>
          </w:p>
          <w:p w14:paraId="079BBD70">
            <w:pPr>
              <w:pStyle w:val="44"/>
              <w:jc w:val="left"/>
              <w:rPr>
                <w:color w:val="auto"/>
              </w:rPr>
            </w:pPr>
            <w:r>
              <w:rPr>
                <w:color w:val="auto"/>
              </w:rPr>
              <w:t>1</w:t>
            </w:r>
            <w:r>
              <w:rPr>
                <w:rFonts w:hint="eastAsia"/>
                <w:color w:val="auto"/>
              </w:rPr>
              <w:t>）围堰上下游</w:t>
            </w:r>
            <w:r>
              <w:rPr>
                <w:color w:val="auto"/>
              </w:rPr>
              <w:t>100m</w:t>
            </w:r>
            <w:r>
              <w:rPr>
                <w:rFonts w:hint="eastAsia"/>
                <w:color w:val="auto"/>
              </w:rPr>
              <w:t>处未按规定设置航行标志</w:t>
            </w:r>
          </w:p>
          <w:p w14:paraId="60A43EB1">
            <w:pPr>
              <w:pStyle w:val="44"/>
              <w:jc w:val="left"/>
              <w:rPr>
                <w:color w:val="auto"/>
              </w:rPr>
            </w:pPr>
            <w:r>
              <w:rPr>
                <w:color w:val="auto"/>
              </w:rPr>
              <w:t>2</w:t>
            </w:r>
            <w:r>
              <w:rPr>
                <w:rFonts w:hint="eastAsia"/>
                <w:color w:val="auto"/>
              </w:rPr>
              <w:t>）围堰周围未设置安全警示标志，扣</w:t>
            </w:r>
            <w:r>
              <w:rPr>
                <w:color w:val="auto"/>
              </w:rPr>
              <w:t>5-10</w:t>
            </w:r>
            <w:r>
              <w:rPr>
                <w:rFonts w:hint="eastAsia"/>
                <w:color w:val="auto"/>
              </w:rPr>
              <w:t>分</w:t>
            </w:r>
          </w:p>
          <w:p w14:paraId="02705CAC">
            <w:pPr>
              <w:pStyle w:val="44"/>
              <w:jc w:val="left"/>
              <w:rPr>
                <w:color w:val="auto"/>
              </w:rPr>
            </w:pPr>
            <w:r>
              <w:rPr>
                <w:color w:val="auto"/>
              </w:rPr>
              <w:t>3</w:t>
            </w:r>
            <w:r>
              <w:rPr>
                <w:rFonts w:hint="eastAsia"/>
                <w:color w:val="auto"/>
              </w:rPr>
              <w:t>）未设置夜间警示灯，扣</w:t>
            </w:r>
            <w:r>
              <w:rPr>
                <w:color w:val="auto"/>
              </w:rPr>
              <w:t>5-10</w:t>
            </w:r>
            <w:r>
              <w:rPr>
                <w:rFonts w:hint="eastAsia"/>
                <w:color w:val="auto"/>
              </w:rPr>
              <w:t>分</w:t>
            </w:r>
          </w:p>
          <w:p w14:paraId="7CBC5088">
            <w:pPr>
              <w:pStyle w:val="44"/>
              <w:jc w:val="left"/>
              <w:rPr>
                <w:color w:val="auto"/>
              </w:rPr>
            </w:pPr>
            <w:r>
              <w:rPr>
                <w:color w:val="auto"/>
              </w:rPr>
              <w:t>4</w:t>
            </w:r>
            <w:r>
              <w:rPr>
                <w:rFonts w:hint="eastAsia"/>
                <w:color w:val="auto"/>
              </w:rPr>
              <w:t>）堰顶临边未按规定设置防护栏杆，扣</w:t>
            </w:r>
            <w:r>
              <w:rPr>
                <w:color w:val="auto"/>
              </w:rPr>
              <w:t>10</w:t>
            </w:r>
            <w:r>
              <w:rPr>
                <w:rFonts w:hint="eastAsia"/>
                <w:color w:val="auto"/>
              </w:rPr>
              <w:t>分</w:t>
            </w:r>
          </w:p>
          <w:p w14:paraId="77BDA473">
            <w:pPr>
              <w:pStyle w:val="44"/>
              <w:jc w:val="left"/>
              <w:rPr>
                <w:color w:val="auto"/>
              </w:rPr>
            </w:pPr>
            <w:r>
              <w:rPr>
                <w:color w:val="auto"/>
              </w:rPr>
              <w:t>5</w:t>
            </w:r>
            <w:r>
              <w:rPr>
                <w:rFonts w:hint="eastAsia"/>
                <w:color w:val="auto"/>
              </w:rPr>
              <w:t>）围堰内未设置供人员上下的专用通道或通道设置不符合标准要求，扣</w:t>
            </w:r>
            <w:r>
              <w:rPr>
                <w:color w:val="auto"/>
              </w:rPr>
              <w:t>5-10</w:t>
            </w:r>
            <w:r>
              <w:rPr>
                <w:rFonts w:hint="eastAsia"/>
                <w:color w:val="auto"/>
              </w:rPr>
              <w:t>分</w:t>
            </w:r>
          </w:p>
        </w:tc>
        <w:tc>
          <w:tcPr>
            <w:tcW w:w="720" w:type="dxa"/>
            <w:vAlign w:val="center"/>
          </w:tcPr>
          <w:p w14:paraId="1EF863C7">
            <w:pPr>
              <w:pStyle w:val="44"/>
              <w:rPr>
                <w:color w:val="auto"/>
              </w:rPr>
            </w:pPr>
            <w:r>
              <w:rPr>
                <w:color w:val="auto"/>
              </w:rPr>
              <w:t>10</w:t>
            </w:r>
          </w:p>
        </w:tc>
        <w:tc>
          <w:tcPr>
            <w:tcW w:w="720" w:type="dxa"/>
            <w:vAlign w:val="center"/>
          </w:tcPr>
          <w:p w14:paraId="0FEF15CE">
            <w:pPr>
              <w:pStyle w:val="44"/>
              <w:rPr>
                <w:color w:val="auto"/>
              </w:rPr>
            </w:pPr>
          </w:p>
        </w:tc>
        <w:tc>
          <w:tcPr>
            <w:tcW w:w="720" w:type="dxa"/>
            <w:vAlign w:val="center"/>
          </w:tcPr>
          <w:p w14:paraId="6EEA8C74">
            <w:pPr>
              <w:pStyle w:val="44"/>
              <w:rPr>
                <w:color w:val="auto"/>
              </w:rPr>
            </w:pPr>
          </w:p>
        </w:tc>
      </w:tr>
      <w:tr w14:paraId="196BF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5AAC991">
            <w:pPr>
              <w:pStyle w:val="44"/>
              <w:rPr>
                <w:color w:val="auto"/>
              </w:rPr>
            </w:pPr>
            <w:r>
              <w:rPr>
                <w:color w:val="auto"/>
              </w:rPr>
              <w:t>2</w:t>
            </w:r>
          </w:p>
        </w:tc>
        <w:tc>
          <w:tcPr>
            <w:tcW w:w="543" w:type="dxa"/>
            <w:vMerge w:val="continue"/>
          </w:tcPr>
          <w:p w14:paraId="489A12E8">
            <w:pPr>
              <w:pStyle w:val="44"/>
              <w:rPr>
                <w:color w:val="auto"/>
              </w:rPr>
            </w:pPr>
          </w:p>
        </w:tc>
        <w:tc>
          <w:tcPr>
            <w:tcW w:w="898" w:type="dxa"/>
            <w:vAlign w:val="center"/>
          </w:tcPr>
          <w:p w14:paraId="1D0FD4E0">
            <w:pPr>
              <w:pStyle w:val="44"/>
              <w:rPr>
                <w:color w:val="auto"/>
              </w:rPr>
            </w:pPr>
            <w:r>
              <w:rPr>
                <w:rFonts w:hint="eastAsia"/>
                <w:color w:val="auto"/>
              </w:rPr>
              <w:t>拆除</w:t>
            </w:r>
          </w:p>
        </w:tc>
        <w:tc>
          <w:tcPr>
            <w:tcW w:w="5580" w:type="dxa"/>
            <w:vAlign w:val="center"/>
          </w:tcPr>
          <w:p w14:paraId="64841F69">
            <w:pPr>
              <w:pStyle w:val="44"/>
              <w:jc w:val="left"/>
              <w:rPr>
                <w:color w:val="auto"/>
              </w:rPr>
            </w:pPr>
            <w:r>
              <w:rPr>
                <w:color w:val="auto"/>
              </w:rPr>
              <w:t>1</w:t>
            </w:r>
            <w:r>
              <w:rPr>
                <w:rFonts w:hint="eastAsia"/>
                <w:color w:val="auto"/>
              </w:rPr>
              <w:t>）围堰内工程基础施工完成后，未及时拆除围堰，扣</w:t>
            </w:r>
            <w:r>
              <w:rPr>
                <w:color w:val="auto"/>
              </w:rPr>
              <w:t>5-8</w:t>
            </w:r>
            <w:r>
              <w:rPr>
                <w:rFonts w:hint="eastAsia"/>
                <w:color w:val="auto"/>
              </w:rPr>
              <w:t>分</w:t>
            </w:r>
          </w:p>
          <w:p w14:paraId="7C7D8E8B">
            <w:pPr>
              <w:pStyle w:val="44"/>
              <w:jc w:val="left"/>
              <w:rPr>
                <w:color w:val="auto"/>
              </w:rPr>
            </w:pPr>
            <w:r>
              <w:rPr>
                <w:color w:val="auto"/>
              </w:rPr>
              <w:t>2</w:t>
            </w:r>
            <w:r>
              <w:rPr>
                <w:rFonts w:hint="eastAsia"/>
                <w:color w:val="auto"/>
              </w:rPr>
              <w:t>）围堰未按从下游至上游的顺序拆除，扣</w:t>
            </w:r>
            <w:r>
              <w:rPr>
                <w:color w:val="auto"/>
              </w:rPr>
              <w:t>10</w:t>
            </w:r>
            <w:r>
              <w:rPr>
                <w:rFonts w:hint="eastAsia"/>
                <w:color w:val="auto"/>
              </w:rPr>
              <w:t>分</w:t>
            </w:r>
          </w:p>
          <w:p w14:paraId="527FC7F3">
            <w:pPr>
              <w:pStyle w:val="44"/>
              <w:jc w:val="left"/>
              <w:rPr>
                <w:color w:val="auto"/>
              </w:rPr>
            </w:pPr>
            <w:r>
              <w:rPr>
                <w:color w:val="auto"/>
              </w:rPr>
              <w:t>3</w:t>
            </w:r>
            <w:r>
              <w:rPr>
                <w:rFonts w:hint="eastAsia"/>
                <w:color w:val="auto"/>
              </w:rPr>
              <w:t>）围堰拆除污染水体，扣</w:t>
            </w:r>
            <w:r>
              <w:rPr>
                <w:color w:val="auto"/>
              </w:rPr>
              <w:t>5-10</w:t>
            </w:r>
            <w:r>
              <w:rPr>
                <w:rFonts w:hint="eastAsia"/>
                <w:color w:val="auto"/>
              </w:rPr>
              <w:t>分</w:t>
            </w:r>
          </w:p>
        </w:tc>
        <w:tc>
          <w:tcPr>
            <w:tcW w:w="720" w:type="dxa"/>
            <w:vAlign w:val="center"/>
          </w:tcPr>
          <w:p w14:paraId="5D1DDD82">
            <w:pPr>
              <w:pStyle w:val="44"/>
              <w:rPr>
                <w:color w:val="auto"/>
              </w:rPr>
            </w:pPr>
            <w:r>
              <w:rPr>
                <w:color w:val="auto"/>
              </w:rPr>
              <w:t>10</w:t>
            </w:r>
          </w:p>
        </w:tc>
        <w:tc>
          <w:tcPr>
            <w:tcW w:w="720" w:type="dxa"/>
            <w:vAlign w:val="center"/>
          </w:tcPr>
          <w:p w14:paraId="314B5F48">
            <w:pPr>
              <w:pStyle w:val="44"/>
              <w:rPr>
                <w:color w:val="auto"/>
              </w:rPr>
            </w:pPr>
          </w:p>
        </w:tc>
        <w:tc>
          <w:tcPr>
            <w:tcW w:w="720" w:type="dxa"/>
            <w:vAlign w:val="center"/>
          </w:tcPr>
          <w:p w14:paraId="535B6764">
            <w:pPr>
              <w:pStyle w:val="44"/>
              <w:rPr>
                <w:color w:val="auto"/>
              </w:rPr>
            </w:pPr>
          </w:p>
        </w:tc>
      </w:tr>
      <w:tr w14:paraId="04C2A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80B8A3A">
            <w:pPr>
              <w:pStyle w:val="44"/>
              <w:rPr>
                <w:color w:val="auto"/>
              </w:rPr>
            </w:pPr>
            <w:r>
              <w:rPr>
                <w:color w:val="auto"/>
              </w:rPr>
              <w:t>3</w:t>
            </w:r>
          </w:p>
        </w:tc>
        <w:tc>
          <w:tcPr>
            <w:tcW w:w="543" w:type="dxa"/>
            <w:vMerge w:val="continue"/>
          </w:tcPr>
          <w:p w14:paraId="16233261">
            <w:pPr>
              <w:pStyle w:val="44"/>
              <w:rPr>
                <w:color w:val="auto"/>
              </w:rPr>
            </w:pPr>
          </w:p>
        </w:tc>
        <w:tc>
          <w:tcPr>
            <w:tcW w:w="898" w:type="dxa"/>
            <w:vAlign w:val="center"/>
          </w:tcPr>
          <w:p w14:paraId="753D04CE">
            <w:pPr>
              <w:pStyle w:val="44"/>
              <w:rPr>
                <w:color w:val="auto"/>
              </w:rPr>
            </w:pPr>
            <w:r>
              <w:rPr>
                <w:rFonts w:hint="eastAsia"/>
                <w:color w:val="auto"/>
              </w:rPr>
              <w:t>河道清理</w:t>
            </w:r>
          </w:p>
        </w:tc>
        <w:tc>
          <w:tcPr>
            <w:tcW w:w="5580" w:type="dxa"/>
            <w:vAlign w:val="center"/>
          </w:tcPr>
          <w:p w14:paraId="0DD64259">
            <w:pPr>
              <w:pStyle w:val="44"/>
              <w:jc w:val="left"/>
              <w:rPr>
                <w:color w:val="auto"/>
              </w:rPr>
            </w:pPr>
            <w:r>
              <w:rPr>
                <w:color w:val="auto"/>
              </w:rPr>
              <w:t>1</w:t>
            </w:r>
            <w:r>
              <w:rPr>
                <w:rFonts w:hint="eastAsia"/>
                <w:color w:val="auto"/>
              </w:rPr>
              <w:t>）拆除围堰弃土应未专项施工方案的规定外运，或往河道内抛填，扣</w:t>
            </w:r>
            <w:r>
              <w:rPr>
                <w:color w:val="auto"/>
              </w:rPr>
              <w:t>5-10</w:t>
            </w:r>
            <w:r>
              <w:rPr>
                <w:rFonts w:hint="eastAsia"/>
                <w:color w:val="auto"/>
              </w:rPr>
              <w:t>分</w:t>
            </w:r>
          </w:p>
          <w:p w14:paraId="0612DFEC">
            <w:pPr>
              <w:pStyle w:val="44"/>
              <w:jc w:val="left"/>
              <w:rPr>
                <w:color w:val="auto"/>
              </w:rPr>
            </w:pPr>
            <w:r>
              <w:rPr>
                <w:color w:val="auto"/>
              </w:rPr>
              <w:t>2</w:t>
            </w:r>
            <w:r>
              <w:rPr>
                <w:rFonts w:hint="eastAsia"/>
                <w:color w:val="auto"/>
              </w:rPr>
              <w:t>）围堰拆除后未按照当地水务相关部门要求清理河道，扣</w:t>
            </w:r>
            <w:r>
              <w:rPr>
                <w:color w:val="auto"/>
              </w:rPr>
              <w:t>10</w:t>
            </w:r>
            <w:r>
              <w:rPr>
                <w:rFonts w:hint="eastAsia"/>
                <w:color w:val="auto"/>
              </w:rPr>
              <w:t>分</w:t>
            </w:r>
          </w:p>
        </w:tc>
        <w:tc>
          <w:tcPr>
            <w:tcW w:w="720" w:type="dxa"/>
            <w:vAlign w:val="center"/>
          </w:tcPr>
          <w:p w14:paraId="3F830ABA">
            <w:pPr>
              <w:pStyle w:val="44"/>
              <w:rPr>
                <w:color w:val="auto"/>
              </w:rPr>
            </w:pPr>
            <w:r>
              <w:rPr>
                <w:color w:val="auto"/>
              </w:rPr>
              <w:t>10</w:t>
            </w:r>
          </w:p>
        </w:tc>
        <w:tc>
          <w:tcPr>
            <w:tcW w:w="720" w:type="dxa"/>
            <w:vAlign w:val="center"/>
          </w:tcPr>
          <w:p w14:paraId="4E905F6E">
            <w:pPr>
              <w:pStyle w:val="44"/>
              <w:rPr>
                <w:color w:val="auto"/>
              </w:rPr>
            </w:pPr>
          </w:p>
        </w:tc>
        <w:tc>
          <w:tcPr>
            <w:tcW w:w="720" w:type="dxa"/>
            <w:vAlign w:val="center"/>
          </w:tcPr>
          <w:p w14:paraId="019C971C">
            <w:pPr>
              <w:pStyle w:val="44"/>
              <w:rPr>
                <w:color w:val="auto"/>
              </w:rPr>
            </w:pPr>
          </w:p>
        </w:tc>
      </w:tr>
      <w:tr w14:paraId="70C96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769AF45">
            <w:pPr>
              <w:pStyle w:val="44"/>
              <w:rPr>
                <w:color w:val="auto"/>
              </w:rPr>
            </w:pPr>
          </w:p>
        </w:tc>
        <w:tc>
          <w:tcPr>
            <w:tcW w:w="543" w:type="dxa"/>
            <w:vMerge w:val="continue"/>
          </w:tcPr>
          <w:p w14:paraId="35BEFC48">
            <w:pPr>
              <w:pStyle w:val="44"/>
              <w:rPr>
                <w:color w:val="auto"/>
              </w:rPr>
            </w:pPr>
          </w:p>
        </w:tc>
        <w:tc>
          <w:tcPr>
            <w:tcW w:w="6478" w:type="dxa"/>
            <w:gridSpan w:val="2"/>
            <w:vAlign w:val="center"/>
          </w:tcPr>
          <w:p w14:paraId="70FE3BFA">
            <w:pPr>
              <w:pStyle w:val="44"/>
              <w:rPr>
                <w:b/>
                <w:bCs w:val="0"/>
                <w:color w:val="auto"/>
              </w:rPr>
            </w:pPr>
            <w:r>
              <w:rPr>
                <w:rFonts w:hint="eastAsia"/>
                <w:b/>
                <w:bCs w:val="0"/>
                <w:color w:val="auto"/>
              </w:rPr>
              <w:t xml:space="preserve">小 </w:t>
            </w:r>
            <w:r>
              <w:rPr>
                <w:b/>
                <w:bCs w:val="0"/>
                <w:color w:val="auto"/>
              </w:rPr>
              <w:t xml:space="preserve"> </w:t>
            </w:r>
            <w:r>
              <w:rPr>
                <w:rFonts w:hint="eastAsia"/>
                <w:b/>
                <w:bCs w:val="0"/>
                <w:color w:val="auto"/>
              </w:rPr>
              <w:t>计</w:t>
            </w:r>
          </w:p>
        </w:tc>
        <w:tc>
          <w:tcPr>
            <w:tcW w:w="720" w:type="dxa"/>
            <w:vAlign w:val="center"/>
          </w:tcPr>
          <w:p w14:paraId="106093B6">
            <w:pPr>
              <w:pStyle w:val="44"/>
              <w:rPr>
                <w:color w:val="auto"/>
              </w:rPr>
            </w:pPr>
            <w:r>
              <w:rPr>
                <w:color w:val="auto"/>
              </w:rPr>
              <w:t>30</w:t>
            </w:r>
          </w:p>
        </w:tc>
        <w:tc>
          <w:tcPr>
            <w:tcW w:w="720" w:type="dxa"/>
            <w:vAlign w:val="center"/>
          </w:tcPr>
          <w:p w14:paraId="61C59FF8">
            <w:pPr>
              <w:pStyle w:val="44"/>
              <w:rPr>
                <w:color w:val="auto"/>
              </w:rPr>
            </w:pPr>
          </w:p>
        </w:tc>
        <w:tc>
          <w:tcPr>
            <w:tcW w:w="720" w:type="dxa"/>
            <w:vAlign w:val="center"/>
          </w:tcPr>
          <w:p w14:paraId="27871257">
            <w:pPr>
              <w:pStyle w:val="44"/>
              <w:rPr>
                <w:color w:val="auto"/>
              </w:rPr>
            </w:pPr>
          </w:p>
        </w:tc>
      </w:tr>
      <w:tr w14:paraId="54006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560" w:type="dxa"/>
            <w:gridSpan w:val="4"/>
            <w:vAlign w:val="center"/>
          </w:tcPr>
          <w:p w14:paraId="3A9E00F0">
            <w:pPr>
              <w:pStyle w:val="44"/>
              <w:rPr>
                <w:b/>
                <w:bCs w:val="0"/>
                <w:color w:val="auto"/>
              </w:rPr>
            </w:pPr>
            <w:r>
              <w:rPr>
                <w:rFonts w:hint="eastAsia"/>
                <w:b/>
                <w:bCs w:val="0"/>
                <w:color w:val="auto"/>
              </w:rPr>
              <w:t>检查项目合计</w:t>
            </w:r>
          </w:p>
        </w:tc>
        <w:tc>
          <w:tcPr>
            <w:tcW w:w="720" w:type="dxa"/>
            <w:vAlign w:val="center"/>
          </w:tcPr>
          <w:p w14:paraId="0051AC46">
            <w:pPr>
              <w:pStyle w:val="44"/>
              <w:rPr>
                <w:color w:val="auto"/>
              </w:rPr>
            </w:pPr>
            <w:r>
              <w:rPr>
                <w:color w:val="auto"/>
              </w:rPr>
              <w:t>100</w:t>
            </w:r>
          </w:p>
        </w:tc>
        <w:tc>
          <w:tcPr>
            <w:tcW w:w="720" w:type="dxa"/>
            <w:vAlign w:val="center"/>
          </w:tcPr>
          <w:p w14:paraId="44ACC1CB">
            <w:pPr>
              <w:pStyle w:val="44"/>
              <w:rPr>
                <w:color w:val="auto"/>
              </w:rPr>
            </w:pPr>
          </w:p>
        </w:tc>
        <w:tc>
          <w:tcPr>
            <w:tcW w:w="720" w:type="dxa"/>
            <w:vAlign w:val="center"/>
          </w:tcPr>
          <w:p w14:paraId="51A0CBD6">
            <w:pPr>
              <w:pStyle w:val="44"/>
              <w:rPr>
                <w:color w:val="auto"/>
              </w:rPr>
            </w:pPr>
          </w:p>
        </w:tc>
      </w:tr>
    </w:tbl>
    <w:p w14:paraId="440A26D5"/>
    <w:p w14:paraId="7D339B8D">
      <w:pPr>
        <w:pStyle w:val="5"/>
      </w:pPr>
      <w:r>
        <w:br w:type="page"/>
      </w:r>
      <w:bookmarkStart w:id="34" w:name="_Toc7244"/>
      <w:bookmarkStart w:id="35" w:name="_Toc1772"/>
      <w:bookmarkStart w:id="36" w:name="_Toc6639"/>
      <w:r>
        <w:rPr>
          <w:rFonts w:hint="eastAsia"/>
        </w:rPr>
        <w:t>表B.</w:t>
      </w:r>
      <w:r>
        <w:t>9</w:t>
      </w:r>
      <w:r>
        <w:rPr>
          <w:rFonts w:hint="eastAsia"/>
        </w:rPr>
        <w:t xml:space="preserve">  沉井检查</w:t>
      </w:r>
      <w:r>
        <w:t>评分表</w:t>
      </w:r>
      <w:bookmarkEnd w:id="34"/>
      <w:bookmarkEnd w:id="35"/>
      <w:bookmarkEnd w:id="36"/>
    </w:p>
    <w:tbl>
      <w:tblPr>
        <w:tblStyle w:val="19"/>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6CBB1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jc w:val="center"/>
        </w:trPr>
        <w:tc>
          <w:tcPr>
            <w:tcW w:w="539" w:type="dxa"/>
            <w:vAlign w:val="center"/>
          </w:tcPr>
          <w:p w14:paraId="6E0A8D6A">
            <w:pPr>
              <w:pStyle w:val="44"/>
              <w:rPr>
                <w:color w:val="auto"/>
              </w:rPr>
            </w:pPr>
            <w:r>
              <w:rPr>
                <w:rFonts w:hint="eastAsia"/>
                <w:color w:val="auto"/>
              </w:rPr>
              <w:t>序号</w:t>
            </w:r>
          </w:p>
        </w:tc>
        <w:tc>
          <w:tcPr>
            <w:tcW w:w="1441" w:type="dxa"/>
            <w:gridSpan w:val="2"/>
            <w:vAlign w:val="center"/>
          </w:tcPr>
          <w:p w14:paraId="0B08899C">
            <w:pPr>
              <w:pStyle w:val="44"/>
              <w:rPr>
                <w:color w:val="auto"/>
              </w:rPr>
            </w:pPr>
            <w:r>
              <w:rPr>
                <w:rFonts w:hint="eastAsia"/>
                <w:color w:val="auto"/>
              </w:rPr>
              <w:t>检查项目</w:t>
            </w:r>
          </w:p>
        </w:tc>
        <w:tc>
          <w:tcPr>
            <w:tcW w:w="5580" w:type="dxa"/>
            <w:vAlign w:val="center"/>
          </w:tcPr>
          <w:p w14:paraId="3E453584">
            <w:pPr>
              <w:pStyle w:val="44"/>
              <w:rPr>
                <w:color w:val="auto"/>
              </w:rPr>
            </w:pPr>
            <w:r>
              <w:rPr>
                <w:rFonts w:hint="eastAsia"/>
                <w:color w:val="auto"/>
              </w:rPr>
              <w:t>扣</w:t>
            </w:r>
            <w:r>
              <w:rPr>
                <w:color w:val="auto"/>
              </w:rPr>
              <w:t xml:space="preserve"> </w:t>
            </w:r>
            <w:r>
              <w:rPr>
                <w:rFonts w:hint="eastAsia"/>
                <w:color w:val="auto"/>
              </w:rPr>
              <w:t>分</w:t>
            </w:r>
            <w:r>
              <w:rPr>
                <w:color w:val="auto"/>
              </w:rPr>
              <w:t xml:space="preserve"> </w:t>
            </w:r>
            <w:r>
              <w:rPr>
                <w:rFonts w:hint="eastAsia"/>
                <w:color w:val="auto"/>
              </w:rPr>
              <w:t>标</w:t>
            </w:r>
            <w:r>
              <w:rPr>
                <w:color w:val="auto"/>
              </w:rPr>
              <w:t xml:space="preserve"> </w:t>
            </w:r>
            <w:r>
              <w:rPr>
                <w:rFonts w:hint="eastAsia"/>
                <w:color w:val="auto"/>
              </w:rPr>
              <w:t>准</w:t>
            </w:r>
          </w:p>
        </w:tc>
        <w:tc>
          <w:tcPr>
            <w:tcW w:w="720" w:type="dxa"/>
            <w:vAlign w:val="center"/>
          </w:tcPr>
          <w:p w14:paraId="575626AF">
            <w:pPr>
              <w:pStyle w:val="44"/>
              <w:rPr>
                <w:color w:val="auto"/>
              </w:rPr>
            </w:pPr>
            <w:r>
              <w:rPr>
                <w:rFonts w:hint="eastAsia"/>
                <w:color w:val="auto"/>
              </w:rPr>
              <w:t>应得</w:t>
            </w:r>
          </w:p>
          <w:p w14:paraId="329FB40A">
            <w:pPr>
              <w:pStyle w:val="44"/>
              <w:rPr>
                <w:color w:val="auto"/>
              </w:rPr>
            </w:pPr>
            <w:r>
              <w:rPr>
                <w:rFonts w:hint="eastAsia"/>
                <w:color w:val="auto"/>
              </w:rPr>
              <w:t>分数</w:t>
            </w:r>
          </w:p>
        </w:tc>
        <w:tc>
          <w:tcPr>
            <w:tcW w:w="720" w:type="dxa"/>
            <w:vAlign w:val="center"/>
          </w:tcPr>
          <w:p w14:paraId="0FA4DE1D">
            <w:pPr>
              <w:pStyle w:val="44"/>
              <w:rPr>
                <w:color w:val="auto"/>
              </w:rPr>
            </w:pPr>
            <w:r>
              <w:rPr>
                <w:rFonts w:hint="eastAsia"/>
                <w:color w:val="auto"/>
              </w:rPr>
              <w:t>扣减</w:t>
            </w:r>
          </w:p>
          <w:p w14:paraId="6390C12D">
            <w:pPr>
              <w:pStyle w:val="44"/>
              <w:rPr>
                <w:color w:val="auto"/>
              </w:rPr>
            </w:pPr>
            <w:r>
              <w:rPr>
                <w:rFonts w:hint="eastAsia"/>
                <w:color w:val="auto"/>
              </w:rPr>
              <w:t>分数</w:t>
            </w:r>
          </w:p>
        </w:tc>
        <w:tc>
          <w:tcPr>
            <w:tcW w:w="720" w:type="dxa"/>
            <w:vAlign w:val="center"/>
          </w:tcPr>
          <w:p w14:paraId="1F108F66">
            <w:pPr>
              <w:pStyle w:val="44"/>
              <w:rPr>
                <w:color w:val="auto"/>
              </w:rPr>
            </w:pPr>
            <w:r>
              <w:rPr>
                <w:rFonts w:hint="eastAsia"/>
                <w:color w:val="auto"/>
              </w:rPr>
              <w:t>实得</w:t>
            </w:r>
          </w:p>
          <w:p w14:paraId="73EB8FEC">
            <w:pPr>
              <w:pStyle w:val="44"/>
              <w:rPr>
                <w:color w:val="auto"/>
              </w:rPr>
            </w:pPr>
            <w:r>
              <w:rPr>
                <w:rFonts w:hint="eastAsia"/>
                <w:color w:val="auto"/>
              </w:rPr>
              <w:t>分数</w:t>
            </w:r>
          </w:p>
        </w:tc>
      </w:tr>
      <w:tr w14:paraId="5D8F3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04BCC782">
            <w:pPr>
              <w:pStyle w:val="44"/>
              <w:rPr>
                <w:color w:val="auto"/>
              </w:rPr>
            </w:pPr>
            <w:r>
              <w:rPr>
                <w:color w:val="auto"/>
              </w:rPr>
              <w:t>1</w:t>
            </w:r>
          </w:p>
        </w:tc>
        <w:tc>
          <w:tcPr>
            <w:tcW w:w="543" w:type="dxa"/>
            <w:vMerge w:val="restart"/>
            <w:vAlign w:val="center"/>
          </w:tcPr>
          <w:p w14:paraId="12A86191">
            <w:pPr>
              <w:pStyle w:val="44"/>
              <w:rPr>
                <w:color w:val="auto"/>
              </w:rPr>
            </w:pPr>
            <w:r>
              <w:rPr>
                <w:rFonts w:hint="eastAsia"/>
                <w:color w:val="auto"/>
              </w:rPr>
              <w:t>保</w:t>
            </w:r>
          </w:p>
          <w:p w14:paraId="6954AFAB">
            <w:pPr>
              <w:pStyle w:val="44"/>
              <w:rPr>
                <w:color w:val="auto"/>
              </w:rPr>
            </w:pPr>
            <w:r>
              <w:rPr>
                <w:rFonts w:hint="eastAsia"/>
                <w:color w:val="auto"/>
              </w:rPr>
              <w:t>证</w:t>
            </w:r>
          </w:p>
          <w:p w14:paraId="598F9620">
            <w:pPr>
              <w:pStyle w:val="44"/>
              <w:rPr>
                <w:color w:val="auto"/>
              </w:rPr>
            </w:pPr>
            <w:r>
              <w:rPr>
                <w:rFonts w:hint="eastAsia"/>
                <w:color w:val="auto"/>
              </w:rPr>
              <w:t>项</w:t>
            </w:r>
          </w:p>
          <w:p w14:paraId="5DF5981D">
            <w:pPr>
              <w:pStyle w:val="44"/>
              <w:rPr>
                <w:color w:val="auto"/>
              </w:rPr>
            </w:pPr>
            <w:r>
              <w:rPr>
                <w:rFonts w:hint="eastAsia"/>
                <w:color w:val="auto"/>
              </w:rPr>
              <w:t>目</w:t>
            </w:r>
          </w:p>
        </w:tc>
        <w:tc>
          <w:tcPr>
            <w:tcW w:w="898" w:type="dxa"/>
            <w:vAlign w:val="center"/>
          </w:tcPr>
          <w:p w14:paraId="69F49F88">
            <w:pPr>
              <w:pStyle w:val="44"/>
              <w:rPr>
                <w:color w:val="auto"/>
              </w:rPr>
            </w:pPr>
            <w:r>
              <w:rPr>
                <w:rFonts w:hint="eastAsia"/>
                <w:color w:val="auto"/>
              </w:rPr>
              <w:t>方案与交底</w:t>
            </w:r>
          </w:p>
        </w:tc>
        <w:tc>
          <w:tcPr>
            <w:tcW w:w="5580" w:type="dxa"/>
            <w:vAlign w:val="center"/>
          </w:tcPr>
          <w:p w14:paraId="171CF95D">
            <w:pPr>
              <w:pStyle w:val="44"/>
              <w:jc w:val="left"/>
              <w:rPr>
                <w:color w:val="auto"/>
              </w:rPr>
            </w:pPr>
            <w:r>
              <w:rPr>
                <w:color w:val="auto"/>
              </w:rPr>
              <w:t>1</w:t>
            </w:r>
            <w:r>
              <w:rPr>
                <w:rFonts w:hint="eastAsia"/>
                <w:color w:val="auto"/>
              </w:rPr>
              <w:t>）未按规定编制专项施工方案或未进行设计计算，扣</w:t>
            </w:r>
            <w:r>
              <w:rPr>
                <w:color w:val="auto"/>
              </w:rPr>
              <w:t>10</w:t>
            </w:r>
            <w:r>
              <w:rPr>
                <w:rFonts w:hint="eastAsia"/>
                <w:color w:val="auto"/>
              </w:rPr>
              <w:t>分方案编制内容不全或无针对性，扣</w:t>
            </w:r>
            <w:r>
              <w:rPr>
                <w:color w:val="auto"/>
              </w:rPr>
              <w:t>2-10</w:t>
            </w:r>
            <w:r>
              <w:rPr>
                <w:rFonts w:hint="eastAsia"/>
                <w:color w:val="auto"/>
              </w:rPr>
              <w:t>分</w:t>
            </w:r>
          </w:p>
          <w:p w14:paraId="5E47D376">
            <w:pPr>
              <w:pStyle w:val="44"/>
              <w:jc w:val="left"/>
              <w:rPr>
                <w:color w:val="auto"/>
              </w:rPr>
            </w:pPr>
            <w:r>
              <w:rPr>
                <w:color w:val="auto"/>
              </w:rPr>
              <w:t>2</w:t>
            </w:r>
            <w:r>
              <w:rPr>
                <w:rFonts w:hint="eastAsia"/>
                <w:color w:val="auto"/>
              </w:rPr>
              <w:t>）专项施工方案未按规定进行审核、审批，扣</w:t>
            </w:r>
            <w:r>
              <w:rPr>
                <w:color w:val="auto"/>
              </w:rPr>
              <w:t>10</w:t>
            </w:r>
            <w:r>
              <w:rPr>
                <w:rFonts w:hint="eastAsia"/>
                <w:color w:val="auto"/>
              </w:rPr>
              <w:t>分</w:t>
            </w:r>
          </w:p>
          <w:p w14:paraId="7A03D24F">
            <w:pPr>
              <w:pStyle w:val="44"/>
              <w:jc w:val="left"/>
              <w:rPr>
                <w:color w:val="auto"/>
              </w:rPr>
            </w:pPr>
            <w:r>
              <w:rPr>
                <w:color w:val="auto"/>
              </w:rPr>
              <w:t>3</w:t>
            </w:r>
            <w:r>
              <w:rPr>
                <w:rFonts w:hint="eastAsia"/>
                <w:color w:val="auto"/>
              </w:rPr>
              <w:t>）深度超过一定规模的沉井的专项施工方案未按规定组织专家论证，扣</w:t>
            </w:r>
            <w:r>
              <w:rPr>
                <w:color w:val="auto"/>
              </w:rPr>
              <w:t>10</w:t>
            </w:r>
            <w:r>
              <w:rPr>
                <w:rFonts w:hint="eastAsia"/>
                <w:color w:val="auto"/>
              </w:rPr>
              <w:t>分</w:t>
            </w:r>
          </w:p>
          <w:p w14:paraId="63427330">
            <w:pPr>
              <w:pStyle w:val="44"/>
              <w:jc w:val="left"/>
              <w:rPr>
                <w:color w:val="auto"/>
              </w:rPr>
            </w:pPr>
            <w:r>
              <w:rPr>
                <w:color w:val="auto"/>
              </w:rPr>
              <w:t>4</w:t>
            </w:r>
            <w:r>
              <w:rPr>
                <w:rFonts w:hint="eastAsia"/>
                <w:color w:val="auto"/>
              </w:rPr>
              <w:t>）专项施工方案实施前，未进行安全技术交底，扣</w:t>
            </w:r>
            <w:r>
              <w:rPr>
                <w:color w:val="auto"/>
              </w:rPr>
              <w:t>10</w:t>
            </w:r>
            <w:r>
              <w:rPr>
                <w:rFonts w:hint="eastAsia"/>
                <w:color w:val="auto"/>
              </w:rPr>
              <w:t>分；交底无针对性或无文字记录，扣</w:t>
            </w:r>
            <w:r>
              <w:rPr>
                <w:color w:val="auto"/>
              </w:rPr>
              <w:t>2-5</w:t>
            </w:r>
            <w:r>
              <w:rPr>
                <w:rFonts w:hint="eastAsia"/>
                <w:color w:val="auto"/>
              </w:rPr>
              <w:t>分</w:t>
            </w:r>
          </w:p>
        </w:tc>
        <w:tc>
          <w:tcPr>
            <w:tcW w:w="720" w:type="dxa"/>
            <w:vAlign w:val="center"/>
          </w:tcPr>
          <w:p w14:paraId="46A268AA">
            <w:pPr>
              <w:pStyle w:val="44"/>
              <w:rPr>
                <w:color w:val="auto"/>
              </w:rPr>
            </w:pPr>
            <w:r>
              <w:rPr>
                <w:color w:val="auto"/>
              </w:rPr>
              <w:t>10</w:t>
            </w:r>
          </w:p>
        </w:tc>
        <w:tc>
          <w:tcPr>
            <w:tcW w:w="720" w:type="dxa"/>
            <w:vAlign w:val="center"/>
          </w:tcPr>
          <w:p w14:paraId="45309525">
            <w:pPr>
              <w:pStyle w:val="44"/>
              <w:rPr>
                <w:color w:val="auto"/>
              </w:rPr>
            </w:pPr>
          </w:p>
        </w:tc>
        <w:tc>
          <w:tcPr>
            <w:tcW w:w="720" w:type="dxa"/>
            <w:vAlign w:val="center"/>
          </w:tcPr>
          <w:p w14:paraId="5909CADC">
            <w:pPr>
              <w:pStyle w:val="44"/>
              <w:rPr>
                <w:color w:val="auto"/>
              </w:rPr>
            </w:pPr>
          </w:p>
        </w:tc>
      </w:tr>
      <w:tr w14:paraId="75B62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2F3595A8">
            <w:pPr>
              <w:pStyle w:val="44"/>
              <w:rPr>
                <w:color w:val="auto"/>
              </w:rPr>
            </w:pPr>
            <w:r>
              <w:rPr>
                <w:color w:val="auto"/>
              </w:rPr>
              <w:t>2</w:t>
            </w:r>
          </w:p>
        </w:tc>
        <w:tc>
          <w:tcPr>
            <w:tcW w:w="543" w:type="dxa"/>
            <w:vMerge w:val="continue"/>
          </w:tcPr>
          <w:p w14:paraId="3E7B8E48">
            <w:pPr>
              <w:pStyle w:val="44"/>
              <w:rPr>
                <w:color w:val="auto"/>
              </w:rPr>
            </w:pPr>
          </w:p>
        </w:tc>
        <w:tc>
          <w:tcPr>
            <w:tcW w:w="898" w:type="dxa"/>
            <w:vAlign w:val="center"/>
          </w:tcPr>
          <w:p w14:paraId="38EEC10E">
            <w:pPr>
              <w:pStyle w:val="44"/>
              <w:rPr>
                <w:color w:val="auto"/>
              </w:rPr>
            </w:pPr>
            <w:r>
              <w:rPr>
                <w:rFonts w:hint="eastAsia"/>
                <w:color w:val="auto"/>
              </w:rPr>
              <w:t>沉井构造</w:t>
            </w:r>
          </w:p>
        </w:tc>
        <w:tc>
          <w:tcPr>
            <w:tcW w:w="5580" w:type="dxa"/>
            <w:vAlign w:val="center"/>
          </w:tcPr>
          <w:p w14:paraId="1596E051">
            <w:pPr>
              <w:pStyle w:val="44"/>
              <w:jc w:val="left"/>
              <w:rPr>
                <w:color w:val="auto"/>
              </w:rPr>
            </w:pPr>
            <w:r>
              <w:rPr>
                <w:color w:val="auto"/>
              </w:rPr>
              <w:t>1</w:t>
            </w:r>
            <w:r>
              <w:rPr>
                <w:rFonts w:hint="eastAsia"/>
                <w:color w:val="auto"/>
              </w:rPr>
              <w:t>）沉井的结构尺寸或构件的型号、间距、配筋等不符合专项施工方案的规定，扣</w:t>
            </w:r>
            <w:r>
              <w:rPr>
                <w:color w:val="auto"/>
              </w:rPr>
              <w:t>5-10</w:t>
            </w:r>
            <w:r>
              <w:rPr>
                <w:rFonts w:hint="eastAsia"/>
                <w:color w:val="auto"/>
              </w:rPr>
              <w:t>分</w:t>
            </w:r>
          </w:p>
          <w:p w14:paraId="1C37B4D2">
            <w:pPr>
              <w:pStyle w:val="44"/>
              <w:jc w:val="left"/>
              <w:rPr>
                <w:color w:val="auto"/>
              </w:rPr>
            </w:pPr>
            <w:r>
              <w:rPr>
                <w:color w:val="auto"/>
              </w:rPr>
              <w:t>2</w:t>
            </w:r>
            <w:r>
              <w:rPr>
                <w:rFonts w:hint="eastAsia"/>
                <w:color w:val="auto"/>
              </w:rPr>
              <w:t>）设置内支撑结构的沉井，其支撑间距、层数和构造不符合专项施工方案的规定，扣</w:t>
            </w:r>
            <w:r>
              <w:rPr>
                <w:color w:val="auto"/>
              </w:rPr>
              <w:t>5-10</w:t>
            </w:r>
            <w:r>
              <w:rPr>
                <w:rFonts w:hint="eastAsia"/>
                <w:color w:val="auto"/>
              </w:rPr>
              <w:t>分</w:t>
            </w:r>
          </w:p>
          <w:p w14:paraId="1E408CF5">
            <w:pPr>
              <w:pStyle w:val="44"/>
              <w:jc w:val="left"/>
              <w:rPr>
                <w:color w:val="auto"/>
              </w:rPr>
            </w:pPr>
            <w:r>
              <w:rPr>
                <w:color w:val="auto"/>
              </w:rPr>
              <w:t>3</w:t>
            </w:r>
            <w:r>
              <w:rPr>
                <w:rFonts w:hint="eastAsia"/>
                <w:color w:val="auto"/>
              </w:rPr>
              <w:t>）沉井的嵌固深度或封底混凝土厚度不符合专项施工方案的规定，扣</w:t>
            </w:r>
            <w:r>
              <w:rPr>
                <w:color w:val="auto"/>
              </w:rPr>
              <w:t>10</w:t>
            </w:r>
            <w:r>
              <w:rPr>
                <w:rFonts w:hint="eastAsia"/>
                <w:color w:val="auto"/>
              </w:rPr>
              <w:t>分</w:t>
            </w:r>
          </w:p>
          <w:p w14:paraId="0BDD2085">
            <w:pPr>
              <w:pStyle w:val="44"/>
              <w:jc w:val="left"/>
              <w:rPr>
                <w:color w:val="auto"/>
              </w:rPr>
            </w:pPr>
            <w:r>
              <w:rPr>
                <w:color w:val="auto"/>
              </w:rPr>
              <w:t>4</w:t>
            </w:r>
            <w:r>
              <w:rPr>
                <w:rFonts w:hint="eastAsia"/>
                <w:color w:val="auto"/>
              </w:rPr>
              <w:t>）筑岛沉井的刃脚垫层设计未经计算确定，或垫层的厚度、宽度不符合设计与专项施工方案要求，扣</w:t>
            </w:r>
            <w:r>
              <w:rPr>
                <w:color w:val="auto"/>
              </w:rPr>
              <w:t>5</w:t>
            </w:r>
            <w:r>
              <w:rPr>
                <w:rFonts w:hint="eastAsia"/>
                <w:color w:val="auto"/>
              </w:rPr>
              <w:t>分</w:t>
            </w:r>
          </w:p>
        </w:tc>
        <w:tc>
          <w:tcPr>
            <w:tcW w:w="720" w:type="dxa"/>
            <w:vAlign w:val="center"/>
          </w:tcPr>
          <w:p w14:paraId="2D5B3DCC">
            <w:pPr>
              <w:pStyle w:val="44"/>
              <w:rPr>
                <w:color w:val="auto"/>
              </w:rPr>
            </w:pPr>
            <w:r>
              <w:rPr>
                <w:color w:val="auto"/>
              </w:rPr>
              <w:t>10</w:t>
            </w:r>
          </w:p>
        </w:tc>
        <w:tc>
          <w:tcPr>
            <w:tcW w:w="720" w:type="dxa"/>
            <w:vAlign w:val="center"/>
          </w:tcPr>
          <w:p w14:paraId="32CF2AAC">
            <w:pPr>
              <w:pStyle w:val="44"/>
              <w:rPr>
                <w:color w:val="auto"/>
              </w:rPr>
            </w:pPr>
          </w:p>
        </w:tc>
        <w:tc>
          <w:tcPr>
            <w:tcW w:w="720" w:type="dxa"/>
            <w:vAlign w:val="center"/>
          </w:tcPr>
          <w:p w14:paraId="0B822F70">
            <w:pPr>
              <w:pStyle w:val="44"/>
              <w:rPr>
                <w:color w:val="auto"/>
              </w:rPr>
            </w:pPr>
          </w:p>
        </w:tc>
      </w:tr>
      <w:tr w14:paraId="1F2E2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D479BE7">
            <w:pPr>
              <w:pStyle w:val="44"/>
              <w:rPr>
                <w:color w:val="auto"/>
              </w:rPr>
            </w:pPr>
            <w:r>
              <w:rPr>
                <w:color w:val="auto"/>
              </w:rPr>
              <w:t>3</w:t>
            </w:r>
          </w:p>
        </w:tc>
        <w:tc>
          <w:tcPr>
            <w:tcW w:w="543" w:type="dxa"/>
            <w:vMerge w:val="continue"/>
          </w:tcPr>
          <w:p w14:paraId="53EED174">
            <w:pPr>
              <w:pStyle w:val="44"/>
              <w:rPr>
                <w:color w:val="auto"/>
              </w:rPr>
            </w:pPr>
          </w:p>
        </w:tc>
        <w:tc>
          <w:tcPr>
            <w:tcW w:w="898" w:type="dxa"/>
            <w:vAlign w:val="center"/>
          </w:tcPr>
          <w:p w14:paraId="3427B495">
            <w:pPr>
              <w:pStyle w:val="44"/>
              <w:rPr>
                <w:color w:val="auto"/>
              </w:rPr>
            </w:pPr>
            <w:r>
              <w:rPr>
                <w:rFonts w:hint="eastAsia"/>
                <w:color w:val="auto"/>
              </w:rPr>
              <w:t>筑岛</w:t>
            </w:r>
          </w:p>
        </w:tc>
        <w:tc>
          <w:tcPr>
            <w:tcW w:w="5580" w:type="dxa"/>
            <w:vAlign w:val="center"/>
          </w:tcPr>
          <w:p w14:paraId="781B062E">
            <w:pPr>
              <w:pStyle w:val="44"/>
              <w:jc w:val="left"/>
              <w:rPr>
                <w:color w:val="auto"/>
              </w:rPr>
            </w:pPr>
            <w:r>
              <w:rPr>
                <w:color w:val="auto"/>
              </w:rPr>
              <w:t>1</w:t>
            </w:r>
            <w:r>
              <w:rPr>
                <w:rFonts w:hint="eastAsia"/>
                <w:color w:val="auto"/>
              </w:rPr>
              <w:t>）筑岛的尺寸不满足沉井制作及抽垫等施工的要求，扣</w:t>
            </w:r>
            <w:r>
              <w:rPr>
                <w:color w:val="auto"/>
              </w:rPr>
              <w:t>10</w:t>
            </w:r>
            <w:r>
              <w:rPr>
                <w:rFonts w:hint="eastAsia"/>
                <w:color w:val="auto"/>
              </w:rPr>
              <w:t>分</w:t>
            </w:r>
          </w:p>
          <w:p w14:paraId="12104272">
            <w:pPr>
              <w:pStyle w:val="44"/>
              <w:jc w:val="left"/>
              <w:rPr>
                <w:color w:val="auto"/>
              </w:rPr>
            </w:pPr>
            <w:r>
              <w:rPr>
                <w:color w:val="auto"/>
              </w:rPr>
              <w:t>2</w:t>
            </w:r>
            <w:r>
              <w:rPr>
                <w:rFonts w:hint="eastAsia"/>
                <w:color w:val="auto"/>
              </w:rPr>
              <w:t>）未在沉井周围设置护道，扣</w:t>
            </w:r>
            <w:r>
              <w:rPr>
                <w:color w:val="auto"/>
              </w:rPr>
              <w:t>10</w:t>
            </w:r>
            <w:r>
              <w:rPr>
                <w:rFonts w:hint="eastAsia"/>
                <w:color w:val="auto"/>
              </w:rPr>
              <w:t>分；护道宽度不满足要求，扣</w:t>
            </w:r>
            <w:r>
              <w:rPr>
                <w:color w:val="auto"/>
              </w:rPr>
              <w:t>5</w:t>
            </w:r>
            <w:r>
              <w:rPr>
                <w:rFonts w:hint="eastAsia"/>
                <w:color w:val="auto"/>
              </w:rPr>
              <w:t>分</w:t>
            </w:r>
          </w:p>
          <w:p w14:paraId="49231165">
            <w:pPr>
              <w:pStyle w:val="44"/>
              <w:jc w:val="left"/>
              <w:rPr>
                <w:color w:val="auto"/>
              </w:rPr>
            </w:pPr>
            <w:r>
              <w:rPr>
                <w:color w:val="auto"/>
              </w:rPr>
              <w:t>3</w:t>
            </w:r>
            <w:r>
              <w:rPr>
                <w:rFonts w:hint="eastAsia"/>
                <w:color w:val="auto"/>
              </w:rPr>
              <w:t>）岛面、平台面和坑底高程未高出施工期可能的最高水位</w:t>
            </w:r>
            <w:r>
              <w:rPr>
                <w:color w:val="auto"/>
              </w:rPr>
              <w:t>0.7m</w:t>
            </w:r>
            <w:r>
              <w:rPr>
                <w:rFonts w:hint="eastAsia"/>
                <w:color w:val="auto"/>
              </w:rPr>
              <w:t>以上，扣</w:t>
            </w:r>
            <w:r>
              <w:rPr>
                <w:color w:val="auto"/>
              </w:rPr>
              <w:t>10</w:t>
            </w:r>
            <w:r>
              <w:rPr>
                <w:rFonts w:hint="eastAsia"/>
                <w:color w:val="auto"/>
              </w:rPr>
              <w:t>分</w:t>
            </w:r>
          </w:p>
          <w:p w14:paraId="1C3028E6">
            <w:pPr>
              <w:pStyle w:val="44"/>
              <w:jc w:val="left"/>
              <w:rPr>
                <w:color w:val="auto"/>
              </w:rPr>
            </w:pPr>
            <w:r>
              <w:rPr>
                <w:color w:val="auto"/>
              </w:rPr>
              <w:t>4</w:t>
            </w:r>
            <w:r>
              <w:rPr>
                <w:rFonts w:hint="eastAsia"/>
                <w:color w:val="auto"/>
              </w:rPr>
              <w:t>）筑岛选用的材料不满足设计要求等，或含有影响岛体受力及抽垫下沉的块体，扣</w:t>
            </w:r>
            <w:r>
              <w:rPr>
                <w:color w:val="auto"/>
              </w:rPr>
              <w:t>10</w:t>
            </w:r>
            <w:r>
              <w:rPr>
                <w:rFonts w:hint="eastAsia"/>
                <w:color w:val="auto"/>
              </w:rPr>
              <w:t>分</w:t>
            </w:r>
          </w:p>
          <w:p w14:paraId="168DD25D">
            <w:pPr>
              <w:pStyle w:val="44"/>
              <w:jc w:val="left"/>
              <w:rPr>
                <w:color w:val="auto"/>
              </w:rPr>
            </w:pPr>
            <w:r>
              <w:rPr>
                <w:color w:val="auto"/>
              </w:rPr>
              <w:t>5</w:t>
            </w:r>
            <w:r>
              <w:rPr>
                <w:rFonts w:hint="eastAsia"/>
                <w:color w:val="auto"/>
              </w:rPr>
              <w:t>）斜坡上筑岛时未进行计算，或无抗滑措施，扣</w:t>
            </w:r>
            <w:r>
              <w:rPr>
                <w:color w:val="auto"/>
              </w:rPr>
              <w:t>10</w:t>
            </w:r>
            <w:r>
              <w:rPr>
                <w:rFonts w:hint="eastAsia"/>
                <w:color w:val="auto"/>
              </w:rPr>
              <w:t>分</w:t>
            </w:r>
          </w:p>
          <w:p w14:paraId="6A1676FE">
            <w:pPr>
              <w:pStyle w:val="44"/>
              <w:jc w:val="left"/>
              <w:rPr>
                <w:color w:val="auto"/>
              </w:rPr>
            </w:pPr>
            <w:r>
              <w:rPr>
                <w:color w:val="auto"/>
              </w:rPr>
              <w:t>6</w:t>
            </w:r>
            <w:r>
              <w:rPr>
                <w:rFonts w:hint="eastAsia"/>
                <w:color w:val="auto"/>
              </w:rPr>
              <w:t>）在淤泥等软土上筑岛时，未采取换填或采取其他加固措施，扣</w:t>
            </w:r>
            <w:r>
              <w:rPr>
                <w:color w:val="auto"/>
              </w:rPr>
              <w:t>10</w:t>
            </w:r>
            <w:r>
              <w:rPr>
                <w:rFonts w:hint="eastAsia"/>
                <w:color w:val="auto"/>
              </w:rPr>
              <w:t>分</w:t>
            </w:r>
          </w:p>
          <w:p w14:paraId="4A795091">
            <w:pPr>
              <w:pStyle w:val="44"/>
              <w:jc w:val="left"/>
              <w:rPr>
                <w:color w:val="auto"/>
              </w:rPr>
            </w:pPr>
            <w:r>
              <w:rPr>
                <w:color w:val="auto"/>
              </w:rPr>
              <w:t>7</w:t>
            </w:r>
            <w:r>
              <w:rPr>
                <w:rFonts w:hint="eastAsia"/>
                <w:color w:val="auto"/>
              </w:rPr>
              <w:t>）无围堰筑岛的临水面坡度大于</w:t>
            </w:r>
            <w:r>
              <w:rPr>
                <w:color w:val="auto"/>
              </w:rPr>
              <w:t>1:1.75</w:t>
            </w:r>
            <w:r>
              <w:rPr>
                <w:rFonts w:hint="eastAsia"/>
                <w:color w:val="auto"/>
              </w:rPr>
              <w:t>，扣</w:t>
            </w:r>
            <w:r>
              <w:rPr>
                <w:color w:val="auto"/>
              </w:rPr>
              <w:t>5</w:t>
            </w:r>
            <w:r>
              <w:rPr>
                <w:rFonts w:hint="eastAsia"/>
                <w:color w:val="auto"/>
              </w:rPr>
              <w:t>分</w:t>
            </w:r>
          </w:p>
          <w:p w14:paraId="2D33BC64">
            <w:pPr>
              <w:pStyle w:val="44"/>
              <w:jc w:val="left"/>
              <w:rPr>
                <w:color w:val="auto"/>
              </w:rPr>
            </w:pPr>
            <w:r>
              <w:rPr>
                <w:color w:val="auto"/>
              </w:rPr>
              <w:t>8</w:t>
            </w:r>
            <w:r>
              <w:rPr>
                <w:rFonts w:hint="eastAsia"/>
                <w:color w:val="auto"/>
              </w:rPr>
              <w:t>）岛体不牢固，或地基承载力不满足设计要求，扣</w:t>
            </w:r>
            <w:r>
              <w:rPr>
                <w:color w:val="auto"/>
              </w:rPr>
              <w:t>10</w:t>
            </w:r>
            <w:r>
              <w:rPr>
                <w:rFonts w:hint="eastAsia"/>
                <w:color w:val="auto"/>
              </w:rPr>
              <w:t>分</w:t>
            </w:r>
          </w:p>
        </w:tc>
        <w:tc>
          <w:tcPr>
            <w:tcW w:w="720" w:type="dxa"/>
            <w:vAlign w:val="center"/>
          </w:tcPr>
          <w:p w14:paraId="3F216EC2">
            <w:pPr>
              <w:pStyle w:val="44"/>
              <w:rPr>
                <w:color w:val="auto"/>
              </w:rPr>
            </w:pPr>
            <w:r>
              <w:rPr>
                <w:color w:val="auto"/>
              </w:rPr>
              <w:t>10</w:t>
            </w:r>
          </w:p>
        </w:tc>
        <w:tc>
          <w:tcPr>
            <w:tcW w:w="720" w:type="dxa"/>
            <w:vAlign w:val="center"/>
          </w:tcPr>
          <w:p w14:paraId="721ADB81">
            <w:pPr>
              <w:pStyle w:val="44"/>
              <w:rPr>
                <w:color w:val="auto"/>
              </w:rPr>
            </w:pPr>
          </w:p>
        </w:tc>
        <w:tc>
          <w:tcPr>
            <w:tcW w:w="720" w:type="dxa"/>
            <w:vAlign w:val="center"/>
          </w:tcPr>
          <w:p w14:paraId="133D3F9B">
            <w:pPr>
              <w:pStyle w:val="44"/>
              <w:rPr>
                <w:color w:val="auto"/>
              </w:rPr>
            </w:pPr>
          </w:p>
        </w:tc>
      </w:tr>
      <w:tr w14:paraId="0253B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C2BADC1">
            <w:pPr>
              <w:pStyle w:val="44"/>
              <w:rPr>
                <w:color w:val="auto"/>
              </w:rPr>
            </w:pPr>
            <w:r>
              <w:rPr>
                <w:color w:val="auto"/>
              </w:rPr>
              <w:t>4</w:t>
            </w:r>
          </w:p>
        </w:tc>
        <w:tc>
          <w:tcPr>
            <w:tcW w:w="543" w:type="dxa"/>
            <w:vMerge w:val="continue"/>
          </w:tcPr>
          <w:p w14:paraId="57E93E02">
            <w:pPr>
              <w:pStyle w:val="44"/>
              <w:rPr>
                <w:color w:val="auto"/>
              </w:rPr>
            </w:pPr>
          </w:p>
        </w:tc>
        <w:tc>
          <w:tcPr>
            <w:tcW w:w="898" w:type="dxa"/>
            <w:vAlign w:val="center"/>
          </w:tcPr>
          <w:p w14:paraId="14ACCC9E">
            <w:pPr>
              <w:pStyle w:val="44"/>
              <w:rPr>
                <w:color w:val="auto"/>
              </w:rPr>
            </w:pPr>
            <w:r>
              <w:rPr>
                <w:rFonts w:hint="eastAsia"/>
                <w:color w:val="auto"/>
              </w:rPr>
              <w:t>沉井制作</w:t>
            </w:r>
          </w:p>
        </w:tc>
        <w:tc>
          <w:tcPr>
            <w:tcW w:w="5580" w:type="dxa"/>
            <w:vAlign w:val="center"/>
          </w:tcPr>
          <w:p w14:paraId="08794D85">
            <w:pPr>
              <w:pStyle w:val="44"/>
              <w:jc w:val="left"/>
              <w:rPr>
                <w:color w:val="auto"/>
              </w:rPr>
            </w:pPr>
            <w:r>
              <w:rPr>
                <w:color w:val="auto"/>
              </w:rPr>
              <w:t>1</w:t>
            </w:r>
            <w:r>
              <w:rPr>
                <w:rFonts w:hint="eastAsia"/>
                <w:color w:val="auto"/>
              </w:rPr>
              <w:t>）制作底节沉井的脚手架平台和模板支撑架搭设不牢固，扣</w:t>
            </w:r>
            <w:r>
              <w:rPr>
                <w:color w:val="auto"/>
              </w:rPr>
              <w:t>5</w:t>
            </w:r>
            <w:r>
              <w:rPr>
                <w:rFonts w:hint="eastAsia"/>
                <w:color w:val="auto"/>
              </w:rPr>
              <w:t>分</w:t>
            </w:r>
          </w:p>
          <w:p w14:paraId="6C77FE42">
            <w:pPr>
              <w:pStyle w:val="44"/>
              <w:jc w:val="left"/>
              <w:rPr>
                <w:color w:val="auto"/>
              </w:rPr>
            </w:pPr>
            <w:r>
              <w:rPr>
                <w:color w:val="auto"/>
              </w:rPr>
              <w:t>2</w:t>
            </w:r>
            <w:r>
              <w:rPr>
                <w:rFonts w:hint="eastAsia"/>
                <w:color w:val="auto"/>
              </w:rPr>
              <w:t>）后续各节的模板支撑于地面上或模板底部距地面小于</w:t>
            </w:r>
            <w:r>
              <w:rPr>
                <w:color w:val="auto"/>
              </w:rPr>
              <w:t>1m</w:t>
            </w:r>
            <w:r>
              <w:rPr>
                <w:rFonts w:hint="eastAsia"/>
                <w:color w:val="auto"/>
              </w:rPr>
              <w:t>，扣</w:t>
            </w:r>
            <w:r>
              <w:rPr>
                <w:color w:val="auto"/>
              </w:rPr>
              <w:t>5</w:t>
            </w:r>
            <w:r>
              <w:rPr>
                <w:rFonts w:hint="eastAsia"/>
                <w:color w:val="auto"/>
              </w:rPr>
              <w:t>分</w:t>
            </w:r>
          </w:p>
          <w:p w14:paraId="12F84158">
            <w:pPr>
              <w:pStyle w:val="44"/>
              <w:jc w:val="left"/>
              <w:rPr>
                <w:color w:val="auto"/>
              </w:rPr>
            </w:pPr>
            <w:r>
              <w:rPr>
                <w:color w:val="auto"/>
              </w:rPr>
              <w:t>3</w:t>
            </w:r>
            <w:r>
              <w:rPr>
                <w:rFonts w:hint="eastAsia"/>
                <w:color w:val="auto"/>
              </w:rPr>
              <w:t>）支垫的布置不满足设计要求或不便于抽垫，扣</w:t>
            </w:r>
            <w:r>
              <w:rPr>
                <w:color w:val="auto"/>
              </w:rPr>
              <w:t>5-10</w:t>
            </w:r>
            <w:r>
              <w:rPr>
                <w:rFonts w:hint="eastAsia"/>
                <w:color w:val="auto"/>
              </w:rPr>
              <w:t>分</w:t>
            </w:r>
          </w:p>
          <w:p w14:paraId="4BEDB479">
            <w:pPr>
              <w:pStyle w:val="44"/>
              <w:jc w:val="left"/>
              <w:rPr>
                <w:color w:val="auto"/>
              </w:rPr>
            </w:pPr>
            <w:r>
              <w:rPr>
                <w:color w:val="auto"/>
              </w:rPr>
              <w:t>4</w:t>
            </w:r>
            <w:r>
              <w:rPr>
                <w:rFonts w:hint="eastAsia"/>
                <w:color w:val="auto"/>
              </w:rPr>
              <w:t>）支垫顶面未与钢刃脚底面贴紧，每处扣</w:t>
            </w:r>
            <w:r>
              <w:rPr>
                <w:color w:val="auto"/>
              </w:rPr>
              <w:t>2</w:t>
            </w:r>
            <w:r>
              <w:rPr>
                <w:rFonts w:hint="eastAsia"/>
                <w:color w:val="auto"/>
              </w:rPr>
              <w:t>分</w:t>
            </w:r>
          </w:p>
          <w:p w14:paraId="6064F7CD">
            <w:pPr>
              <w:pStyle w:val="44"/>
              <w:jc w:val="left"/>
              <w:rPr>
                <w:color w:val="auto"/>
              </w:rPr>
            </w:pPr>
            <w:r>
              <w:rPr>
                <w:color w:val="auto"/>
              </w:rPr>
              <w:t>5</w:t>
            </w:r>
            <w:r>
              <w:rPr>
                <w:rFonts w:hint="eastAsia"/>
                <w:color w:val="auto"/>
              </w:rPr>
              <w:t>）内隔墙与井壁连接处的支垫未连成整体，扣</w:t>
            </w:r>
            <w:r>
              <w:rPr>
                <w:color w:val="auto"/>
              </w:rPr>
              <w:t>3</w:t>
            </w:r>
            <w:r>
              <w:rPr>
                <w:rFonts w:hint="eastAsia"/>
                <w:color w:val="auto"/>
              </w:rPr>
              <w:t>分</w:t>
            </w:r>
          </w:p>
          <w:p w14:paraId="6436F6AA">
            <w:pPr>
              <w:pStyle w:val="44"/>
              <w:jc w:val="left"/>
              <w:rPr>
                <w:color w:val="auto"/>
              </w:rPr>
            </w:pPr>
            <w:r>
              <w:rPr>
                <w:color w:val="auto"/>
              </w:rPr>
              <w:t>6</w:t>
            </w:r>
            <w:r>
              <w:rPr>
                <w:rFonts w:hint="eastAsia"/>
                <w:color w:val="auto"/>
              </w:rPr>
              <w:t>）底节沉井抽垫时混凝土强度不符合设计要求，或不满足抽垫后沉井受力要求，扣</w:t>
            </w:r>
            <w:r>
              <w:rPr>
                <w:color w:val="auto"/>
              </w:rPr>
              <w:t>5</w:t>
            </w:r>
            <w:r>
              <w:rPr>
                <w:rFonts w:hint="eastAsia"/>
                <w:color w:val="auto"/>
              </w:rPr>
              <w:t>分</w:t>
            </w:r>
          </w:p>
          <w:p w14:paraId="2B36BD7D">
            <w:pPr>
              <w:pStyle w:val="44"/>
              <w:jc w:val="left"/>
              <w:rPr>
                <w:color w:val="auto"/>
              </w:rPr>
            </w:pPr>
            <w:r>
              <w:rPr>
                <w:color w:val="auto"/>
              </w:rPr>
              <w:t>7</w:t>
            </w:r>
            <w:r>
              <w:rPr>
                <w:rFonts w:hint="eastAsia"/>
                <w:color w:val="auto"/>
              </w:rPr>
              <w:t>）支垫抽出未按照分区、依次、对称、同步的原则向沉井外抽出，或抽垫时未随抽随用砂土回填捣实，扣</w:t>
            </w:r>
            <w:r>
              <w:rPr>
                <w:color w:val="auto"/>
              </w:rPr>
              <w:t>5</w:t>
            </w:r>
            <w:r>
              <w:rPr>
                <w:rFonts w:hint="eastAsia"/>
                <w:color w:val="auto"/>
              </w:rPr>
              <w:t>分</w:t>
            </w:r>
          </w:p>
          <w:p w14:paraId="5292A17E">
            <w:pPr>
              <w:pStyle w:val="44"/>
              <w:jc w:val="left"/>
              <w:rPr>
                <w:color w:val="auto"/>
              </w:rPr>
            </w:pPr>
            <w:r>
              <w:rPr>
                <w:color w:val="auto"/>
              </w:rPr>
              <w:t>8</w:t>
            </w:r>
            <w:r>
              <w:rPr>
                <w:rFonts w:hint="eastAsia"/>
                <w:color w:val="auto"/>
              </w:rPr>
              <w:t>）定位支垫未在最后抽出或未同时抽出，扣</w:t>
            </w:r>
            <w:r>
              <w:rPr>
                <w:color w:val="auto"/>
              </w:rPr>
              <w:t>5</w:t>
            </w:r>
            <w:r>
              <w:rPr>
                <w:rFonts w:hint="eastAsia"/>
                <w:color w:val="auto"/>
              </w:rPr>
              <w:t>分</w:t>
            </w:r>
          </w:p>
          <w:p w14:paraId="3343F9DD">
            <w:pPr>
              <w:pStyle w:val="44"/>
              <w:jc w:val="left"/>
              <w:rPr>
                <w:color w:val="auto"/>
              </w:rPr>
            </w:pPr>
            <w:r>
              <w:rPr>
                <w:color w:val="auto"/>
              </w:rPr>
              <w:t>9</w:t>
            </w:r>
            <w:r>
              <w:rPr>
                <w:rFonts w:hint="eastAsia"/>
                <w:color w:val="auto"/>
              </w:rPr>
              <w:t>）沉井底节最小高度以及上部分节制作高度不符合设计规定，或不能确保下沉过程的稳定性，扣</w:t>
            </w:r>
            <w:r>
              <w:rPr>
                <w:color w:val="auto"/>
              </w:rPr>
              <w:t>5-10</w:t>
            </w:r>
            <w:r>
              <w:rPr>
                <w:rFonts w:hint="eastAsia"/>
                <w:color w:val="auto"/>
              </w:rPr>
              <w:t>分</w:t>
            </w:r>
          </w:p>
          <w:p w14:paraId="405CBE7A">
            <w:pPr>
              <w:pStyle w:val="44"/>
              <w:jc w:val="left"/>
              <w:rPr>
                <w:color w:val="auto"/>
              </w:rPr>
            </w:pPr>
            <w:r>
              <w:rPr>
                <w:color w:val="auto"/>
              </w:rPr>
              <w:t>10</w:t>
            </w:r>
            <w:r>
              <w:rPr>
                <w:rFonts w:hint="eastAsia"/>
                <w:color w:val="auto"/>
              </w:rPr>
              <w:t>）钢沉井的分段、分块吊装单元未在胎架上组装、施焊，或首节钢沉井未在坚固的台座上或支垫上进行整体拼装，扣</w:t>
            </w:r>
            <w:r>
              <w:rPr>
                <w:color w:val="auto"/>
              </w:rPr>
              <w:t>10</w:t>
            </w:r>
            <w:r>
              <w:rPr>
                <w:rFonts w:hint="eastAsia"/>
                <w:color w:val="auto"/>
              </w:rPr>
              <w:t>分</w:t>
            </w:r>
          </w:p>
        </w:tc>
        <w:tc>
          <w:tcPr>
            <w:tcW w:w="720" w:type="dxa"/>
            <w:vAlign w:val="center"/>
          </w:tcPr>
          <w:p w14:paraId="356B4D93">
            <w:pPr>
              <w:pStyle w:val="44"/>
              <w:rPr>
                <w:color w:val="auto"/>
              </w:rPr>
            </w:pPr>
            <w:r>
              <w:rPr>
                <w:color w:val="auto"/>
              </w:rPr>
              <w:t>10</w:t>
            </w:r>
          </w:p>
        </w:tc>
        <w:tc>
          <w:tcPr>
            <w:tcW w:w="720" w:type="dxa"/>
            <w:vAlign w:val="center"/>
          </w:tcPr>
          <w:p w14:paraId="60151CBD">
            <w:pPr>
              <w:pStyle w:val="44"/>
              <w:rPr>
                <w:color w:val="auto"/>
              </w:rPr>
            </w:pPr>
          </w:p>
        </w:tc>
        <w:tc>
          <w:tcPr>
            <w:tcW w:w="720" w:type="dxa"/>
            <w:vAlign w:val="center"/>
          </w:tcPr>
          <w:p w14:paraId="76F910E1">
            <w:pPr>
              <w:pStyle w:val="44"/>
              <w:rPr>
                <w:color w:val="auto"/>
              </w:rPr>
            </w:pPr>
          </w:p>
        </w:tc>
      </w:tr>
      <w:tr w14:paraId="7D1CC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7F8D611B">
            <w:pPr>
              <w:pStyle w:val="44"/>
              <w:rPr>
                <w:color w:val="auto"/>
              </w:rPr>
            </w:pPr>
            <w:r>
              <w:rPr>
                <w:color w:val="auto"/>
              </w:rPr>
              <w:t>5</w:t>
            </w:r>
          </w:p>
        </w:tc>
        <w:tc>
          <w:tcPr>
            <w:tcW w:w="543" w:type="dxa"/>
            <w:vMerge w:val="continue"/>
          </w:tcPr>
          <w:p w14:paraId="4BE8C185">
            <w:pPr>
              <w:pStyle w:val="44"/>
              <w:rPr>
                <w:color w:val="auto"/>
              </w:rPr>
            </w:pPr>
          </w:p>
        </w:tc>
        <w:tc>
          <w:tcPr>
            <w:tcW w:w="898" w:type="dxa"/>
            <w:vAlign w:val="center"/>
          </w:tcPr>
          <w:p w14:paraId="4FF3E632">
            <w:pPr>
              <w:pStyle w:val="44"/>
              <w:rPr>
                <w:color w:val="auto"/>
              </w:rPr>
            </w:pPr>
            <w:r>
              <w:rPr>
                <w:rFonts w:hint="eastAsia"/>
                <w:color w:val="auto"/>
              </w:rPr>
              <w:t>浮运与就位</w:t>
            </w:r>
          </w:p>
        </w:tc>
        <w:tc>
          <w:tcPr>
            <w:tcW w:w="5580" w:type="dxa"/>
            <w:vAlign w:val="center"/>
          </w:tcPr>
          <w:p w14:paraId="0E667890">
            <w:pPr>
              <w:pStyle w:val="44"/>
              <w:jc w:val="left"/>
              <w:rPr>
                <w:color w:val="auto"/>
              </w:rPr>
            </w:pPr>
            <w:r>
              <w:rPr>
                <w:color w:val="auto"/>
              </w:rPr>
              <w:t>1</w:t>
            </w:r>
            <w:r>
              <w:rPr>
                <w:rFonts w:hint="eastAsia"/>
                <w:color w:val="auto"/>
              </w:rPr>
              <w:t>）浮式沉井在浮运前未对底节进行水压试验，或对上部各节未进行水密性检查，扣</w:t>
            </w:r>
            <w:r>
              <w:rPr>
                <w:color w:val="auto"/>
              </w:rPr>
              <w:t>5</w:t>
            </w:r>
            <w:r>
              <w:rPr>
                <w:rFonts w:hint="eastAsia"/>
                <w:color w:val="auto"/>
              </w:rPr>
              <w:t>分</w:t>
            </w:r>
          </w:p>
          <w:p w14:paraId="77F22922">
            <w:pPr>
              <w:pStyle w:val="44"/>
              <w:jc w:val="left"/>
              <w:rPr>
                <w:color w:val="auto"/>
              </w:rPr>
            </w:pPr>
            <w:r>
              <w:rPr>
                <w:color w:val="auto"/>
              </w:rPr>
              <w:t>2</w:t>
            </w:r>
            <w:r>
              <w:rPr>
                <w:rFonts w:hint="eastAsia"/>
                <w:color w:val="auto"/>
              </w:rPr>
              <w:t>）在航道上浮运沉井的作业前，未办理通航备案手续，扣</w:t>
            </w:r>
            <w:r>
              <w:rPr>
                <w:color w:val="auto"/>
              </w:rPr>
              <w:t>5</w:t>
            </w:r>
            <w:r>
              <w:rPr>
                <w:rFonts w:hint="eastAsia"/>
                <w:color w:val="auto"/>
              </w:rPr>
              <w:t>分</w:t>
            </w:r>
          </w:p>
          <w:p w14:paraId="3B7A8E77">
            <w:pPr>
              <w:pStyle w:val="44"/>
              <w:jc w:val="left"/>
              <w:rPr>
                <w:color w:val="auto"/>
              </w:rPr>
            </w:pPr>
            <w:r>
              <w:rPr>
                <w:color w:val="auto"/>
              </w:rPr>
              <w:t>3</w:t>
            </w:r>
            <w:r>
              <w:rPr>
                <w:rFonts w:hint="eastAsia"/>
                <w:color w:val="auto"/>
              </w:rPr>
              <w:t>）浮运、就位、接高的过程中出现沉井露出水面的高度均小于</w:t>
            </w:r>
            <w:r>
              <w:rPr>
                <w:color w:val="auto"/>
              </w:rPr>
              <w:t>1m</w:t>
            </w:r>
            <w:r>
              <w:rPr>
                <w:rFonts w:hint="eastAsia"/>
                <w:color w:val="auto"/>
              </w:rPr>
              <w:t>的情况，扣</w:t>
            </w:r>
            <w:r>
              <w:rPr>
                <w:color w:val="auto"/>
              </w:rPr>
              <w:t>5</w:t>
            </w:r>
            <w:r>
              <w:rPr>
                <w:rFonts w:hint="eastAsia"/>
                <w:color w:val="auto"/>
              </w:rPr>
              <w:t>分</w:t>
            </w:r>
          </w:p>
          <w:p w14:paraId="652AC293">
            <w:pPr>
              <w:pStyle w:val="44"/>
              <w:jc w:val="left"/>
              <w:rPr>
                <w:color w:val="auto"/>
              </w:rPr>
            </w:pPr>
            <w:r>
              <w:rPr>
                <w:color w:val="auto"/>
              </w:rPr>
              <w:t>4</w:t>
            </w:r>
            <w:r>
              <w:rPr>
                <w:rFonts w:hint="eastAsia"/>
                <w:color w:val="auto"/>
              </w:rPr>
              <w:t>）布置锚碇体系时锚绳受力不均匀，扣</w:t>
            </w:r>
            <w:r>
              <w:rPr>
                <w:color w:val="auto"/>
              </w:rPr>
              <w:t>3</w:t>
            </w:r>
            <w:r>
              <w:rPr>
                <w:rFonts w:hint="eastAsia"/>
                <w:color w:val="auto"/>
              </w:rPr>
              <w:t>分</w:t>
            </w:r>
          </w:p>
          <w:p w14:paraId="5658026A">
            <w:pPr>
              <w:pStyle w:val="44"/>
              <w:jc w:val="left"/>
              <w:rPr>
                <w:color w:val="auto"/>
              </w:rPr>
            </w:pPr>
            <w:r>
              <w:rPr>
                <w:color w:val="auto"/>
              </w:rPr>
              <w:t>5</w:t>
            </w:r>
            <w:r>
              <w:rPr>
                <w:rFonts w:hint="eastAsia"/>
                <w:color w:val="auto"/>
              </w:rPr>
              <w:t>）未采取措施避免导向船和沉井产生过大摆动或折断锚绳，扣</w:t>
            </w:r>
            <w:r>
              <w:rPr>
                <w:color w:val="auto"/>
              </w:rPr>
              <w:t>5</w:t>
            </w:r>
            <w:r>
              <w:rPr>
                <w:rFonts w:hint="eastAsia"/>
                <w:color w:val="auto"/>
              </w:rPr>
              <w:t>分</w:t>
            </w:r>
          </w:p>
          <w:p w14:paraId="6DFF722E">
            <w:pPr>
              <w:pStyle w:val="44"/>
              <w:jc w:val="left"/>
              <w:rPr>
                <w:color w:val="auto"/>
              </w:rPr>
            </w:pPr>
            <w:r>
              <w:rPr>
                <w:color w:val="auto"/>
              </w:rPr>
              <w:t>6</w:t>
            </w:r>
            <w:r>
              <w:rPr>
                <w:rFonts w:hint="eastAsia"/>
                <w:color w:val="auto"/>
              </w:rPr>
              <w:t>）采取滑移、牵引等措施下水时，沉井后侧未设置溜绳，扣</w:t>
            </w:r>
            <w:r>
              <w:rPr>
                <w:color w:val="auto"/>
              </w:rPr>
              <w:t>2</w:t>
            </w:r>
            <w:r>
              <w:rPr>
                <w:rFonts w:hint="eastAsia"/>
                <w:color w:val="auto"/>
              </w:rPr>
              <w:t>分</w:t>
            </w:r>
          </w:p>
        </w:tc>
        <w:tc>
          <w:tcPr>
            <w:tcW w:w="720" w:type="dxa"/>
            <w:vAlign w:val="center"/>
          </w:tcPr>
          <w:p w14:paraId="44768BEC">
            <w:pPr>
              <w:pStyle w:val="44"/>
              <w:rPr>
                <w:color w:val="auto"/>
              </w:rPr>
            </w:pPr>
            <w:r>
              <w:rPr>
                <w:color w:val="auto"/>
              </w:rPr>
              <w:t>10</w:t>
            </w:r>
          </w:p>
        </w:tc>
        <w:tc>
          <w:tcPr>
            <w:tcW w:w="720" w:type="dxa"/>
            <w:vAlign w:val="center"/>
          </w:tcPr>
          <w:p w14:paraId="0356A349">
            <w:pPr>
              <w:pStyle w:val="44"/>
              <w:rPr>
                <w:color w:val="auto"/>
              </w:rPr>
            </w:pPr>
          </w:p>
        </w:tc>
        <w:tc>
          <w:tcPr>
            <w:tcW w:w="720" w:type="dxa"/>
            <w:vAlign w:val="center"/>
          </w:tcPr>
          <w:p w14:paraId="200E6A0F">
            <w:pPr>
              <w:pStyle w:val="44"/>
              <w:rPr>
                <w:color w:val="auto"/>
              </w:rPr>
            </w:pPr>
          </w:p>
        </w:tc>
      </w:tr>
      <w:tr w14:paraId="6658C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41D0520">
            <w:pPr>
              <w:pStyle w:val="44"/>
              <w:rPr>
                <w:color w:val="auto"/>
              </w:rPr>
            </w:pPr>
            <w:r>
              <w:rPr>
                <w:color w:val="auto"/>
              </w:rPr>
              <w:t>6</w:t>
            </w:r>
          </w:p>
        </w:tc>
        <w:tc>
          <w:tcPr>
            <w:tcW w:w="543" w:type="dxa"/>
            <w:vMerge w:val="continue"/>
            <w:vAlign w:val="center"/>
          </w:tcPr>
          <w:p w14:paraId="22D61B07">
            <w:pPr>
              <w:pStyle w:val="44"/>
              <w:rPr>
                <w:color w:val="auto"/>
              </w:rPr>
            </w:pPr>
          </w:p>
        </w:tc>
        <w:tc>
          <w:tcPr>
            <w:tcW w:w="898" w:type="dxa"/>
            <w:vAlign w:val="center"/>
          </w:tcPr>
          <w:p w14:paraId="333A7087">
            <w:pPr>
              <w:pStyle w:val="44"/>
              <w:rPr>
                <w:color w:val="auto"/>
              </w:rPr>
            </w:pPr>
            <w:r>
              <w:rPr>
                <w:rFonts w:hint="eastAsia"/>
                <w:color w:val="auto"/>
              </w:rPr>
              <w:t>下沉与接高</w:t>
            </w:r>
          </w:p>
        </w:tc>
        <w:tc>
          <w:tcPr>
            <w:tcW w:w="5580" w:type="dxa"/>
            <w:vAlign w:val="center"/>
          </w:tcPr>
          <w:p w14:paraId="661C94F1">
            <w:pPr>
              <w:pStyle w:val="44"/>
              <w:jc w:val="left"/>
              <w:rPr>
                <w:color w:val="auto"/>
              </w:rPr>
            </w:pPr>
            <w:r>
              <w:rPr>
                <w:color w:val="auto"/>
              </w:rPr>
              <w:t>1</w:t>
            </w:r>
            <w:r>
              <w:rPr>
                <w:rFonts w:hint="eastAsia"/>
                <w:color w:val="auto"/>
              </w:rPr>
              <w:t>）筑岛沉井下沉时，挖土未按照自井孔中间向刃脚处分层、均匀、对称的原则进行，或先挖沉井外圈土，扣</w:t>
            </w:r>
            <w:r>
              <w:rPr>
                <w:color w:val="auto"/>
              </w:rPr>
              <w:t>10</w:t>
            </w:r>
            <w:r>
              <w:rPr>
                <w:rFonts w:hint="eastAsia"/>
                <w:color w:val="auto"/>
              </w:rPr>
              <w:t>分</w:t>
            </w:r>
          </w:p>
          <w:p w14:paraId="7C2CA19E">
            <w:pPr>
              <w:pStyle w:val="44"/>
              <w:jc w:val="left"/>
              <w:rPr>
                <w:color w:val="auto"/>
              </w:rPr>
            </w:pPr>
            <w:r>
              <w:rPr>
                <w:color w:val="auto"/>
              </w:rPr>
              <w:t>2</w:t>
            </w:r>
            <w:r>
              <w:rPr>
                <w:rFonts w:hint="eastAsia"/>
                <w:color w:val="auto"/>
              </w:rPr>
              <w:t>）由数个井室组成的沉井，未控制各井室之间除土面的标高保持一致，扣</w:t>
            </w:r>
            <w:r>
              <w:rPr>
                <w:color w:val="auto"/>
              </w:rPr>
              <w:t>5</w:t>
            </w:r>
            <w:r>
              <w:rPr>
                <w:rFonts w:hint="eastAsia"/>
                <w:color w:val="auto"/>
              </w:rPr>
              <w:t>分</w:t>
            </w:r>
          </w:p>
          <w:p w14:paraId="29C78BBC">
            <w:pPr>
              <w:pStyle w:val="44"/>
              <w:jc w:val="left"/>
              <w:rPr>
                <w:color w:val="auto"/>
              </w:rPr>
            </w:pPr>
            <w:r>
              <w:rPr>
                <w:color w:val="auto"/>
              </w:rPr>
              <w:t>3</w:t>
            </w:r>
            <w:r>
              <w:rPr>
                <w:rFonts w:hint="eastAsia"/>
                <w:color w:val="auto"/>
              </w:rPr>
              <w:t>）沉井在地面上接高时，井顶露出地面小于</w:t>
            </w:r>
            <w:r>
              <w:rPr>
                <w:color w:val="auto"/>
              </w:rPr>
              <w:t>0.5m</w:t>
            </w:r>
            <w:r>
              <w:rPr>
                <w:rFonts w:hint="eastAsia"/>
                <w:color w:val="auto"/>
              </w:rPr>
              <w:t>，扣</w:t>
            </w:r>
            <w:r>
              <w:rPr>
                <w:color w:val="auto"/>
              </w:rPr>
              <w:t>3</w:t>
            </w:r>
            <w:r>
              <w:rPr>
                <w:rFonts w:hint="eastAsia"/>
                <w:color w:val="auto"/>
              </w:rPr>
              <w:t>分</w:t>
            </w:r>
          </w:p>
          <w:p w14:paraId="0C85BCFD">
            <w:pPr>
              <w:pStyle w:val="44"/>
              <w:jc w:val="left"/>
              <w:rPr>
                <w:color w:val="auto"/>
              </w:rPr>
            </w:pPr>
            <w:r>
              <w:rPr>
                <w:color w:val="auto"/>
              </w:rPr>
              <w:t>4</w:t>
            </w:r>
            <w:r>
              <w:rPr>
                <w:rFonts w:hint="eastAsia"/>
                <w:color w:val="auto"/>
              </w:rPr>
              <w:t>）水上沉井接高时井顶露出水面小于</w:t>
            </w:r>
            <w:r>
              <w:rPr>
                <w:color w:val="auto"/>
              </w:rPr>
              <w:t>1.5m</w:t>
            </w:r>
            <w:r>
              <w:rPr>
                <w:rFonts w:hint="eastAsia"/>
                <w:color w:val="auto"/>
              </w:rPr>
              <w:t>，扣</w:t>
            </w:r>
            <w:r>
              <w:rPr>
                <w:color w:val="auto"/>
              </w:rPr>
              <w:t>5</w:t>
            </w:r>
            <w:r>
              <w:rPr>
                <w:rFonts w:hint="eastAsia"/>
                <w:color w:val="auto"/>
              </w:rPr>
              <w:t>分</w:t>
            </w:r>
          </w:p>
          <w:p w14:paraId="026C0567">
            <w:pPr>
              <w:pStyle w:val="44"/>
              <w:jc w:val="left"/>
              <w:rPr>
                <w:color w:val="auto"/>
              </w:rPr>
            </w:pPr>
            <w:r>
              <w:rPr>
                <w:color w:val="auto"/>
              </w:rPr>
              <w:t>5</w:t>
            </w:r>
            <w:r>
              <w:rPr>
                <w:rFonts w:hint="eastAsia"/>
                <w:color w:val="auto"/>
              </w:rPr>
              <w:t>）带气筒的浮式沉井，气筒未采取防护措施，扣</w:t>
            </w:r>
            <w:r>
              <w:rPr>
                <w:color w:val="auto"/>
              </w:rPr>
              <w:t>3</w:t>
            </w:r>
            <w:r>
              <w:rPr>
                <w:rFonts w:hint="eastAsia"/>
                <w:color w:val="auto"/>
              </w:rPr>
              <w:t>分</w:t>
            </w:r>
          </w:p>
          <w:p w14:paraId="059A7758">
            <w:pPr>
              <w:pStyle w:val="44"/>
              <w:jc w:val="left"/>
              <w:rPr>
                <w:color w:val="auto"/>
              </w:rPr>
            </w:pPr>
            <w:r>
              <w:rPr>
                <w:color w:val="auto"/>
              </w:rPr>
              <w:t>6</w:t>
            </w:r>
            <w:r>
              <w:rPr>
                <w:rFonts w:hint="eastAsia"/>
                <w:color w:val="auto"/>
              </w:rPr>
              <w:t>）下沉影响范围内的地面四周堆放杂物，扣</w:t>
            </w:r>
            <w:r>
              <w:rPr>
                <w:color w:val="auto"/>
              </w:rPr>
              <w:t>5</w:t>
            </w:r>
            <w:r>
              <w:rPr>
                <w:rFonts w:hint="eastAsia"/>
                <w:color w:val="auto"/>
              </w:rPr>
              <w:t>分</w:t>
            </w:r>
          </w:p>
          <w:p w14:paraId="128FC38B">
            <w:pPr>
              <w:pStyle w:val="44"/>
              <w:jc w:val="left"/>
              <w:rPr>
                <w:color w:val="auto"/>
              </w:rPr>
            </w:pPr>
            <w:r>
              <w:rPr>
                <w:color w:val="auto"/>
              </w:rPr>
              <w:t>7</w:t>
            </w:r>
            <w:r>
              <w:rPr>
                <w:rFonts w:hint="eastAsia"/>
                <w:color w:val="auto"/>
              </w:rPr>
              <w:t>）下沉时未对周围影响建（构）筑物、管线采取保护措施的，扣</w:t>
            </w:r>
            <w:r>
              <w:rPr>
                <w:color w:val="auto"/>
              </w:rPr>
              <w:t>10</w:t>
            </w:r>
            <w:r>
              <w:rPr>
                <w:rFonts w:hint="eastAsia"/>
                <w:color w:val="auto"/>
              </w:rPr>
              <w:t>分</w:t>
            </w:r>
          </w:p>
          <w:p w14:paraId="376F8ED3">
            <w:pPr>
              <w:pStyle w:val="44"/>
              <w:jc w:val="left"/>
              <w:rPr>
                <w:color w:val="auto"/>
              </w:rPr>
            </w:pPr>
            <w:r>
              <w:rPr>
                <w:color w:val="auto"/>
              </w:rPr>
              <w:t>8</w:t>
            </w:r>
            <w:r>
              <w:rPr>
                <w:rFonts w:hint="eastAsia"/>
                <w:color w:val="auto"/>
              </w:rPr>
              <w:t>）在刃脚或内隔墙附近开挖时，有人员停留，扣</w:t>
            </w:r>
            <w:r>
              <w:rPr>
                <w:color w:val="auto"/>
              </w:rPr>
              <w:t>5</w:t>
            </w:r>
            <w:r>
              <w:rPr>
                <w:rFonts w:hint="eastAsia"/>
                <w:color w:val="auto"/>
              </w:rPr>
              <w:t>分</w:t>
            </w:r>
          </w:p>
          <w:p w14:paraId="1C61D349">
            <w:pPr>
              <w:pStyle w:val="44"/>
              <w:jc w:val="left"/>
              <w:rPr>
                <w:color w:val="auto"/>
              </w:rPr>
            </w:pPr>
            <w:r>
              <w:rPr>
                <w:color w:val="auto"/>
              </w:rPr>
              <w:t>9</w:t>
            </w:r>
            <w:r>
              <w:rPr>
                <w:rFonts w:hint="eastAsia"/>
                <w:color w:val="auto"/>
              </w:rPr>
              <w:t>）有底梁或支撑梁的沉井，有人员在梁下穿越，扣</w:t>
            </w:r>
            <w:r>
              <w:rPr>
                <w:color w:val="auto"/>
              </w:rPr>
              <w:t>3</w:t>
            </w:r>
            <w:r>
              <w:rPr>
                <w:rFonts w:hint="eastAsia"/>
                <w:color w:val="auto"/>
              </w:rPr>
              <w:t>分</w:t>
            </w:r>
          </w:p>
          <w:p w14:paraId="2FA6A607">
            <w:pPr>
              <w:pStyle w:val="44"/>
              <w:jc w:val="left"/>
              <w:rPr>
                <w:color w:val="auto"/>
              </w:rPr>
            </w:pPr>
            <w:r>
              <w:rPr>
                <w:color w:val="auto"/>
              </w:rPr>
              <w:t>10</w:t>
            </w:r>
            <w:r>
              <w:rPr>
                <w:rFonts w:hint="eastAsia"/>
                <w:color w:val="auto"/>
              </w:rPr>
              <w:t>）机械出土时井内站人，扣</w:t>
            </w:r>
            <w:r>
              <w:rPr>
                <w:color w:val="auto"/>
              </w:rPr>
              <w:t>5</w:t>
            </w:r>
            <w:r>
              <w:rPr>
                <w:rFonts w:hint="eastAsia"/>
                <w:color w:val="auto"/>
              </w:rPr>
              <w:t>分</w:t>
            </w:r>
          </w:p>
          <w:p w14:paraId="16236ACC">
            <w:pPr>
              <w:pStyle w:val="44"/>
              <w:jc w:val="left"/>
              <w:rPr>
                <w:color w:val="auto"/>
              </w:rPr>
            </w:pPr>
            <w:r>
              <w:rPr>
                <w:color w:val="auto"/>
              </w:rPr>
              <w:t>11</w:t>
            </w:r>
            <w:r>
              <w:rPr>
                <w:rFonts w:hint="eastAsia"/>
                <w:color w:val="auto"/>
              </w:rPr>
              <w:t>）船上或支架上制作的浮式沉井，下水时水面波浪大或有船只经过，扣</w:t>
            </w:r>
            <w:r>
              <w:rPr>
                <w:color w:val="auto"/>
              </w:rPr>
              <w:t>3</w:t>
            </w:r>
            <w:r>
              <w:rPr>
                <w:rFonts w:hint="eastAsia"/>
                <w:color w:val="auto"/>
              </w:rPr>
              <w:t>分</w:t>
            </w:r>
          </w:p>
          <w:p w14:paraId="603392AC">
            <w:pPr>
              <w:pStyle w:val="44"/>
              <w:jc w:val="left"/>
              <w:rPr>
                <w:color w:val="auto"/>
              </w:rPr>
            </w:pPr>
            <w:r>
              <w:rPr>
                <w:color w:val="auto"/>
              </w:rPr>
              <w:t>12</w:t>
            </w:r>
            <w:r>
              <w:rPr>
                <w:rFonts w:hint="eastAsia"/>
                <w:color w:val="auto"/>
              </w:rPr>
              <w:t>）空气幕辅助下沉的储气罐未放置在通风遮阳处或无专人操作，扣</w:t>
            </w:r>
            <w:r>
              <w:rPr>
                <w:color w:val="auto"/>
              </w:rPr>
              <w:t>10</w:t>
            </w:r>
            <w:r>
              <w:rPr>
                <w:rFonts w:hint="eastAsia"/>
                <w:color w:val="auto"/>
              </w:rPr>
              <w:t>分</w:t>
            </w:r>
          </w:p>
          <w:p w14:paraId="4428B114">
            <w:pPr>
              <w:pStyle w:val="44"/>
              <w:jc w:val="left"/>
              <w:rPr>
                <w:color w:val="auto"/>
              </w:rPr>
            </w:pPr>
            <w:r>
              <w:rPr>
                <w:color w:val="auto"/>
              </w:rPr>
              <w:t>13</w:t>
            </w:r>
            <w:r>
              <w:rPr>
                <w:rFonts w:hint="eastAsia"/>
                <w:color w:val="auto"/>
              </w:rPr>
              <w:t>）沉井接高时进行沉井内取土作业，扣</w:t>
            </w:r>
            <w:r>
              <w:rPr>
                <w:color w:val="auto"/>
              </w:rPr>
              <w:t>10</w:t>
            </w:r>
            <w:r>
              <w:rPr>
                <w:rFonts w:hint="eastAsia"/>
                <w:color w:val="auto"/>
              </w:rPr>
              <w:t>分</w:t>
            </w:r>
          </w:p>
        </w:tc>
        <w:tc>
          <w:tcPr>
            <w:tcW w:w="720" w:type="dxa"/>
            <w:vAlign w:val="center"/>
          </w:tcPr>
          <w:p w14:paraId="641E7EA5">
            <w:pPr>
              <w:pStyle w:val="44"/>
              <w:rPr>
                <w:color w:val="auto"/>
              </w:rPr>
            </w:pPr>
            <w:r>
              <w:rPr>
                <w:color w:val="auto"/>
              </w:rPr>
              <w:t>10</w:t>
            </w:r>
          </w:p>
        </w:tc>
        <w:tc>
          <w:tcPr>
            <w:tcW w:w="720" w:type="dxa"/>
            <w:vAlign w:val="center"/>
          </w:tcPr>
          <w:p w14:paraId="7EF443D5">
            <w:pPr>
              <w:pStyle w:val="44"/>
              <w:rPr>
                <w:color w:val="auto"/>
              </w:rPr>
            </w:pPr>
          </w:p>
        </w:tc>
        <w:tc>
          <w:tcPr>
            <w:tcW w:w="720" w:type="dxa"/>
            <w:vAlign w:val="center"/>
          </w:tcPr>
          <w:p w14:paraId="67230826">
            <w:pPr>
              <w:pStyle w:val="44"/>
              <w:rPr>
                <w:color w:val="auto"/>
              </w:rPr>
            </w:pPr>
          </w:p>
        </w:tc>
      </w:tr>
      <w:tr w14:paraId="7A131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34A05171">
            <w:pPr>
              <w:pStyle w:val="44"/>
              <w:rPr>
                <w:color w:val="auto"/>
              </w:rPr>
            </w:pPr>
            <w:r>
              <w:rPr>
                <w:color w:val="auto"/>
              </w:rPr>
              <w:t>7</w:t>
            </w:r>
          </w:p>
        </w:tc>
        <w:tc>
          <w:tcPr>
            <w:tcW w:w="543" w:type="dxa"/>
            <w:vMerge w:val="continue"/>
            <w:vAlign w:val="center"/>
          </w:tcPr>
          <w:p w14:paraId="35F1C5DD">
            <w:pPr>
              <w:pStyle w:val="44"/>
              <w:rPr>
                <w:color w:val="auto"/>
              </w:rPr>
            </w:pPr>
          </w:p>
        </w:tc>
        <w:tc>
          <w:tcPr>
            <w:tcW w:w="898" w:type="dxa"/>
            <w:vAlign w:val="center"/>
          </w:tcPr>
          <w:p w14:paraId="6C617CEB">
            <w:pPr>
              <w:pStyle w:val="44"/>
              <w:rPr>
                <w:color w:val="auto"/>
              </w:rPr>
            </w:pPr>
            <w:r>
              <w:rPr>
                <w:rFonts w:hint="eastAsia"/>
                <w:color w:val="auto"/>
              </w:rPr>
              <w:t>检查验收</w:t>
            </w:r>
          </w:p>
        </w:tc>
        <w:tc>
          <w:tcPr>
            <w:tcW w:w="5580" w:type="dxa"/>
            <w:vAlign w:val="center"/>
          </w:tcPr>
          <w:p w14:paraId="2CBF0FEF">
            <w:pPr>
              <w:pStyle w:val="44"/>
              <w:jc w:val="left"/>
              <w:rPr>
                <w:color w:val="auto"/>
              </w:rPr>
            </w:pPr>
            <w:r>
              <w:rPr>
                <w:color w:val="auto"/>
              </w:rPr>
              <w:t>1</w:t>
            </w:r>
            <w:r>
              <w:rPr>
                <w:rFonts w:hint="eastAsia"/>
                <w:color w:val="auto"/>
              </w:rPr>
              <w:t>）施工前未对所用的各项设备进行检查，扣</w:t>
            </w:r>
            <w:r>
              <w:rPr>
                <w:color w:val="auto"/>
              </w:rPr>
              <w:t>2-5</w:t>
            </w:r>
            <w:r>
              <w:rPr>
                <w:rFonts w:hint="eastAsia"/>
                <w:color w:val="auto"/>
              </w:rPr>
              <w:t>分</w:t>
            </w:r>
          </w:p>
          <w:p w14:paraId="6B9F8A03">
            <w:pPr>
              <w:pStyle w:val="44"/>
              <w:jc w:val="left"/>
              <w:rPr>
                <w:color w:val="auto"/>
              </w:rPr>
            </w:pPr>
            <w:r>
              <w:rPr>
                <w:color w:val="auto"/>
              </w:rPr>
              <w:t>2</w:t>
            </w:r>
            <w:r>
              <w:rPr>
                <w:rFonts w:hint="eastAsia"/>
                <w:color w:val="auto"/>
              </w:rPr>
              <w:t>）在筑岛填筑完成或沉井井体制作完成后未进行验收，扣</w:t>
            </w:r>
            <w:r>
              <w:rPr>
                <w:color w:val="auto"/>
              </w:rPr>
              <w:t>5</w:t>
            </w:r>
            <w:r>
              <w:rPr>
                <w:rFonts w:hint="eastAsia"/>
                <w:color w:val="auto"/>
              </w:rPr>
              <w:t>分</w:t>
            </w:r>
          </w:p>
          <w:p w14:paraId="52B61F8D">
            <w:pPr>
              <w:pStyle w:val="44"/>
              <w:jc w:val="left"/>
              <w:rPr>
                <w:color w:val="auto"/>
              </w:rPr>
            </w:pPr>
            <w:r>
              <w:rPr>
                <w:color w:val="auto"/>
              </w:rPr>
              <w:t>3</w:t>
            </w:r>
            <w:r>
              <w:rPr>
                <w:rFonts w:hint="eastAsia"/>
                <w:color w:val="auto"/>
              </w:rPr>
              <w:t>）钢筋混凝土沉井，未在浇筑混凝土前按规定进行钢筋隐蔽验收，扣</w:t>
            </w:r>
            <w:r>
              <w:rPr>
                <w:color w:val="auto"/>
              </w:rPr>
              <w:t>5</w:t>
            </w:r>
            <w:r>
              <w:rPr>
                <w:rFonts w:hint="eastAsia"/>
                <w:color w:val="auto"/>
              </w:rPr>
              <w:t>分</w:t>
            </w:r>
          </w:p>
          <w:p w14:paraId="5A5BF355">
            <w:pPr>
              <w:pStyle w:val="44"/>
              <w:jc w:val="left"/>
              <w:rPr>
                <w:color w:val="auto"/>
              </w:rPr>
            </w:pPr>
            <w:r>
              <w:rPr>
                <w:color w:val="auto"/>
              </w:rPr>
              <w:t>4</w:t>
            </w:r>
            <w:r>
              <w:rPr>
                <w:rFonts w:hint="eastAsia"/>
                <w:color w:val="auto"/>
              </w:rPr>
              <w:t>）在沉井施工完成后，未办理验收手续，或未形成验收记录，扣</w:t>
            </w:r>
            <w:r>
              <w:rPr>
                <w:color w:val="auto"/>
              </w:rPr>
              <w:t>5</w:t>
            </w:r>
            <w:r>
              <w:rPr>
                <w:rFonts w:hint="eastAsia"/>
                <w:color w:val="auto"/>
              </w:rPr>
              <w:t>分</w:t>
            </w:r>
          </w:p>
          <w:p w14:paraId="2D9B75A9">
            <w:pPr>
              <w:pStyle w:val="44"/>
              <w:jc w:val="left"/>
              <w:rPr>
                <w:color w:val="auto"/>
              </w:rPr>
            </w:pPr>
            <w:r>
              <w:rPr>
                <w:color w:val="auto"/>
              </w:rPr>
              <w:t>5</w:t>
            </w:r>
            <w:r>
              <w:rPr>
                <w:rFonts w:hint="eastAsia"/>
                <w:color w:val="auto"/>
              </w:rPr>
              <w:t>）各阶段检查验收内容和指标未进行量化，或未经责任人签字确认，扣</w:t>
            </w:r>
            <w:r>
              <w:rPr>
                <w:color w:val="auto"/>
              </w:rPr>
              <w:t>5</w:t>
            </w:r>
            <w:r>
              <w:rPr>
                <w:rFonts w:hint="eastAsia"/>
                <w:color w:val="auto"/>
              </w:rPr>
              <w:t>分</w:t>
            </w:r>
          </w:p>
        </w:tc>
        <w:tc>
          <w:tcPr>
            <w:tcW w:w="720" w:type="dxa"/>
            <w:vAlign w:val="center"/>
          </w:tcPr>
          <w:p w14:paraId="54ECE536">
            <w:pPr>
              <w:pStyle w:val="44"/>
              <w:rPr>
                <w:color w:val="auto"/>
              </w:rPr>
            </w:pPr>
            <w:r>
              <w:rPr>
                <w:color w:val="auto"/>
              </w:rPr>
              <w:t>10</w:t>
            </w:r>
          </w:p>
        </w:tc>
        <w:tc>
          <w:tcPr>
            <w:tcW w:w="720" w:type="dxa"/>
            <w:vAlign w:val="center"/>
          </w:tcPr>
          <w:p w14:paraId="796866A2">
            <w:pPr>
              <w:pStyle w:val="44"/>
              <w:rPr>
                <w:color w:val="auto"/>
              </w:rPr>
            </w:pPr>
          </w:p>
        </w:tc>
        <w:tc>
          <w:tcPr>
            <w:tcW w:w="720" w:type="dxa"/>
            <w:vAlign w:val="center"/>
          </w:tcPr>
          <w:p w14:paraId="4F4B0C9F">
            <w:pPr>
              <w:pStyle w:val="44"/>
              <w:rPr>
                <w:color w:val="auto"/>
              </w:rPr>
            </w:pPr>
          </w:p>
        </w:tc>
      </w:tr>
      <w:tr w14:paraId="53E03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35FAD1DE">
            <w:pPr>
              <w:pStyle w:val="44"/>
              <w:rPr>
                <w:color w:val="auto"/>
              </w:rPr>
            </w:pPr>
          </w:p>
        </w:tc>
        <w:tc>
          <w:tcPr>
            <w:tcW w:w="543" w:type="dxa"/>
            <w:vMerge w:val="continue"/>
          </w:tcPr>
          <w:p w14:paraId="5D93E924">
            <w:pPr>
              <w:pStyle w:val="44"/>
              <w:rPr>
                <w:color w:val="auto"/>
              </w:rPr>
            </w:pPr>
          </w:p>
        </w:tc>
        <w:tc>
          <w:tcPr>
            <w:tcW w:w="6478" w:type="dxa"/>
            <w:gridSpan w:val="2"/>
            <w:vAlign w:val="center"/>
          </w:tcPr>
          <w:p w14:paraId="04DC6E08">
            <w:pPr>
              <w:pStyle w:val="44"/>
              <w:rPr>
                <w:b/>
                <w:bCs w:val="0"/>
                <w:color w:val="auto"/>
              </w:rPr>
            </w:pPr>
            <w:r>
              <w:rPr>
                <w:rFonts w:hint="eastAsia"/>
                <w:b/>
                <w:bCs w:val="0"/>
                <w:color w:val="auto"/>
              </w:rPr>
              <w:t>小</w:t>
            </w:r>
            <w:r>
              <w:rPr>
                <w:b/>
                <w:bCs w:val="0"/>
                <w:color w:val="auto"/>
              </w:rPr>
              <w:t xml:space="preserve">  </w:t>
            </w:r>
            <w:r>
              <w:rPr>
                <w:rFonts w:hint="eastAsia"/>
                <w:b/>
                <w:bCs w:val="0"/>
                <w:color w:val="auto"/>
              </w:rPr>
              <w:t>计</w:t>
            </w:r>
          </w:p>
        </w:tc>
        <w:tc>
          <w:tcPr>
            <w:tcW w:w="720" w:type="dxa"/>
            <w:vAlign w:val="center"/>
          </w:tcPr>
          <w:p w14:paraId="41A77C9E">
            <w:pPr>
              <w:pStyle w:val="44"/>
              <w:rPr>
                <w:color w:val="auto"/>
              </w:rPr>
            </w:pPr>
            <w:r>
              <w:rPr>
                <w:color w:val="auto"/>
              </w:rPr>
              <w:t>70</w:t>
            </w:r>
          </w:p>
        </w:tc>
        <w:tc>
          <w:tcPr>
            <w:tcW w:w="720" w:type="dxa"/>
            <w:vAlign w:val="center"/>
          </w:tcPr>
          <w:p w14:paraId="52830FB7">
            <w:pPr>
              <w:pStyle w:val="44"/>
              <w:rPr>
                <w:color w:val="auto"/>
              </w:rPr>
            </w:pPr>
          </w:p>
        </w:tc>
        <w:tc>
          <w:tcPr>
            <w:tcW w:w="720" w:type="dxa"/>
            <w:vAlign w:val="center"/>
          </w:tcPr>
          <w:p w14:paraId="2BFF45F0">
            <w:pPr>
              <w:pStyle w:val="44"/>
              <w:rPr>
                <w:color w:val="auto"/>
              </w:rPr>
            </w:pPr>
          </w:p>
        </w:tc>
      </w:tr>
      <w:tr w14:paraId="15D34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177409D5">
            <w:pPr>
              <w:pStyle w:val="44"/>
              <w:rPr>
                <w:color w:val="auto"/>
              </w:rPr>
            </w:pPr>
            <w:r>
              <w:rPr>
                <w:color w:val="auto"/>
              </w:rPr>
              <w:t>1</w:t>
            </w:r>
          </w:p>
        </w:tc>
        <w:tc>
          <w:tcPr>
            <w:tcW w:w="543" w:type="dxa"/>
            <w:vMerge w:val="restart"/>
            <w:vAlign w:val="center"/>
          </w:tcPr>
          <w:p w14:paraId="4F7CBAD0">
            <w:pPr>
              <w:pStyle w:val="44"/>
              <w:rPr>
                <w:color w:val="auto"/>
              </w:rPr>
            </w:pPr>
            <w:r>
              <w:rPr>
                <w:rFonts w:hint="eastAsia"/>
                <w:color w:val="auto"/>
              </w:rPr>
              <w:t>一</w:t>
            </w:r>
          </w:p>
          <w:p w14:paraId="44730C9A">
            <w:pPr>
              <w:pStyle w:val="44"/>
              <w:rPr>
                <w:color w:val="auto"/>
              </w:rPr>
            </w:pPr>
            <w:r>
              <w:rPr>
                <w:rFonts w:hint="eastAsia"/>
                <w:color w:val="auto"/>
              </w:rPr>
              <w:t>般</w:t>
            </w:r>
          </w:p>
          <w:p w14:paraId="0C6EB716">
            <w:pPr>
              <w:pStyle w:val="44"/>
              <w:rPr>
                <w:color w:val="auto"/>
              </w:rPr>
            </w:pPr>
            <w:r>
              <w:rPr>
                <w:rFonts w:hint="eastAsia"/>
                <w:color w:val="auto"/>
              </w:rPr>
              <w:t>项</w:t>
            </w:r>
          </w:p>
          <w:p w14:paraId="3EE141FD">
            <w:pPr>
              <w:pStyle w:val="44"/>
              <w:rPr>
                <w:color w:val="auto"/>
              </w:rPr>
            </w:pPr>
            <w:r>
              <w:rPr>
                <w:rFonts w:hint="eastAsia"/>
                <w:color w:val="auto"/>
              </w:rPr>
              <w:t>目</w:t>
            </w:r>
          </w:p>
        </w:tc>
        <w:tc>
          <w:tcPr>
            <w:tcW w:w="898" w:type="dxa"/>
            <w:vAlign w:val="center"/>
          </w:tcPr>
          <w:p w14:paraId="296E7329">
            <w:pPr>
              <w:pStyle w:val="44"/>
              <w:rPr>
                <w:color w:val="auto"/>
              </w:rPr>
            </w:pPr>
            <w:r>
              <w:rPr>
                <w:rFonts w:hint="eastAsia"/>
                <w:color w:val="auto"/>
              </w:rPr>
              <w:t>封底与填充</w:t>
            </w:r>
          </w:p>
        </w:tc>
        <w:tc>
          <w:tcPr>
            <w:tcW w:w="5580" w:type="dxa"/>
            <w:vAlign w:val="center"/>
          </w:tcPr>
          <w:p w14:paraId="7E58DC4B">
            <w:pPr>
              <w:pStyle w:val="44"/>
              <w:jc w:val="left"/>
              <w:rPr>
                <w:color w:val="auto"/>
              </w:rPr>
            </w:pPr>
            <w:r>
              <w:rPr>
                <w:color w:val="auto"/>
              </w:rPr>
              <w:t>1</w:t>
            </w:r>
            <w:r>
              <w:rPr>
                <w:rFonts w:hint="eastAsia"/>
                <w:color w:val="auto"/>
              </w:rPr>
              <w:t>）在降水条件下施工的干封底沉井，封底时未继续降水将地下水位保持在坑底</w:t>
            </w:r>
            <w:r>
              <w:rPr>
                <w:color w:val="auto"/>
              </w:rPr>
              <w:t>0.5m</w:t>
            </w:r>
            <w:r>
              <w:rPr>
                <w:rFonts w:hint="eastAsia"/>
                <w:color w:val="auto"/>
              </w:rPr>
              <w:t>以下，扣</w:t>
            </w:r>
            <w:r>
              <w:rPr>
                <w:color w:val="auto"/>
              </w:rPr>
              <w:t>5</w:t>
            </w:r>
            <w:r>
              <w:rPr>
                <w:rFonts w:hint="eastAsia"/>
                <w:color w:val="auto"/>
              </w:rPr>
              <w:t>分</w:t>
            </w:r>
          </w:p>
          <w:p w14:paraId="5F9A7996">
            <w:pPr>
              <w:pStyle w:val="44"/>
              <w:jc w:val="left"/>
              <w:rPr>
                <w:color w:val="auto"/>
              </w:rPr>
            </w:pPr>
            <w:r>
              <w:rPr>
                <w:color w:val="auto"/>
              </w:rPr>
              <w:t>2</w:t>
            </w:r>
            <w:r>
              <w:rPr>
                <w:rFonts w:hint="eastAsia"/>
                <w:color w:val="auto"/>
              </w:rPr>
              <w:t>）水下封底沉井井内抽水时封底混凝土未达到设计强度，扣</w:t>
            </w:r>
            <w:r>
              <w:rPr>
                <w:color w:val="auto"/>
              </w:rPr>
              <w:t>10</w:t>
            </w:r>
            <w:r>
              <w:rPr>
                <w:rFonts w:hint="eastAsia"/>
                <w:color w:val="auto"/>
              </w:rPr>
              <w:t>分</w:t>
            </w:r>
          </w:p>
          <w:p w14:paraId="3D32EC45">
            <w:pPr>
              <w:pStyle w:val="44"/>
              <w:jc w:val="left"/>
              <w:rPr>
                <w:color w:val="auto"/>
              </w:rPr>
            </w:pPr>
            <w:r>
              <w:rPr>
                <w:color w:val="auto"/>
              </w:rPr>
              <w:t>3</w:t>
            </w:r>
            <w:r>
              <w:rPr>
                <w:rFonts w:hint="eastAsia"/>
                <w:color w:val="auto"/>
              </w:rPr>
              <w:t>）封底前井壁内隔墙及刃脚与封底混凝土接触面处的泥污未清理干净，扣</w:t>
            </w:r>
            <w:r>
              <w:rPr>
                <w:color w:val="auto"/>
              </w:rPr>
              <w:t>2-3</w:t>
            </w:r>
            <w:r>
              <w:rPr>
                <w:rFonts w:hint="eastAsia"/>
                <w:color w:val="auto"/>
              </w:rPr>
              <w:t>分</w:t>
            </w:r>
          </w:p>
          <w:p w14:paraId="43856514">
            <w:pPr>
              <w:pStyle w:val="44"/>
              <w:jc w:val="left"/>
              <w:rPr>
                <w:color w:val="auto"/>
              </w:rPr>
            </w:pPr>
            <w:r>
              <w:rPr>
                <w:color w:val="auto"/>
              </w:rPr>
              <w:t>4</w:t>
            </w:r>
            <w:r>
              <w:rPr>
                <w:rFonts w:hint="eastAsia"/>
                <w:color w:val="auto"/>
              </w:rPr>
              <w:t>）配合水下封底的潜水人员未经专业机构培训并取得相应从业资格，扣</w:t>
            </w:r>
            <w:r>
              <w:rPr>
                <w:color w:val="auto"/>
              </w:rPr>
              <w:t>5</w:t>
            </w:r>
            <w:r>
              <w:rPr>
                <w:rFonts w:hint="eastAsia"/>
                <w:color w:val="auto"/>
              </w:rPr>
              <w:t>分</w:t>
            </w:r>
          </w:p>
          <w:p w14:paraId="266BB6DC">
            <w:pPr>
              <w:pStyle w:val="44"/>
              <w:jc w:val="left"/>
              <w:rPr>
                <w:color w:val="auto"/>
              </w:rPr>
            </w:pPr>
            <w:r>
              <w:rPr>
                <w:color w:val="auto"/>
              </w:rPr>
              <w:t>5</w:t>
            </w:r>
            <w:r>
              <w:rPr>
                <w:rFonts w:hint="eastAsia"/>
                <w:color w:val="auto"/>
              </w:rPr>
              <w:t>）井孔填充时，所采用的材料、数量及填充顺序等不符合设计规定，扣</w:t>
            </w:r>
            <w:r>
              <w:rPr>
                <w:color w:val="auto"/>
              </w:rPr>
              <w:t>2-5</w:t>
            </w:r>
            <w:r>
              <w:rPr>
                <w:rFonts w:hint="eastAsia"/>
                <w:color w:val="auto"/>
              </w:rPr>
              <w:t>分</w:t>
            </w:r>
          </w:p>
        </w:tc>
        <w:tc>
          <w:tcPr>
            <w:tcW w:w="720" w:type="dxa"/>
            <w:vAlign w:val="center"/>
          </w:tcPr>
          <w:p w14:paraId="3B9BD6F2">
            <w:pPr>
              <w:pStyle w:val="44"/>
              <w:rPr>
                <w:color w:val="auto"/>
              </w:rPr>
            </w:pPr>
            <w:r>
              <w:rPr>
                <w:color w:val="auto"/>
              </w:rPr>
              <w:t>10</w:t>
            </w:r>
          </w:p>
        </w:tc>
        <w:tc>
          <w:tcPr>
            <w:tcW w:w="720" w:type="dxa"/>
            <w:vAlign w:val="center"/>
          </w:tcPr>
          <w:p w14:paraId="483C2571">
            <w:pPr>
              <w:pStyle w:val="44"/>
              <w:rPr>
                <w:color w:val="auto"/>
              </w:rPr>
            </w:pPr>
          </w:p>
        </w:tc>
        <w:tc>
          <w:tcPr>
            <w:tcW w:w="720" w:type="dxa"/>
            <w:vAlign w:val="center"/>
          </w:tcPr>
          <w:p w14:paraId="3CC397B5">
            <w:pPr>
              <w:pStyle w:val="44"/>
              <w:rPr>
                <w:color w:val="auto"/>
              </w:rPr>
            </w:pPr>
          </w:p>
        </w:tc>
      </w:tr>
      <w:tr w14:paraId="41E9E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3618DB2">
            <w:pPr>
              <w:pStyle w:val="44"/>
              <w:rPr>
                <w:color w:val="auto"/>
              </w:rPr>
            </w:pPr>
            <w:r>
              <w:rPr>
                <w:color w:val="auto"/>
              </w:rPr>
              <w:t>2</w:t>
            </w:r>
          </w:p>
        </w:tc>
        <w:tc>
          <w:tcPr>
            <w:tcW w:w="543" w:type="dxa"/>
            <w:vMerge w:val="continue"/>
          </w:tcPr>
          <w:p w14:paraId="787187F8">
            <w:pPr>
              <w:pStyle w:val="44"/>
              <w:rPr>
                <w:color w:val="auto"/>
              </w:rPr>
            </w:pPr>
          </w:p>
        </w:tc>
        <w:tc>
          <w:tcPr>
            <w:tcW w:w="898" w:type="dxa"/>
            <w:vAlign w:val="center"/>
          </w:tcPr>
          <w:p w14:paraId="5E13C204">
            <w:pPr>
              <w:pStyle w:val="44"/>
              <w:rPr>
                <w:color w:val="auto"/>
              </w:rPr>
            </w:pPr>
            <w:r>
              <w:rPr>
                <w:rFonts w:hint="eastAsia"/>
                <w:color w:val="auto"/>
              </w:rPr>
              <w:t>使用与监测</w:t>
            </w:r>
          </w:p>
        </w:tc>
        <w:tc>
          <w:tcPr>
            <w:tcW w:w="5580" w:type="dxa"/>
            <w:vAlign w:val="center"/>
          </w:tcPr>
          <w:p w14:paraId="4B3E8C0C">
            <w:pPr>
              <w:pStyle w:val="44"/>
              <w:jc w:val="left"/>
              <w:rPr>
                <w:color w:val="auto"/>
              </w:rPr>
            </w:pPr>
            <w:r>
              <w:rPr>
                <w:color w:val="auto"/>
              </w:rPr>
              <w:t>1</w:t>
            </w:r>
            <w:r>
              <w:rPr>
                <w:rFonts w:hint="eastAsia"/>
                <w:color w:val="auto"/>
              </w:rPr>
              <w:t>）浮式沉井顶的高度不满足正常施工状态下沉井内不灌水的要求，扣</w:t>
            </w:r>
            <w:r>
              <w:rPr>
                <w:color w:val="auto"/>
              </w:rPr>
              <w:t>10</w:t>
            </w:r>
            <w:r>
              <w:rPr>
                <w:rFonts w:hint="eastAsia"/>
                <w:color w:val="auto"/>
              </w:rPr>
              <w:t>分</w:t>
            </w:r>
          </w:p>
          <w:p w14:paraId="154D69A1">
            <w:pPr>
              <w:pStyle w:val="44"/>
              <w:jc w:val="left"/>
              <w:rPr>
                <w:color w:val="auto"/>
              </w:rPr>
            </w:pPr>
            <w:r>
              <w:rPr>
                <w:color w:val="auto"/>
              </w:rPr>
              <w:t>2</w:t>
            </w:r>
            <w:r>
              <w:rPr>
                <w:rFonts w:hint="eastAsia"/>
                <w:color w:val="auto"/>
              </w:rPr>
              <w:t>）上部作业平台施工均布荷载、集中荷载超过设计允许范围，扣</w:t>
            </w:r>
            <w:r>
              <w:rPr>
                <w:color w:val="auto"/>
              </w:rPr>
              <w:t>10</w:t>
            </w:r>
            <w:r>
              <w:rPr>
                <w:rFonts w:hint="eastAsia"/>
                <w:color w:val="auto"/>
              </w:rPr>
              <w:t>分</w:t>
            </w:r>
          </w:p>
          <w:p w14:paraId="33750BCB">
            <w:pPr>
              <w:pStyle w:val="44"/>
              <w:jc w:val="left"/>
              <w:rPr>
                <w:color w:val="auto"/>
              </w:rPr>
            </w:pPr>
            <w:r>
              <w:rPr>
                <w:color w:val="auto"/>
              </w:rPr>
              <w:t>3</w:t>
            </w:r>
            <w:r>
              <w:rPr>
                <w:rFonts w:hint="eastAsia"/>
                <w:color w:val="auto"/>
              </w:rPr>
              <w:t>）下沉时未进行连续观测，或未采取措施对轴线倾斜进行纠偏，扣</w:t>
            </w:r>
            <w:r>
              <w:rPr>
                <w:color w:val="auto"/>
              </w:rPr>
              <w:t>5</w:t>
            </w:r>
            <w:r>
              <w:rPr>
                <w:rFonts w:hint="eastAsia"/>
                <w:color w:val="auto"/>
              </w:rPr>
              <w:t>分</w:t>
            </w:r>
          </w:p>
          <w:p w14:paraId="05ACB165">
            <w:pPr>
              <w:pStyle w:val="44"/>
              <w:jc w:val="left"/>
              <w:rPr>
                <w:color w:val="auto"/>
              </w:rPr>
            </w:pPr>
            <w:r>
              <w:rPr>
                <w:color w:val="auto"/>
              </w:rPr>
              <w:t>4</w:t>
            </w:r>
            <w:r>
              <w:rPr>
                <w:rFonts w:hint="eastAsia"/>
                <w:color w:val="auto"/>
              </w:rPr>
              <w:t>）沉井使用过程中未对沉井结构、水位和相邻有影响的建（构）筑物进行监测监控，扣</w:t>
            </w:r>
            <w:r>
              <w:rPr>
                <w:color w:val="auto"/>
              </w:rPr>
              <w:t>10</w:t>
            </w:r>
            <w:r>
              <w:rPr>
                <w:rFonts w:hint="eastAsia"/>
                <w:color w:val="auto"/>
              </w:rPr>
              <w:t>分</w:t>
            </w:r>
          </w:p>
          <w:p w14:paraId="52C59D02">
            <w:pPr>
              <w:pStyle w:val="44"/>
              <w:jc w:val="left"/>
              <w:rPr>
                <w:color w:val="auto"/>
              </w:rPr>
            </w:pPr>
            <w:r>
              <w:rPr>
                <w:color w:val="auto"/>
              </w:rPr>
              <w:t>5</w:t>
            </w:r>
            <w:r>
              <w:rPr>
                <w:rFonts w:hint="eastAsia"/>
                <w:color w:val="auto"/>
              </w:rPr>
              <w:t>）筑岛沉井施工期间未采取防护措施保证筑岛岛体的稳定，扣</w:t>
            </w:r>
            <w:r>
              <w:rPr>
                <w:color w:val="auto"/>
              </w:rPr>
              <w:t>10</w:t>
            </w:r>
            <w:r>
              <w:rPr>
                <w:rFonts w:hint="eastAsia"/>
                <w:color w:val="auto"/>
              </w:rPr>
              <w:t>分</w:t>
            </w:r>
          </w:p>
        </w:tc>
        <w:tc>
          <w:tcPr>
            <w:tcW w:w="720" w:type="dxa"/>
            <w:vAlign w:val="center"/>
          </w:tcPr>
          <w:p w14:paraId="3338CB83">
            <w:pPr>
              <w:pStyle w:val="44"/>
              <w:rPr>
                <w:color w:val="auto"/>
              </w:rPr>
            </w:pPr>
            <w:r>
              <w:rPr>
                <w:color w:val="auto"/>
              </w:rPr>
              <w:t>10</w:t>
            </w:r>
          </w:p>
        </w:tc>
        <w:tc>
          <w:tcPr>
            <w:tcW w:w="720" w:type="dxa"/>
            <w:vAlign w:val="center"/>
          </w:tcPr>
          <w:p w14:paraId="1F16191C">
            <w:pPr>
              <w:pStyle w:val="44"/>
              <w:rPr>
                <w:color w:val="auto"/>
              </w:rPr>
            </w:pPr>
          </w:p>
        </w:tc>
        <w:tc>
          <w:tcPr>
            <w:tcW w:w="720" w:type="dxa"/>
            <w:vAlign w:val="center"/>
          </w:tcPr>
          <w:p w14:paraId="385DE08A">
            <w:pPr>
              <w:pStyle w:val="44"/>
              <w:rPr>
                <w:color w:val="auto"/>
              </w:rPr>
            </w:pPr>
          </w:p>
        </w:tc>
      </w:tr>
      <w:tr w14:paraId="3C806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32189AEC">
            <w:pPr>
              <w:pStyle w:val="44"/>
              <w:rPr>
                <w:color w:val="auto"/>
              </w:rPr>
            </w:pPr>
            <w:r>
              <w:rPr>
                <w:color w:val="auto"/>
              </w:rPr>
              <w:t>3</w:t>
            </w:r>
          </w:p>
        </w:tc>
        <w:tc>
          <w:tcPr>
            <w:tcW w:w="543" w:type="dxa"/>
            <w:vMerge w:val="continue"/>
          </w:tcPr>
          <w:p w14:paraId="6CF2258D">
            <w:pPr>
              <w:pStyle w:val="44"/>
              <w:rPr>
                <w:color w:val="auto"/>
              </w:rPr>
            </w:pPr>
          </w:p>
        </w:tc>
        <w:tc>
          <w:tcPr>
            <w:tcW w:w="898" w:type="dxa"/>
            <w:vAlign w:val="center"/>
          </w:tcPr>
          <w:p w14:paraId="622C553A">
            <w:pPr>
              <w:pStyle w:val="44"/>
              <w:rPr>
                <w:color w:val="auto"/>
              </w:rPr>
            </w:pPr>
            <w:r>
              <w:rPr>
                <w:rFonts w:hint="eastAsia"/>
                <w:color w:val="auto"/>
              </w:rPr>
              <w:t>安全防护</w:t>
            </w:r>
          </w:p>
        </w:tc>
        <w:tc>
          <w:tcPr>
            <w:tcW w:w="5580" w:type="dxa"/>
            <w:vAlign w:val="center"/>
          </w:tcPr>
          <w:p w14:paraId="0E83EA19">
            <w:pPr>
              <w:pStyle w:val="44"/>
              <w:jc w:val="left"/>
              <w:rPr>
                <w:color w:val="auto"/>
              </w:rPr>
            </w:pPr>
            <w:r>
              <w:rPr>
                <w:color w:val="auto"/>
              </w:rPr>
              <w:t>1</w:t>
            </w:r>
            <w:r>
              <w:rPr>
                <w:rFonts w:hint="eastAsia"/>
                <w:color w:val="auto"/>
              </w:rPr>
              <w:t>）临边未按规定设置防护栏杆，扣</w:t>
            </w:r>
            <w:r>
              <w:rPr>
                <w:color w:val="auto"/>
              </w:rPr>
              <w:t>5</w:t>
            </w:r>
            <w:r>
              <w:rPr>
                <w:rFonts w:hint="eastAsia"/>
                <w:color w:val="auto"/>
              </w:rPr>
              <w:t>分</w:t>
            </w:r>
          </w:p>
          <w:p w14:paraId="0202001B">
            <w:pPr>
              <w:pStyle w:val="44"/>
              <w:jc w:val="left"/>
              <w:rPr>
                <w:color w:val="auto"/>
              </w:rPr>
            </w:pPr>
            <w:r>
              <w:rPr>
                <w:color w:val="auto"/>
              </w:rPr>
              <w:t>2</w:t>
            </w:r>
            <w:r>
              <w:rPr>
                <w:rFonts w:hint="eastAsia"/>
                <w:color w:val="auto"/>
              </w:rPr>
              <w:t>）钢围堰内外未按规定设置上下通道，扣</w:t>
            </w:r>
            <w:r>
              <w:rPr>
                <w:color w:val="auto"/>
              </w:rPr>
              <w:t>10</w:t>
            </w:r>
            <w:r>
              <w:rPr>
                <w:rFonts w:hint="eastAsia"/>
                <w:color w:val="auto"/>
              </w:rPr>
              <w:t>分；各井室内未悬挂钢梯和安全绳，扣</w:t>
            </w:r>
            <w:r>
              <w:rPr>
                <w:color w:val="auto"/>
              </w:rPr>
              <w:t>5</w:t>
            </w:r>
            <w:r>
              <w:rPr>
                <w:rFonts w:hint="eastAsia"/>
                <w:color w:val="auto"/>
              </w:rPr>
              <w:t>分</w:t>
            </w:r>
          </w:p>
          <w:p w14:paraId="4B6C592D">
            <w:pPr>
              <w:pStyle w:val="44"/>
              <w:jc w:val="left"/>
              <w:rPr>
                <w:color w:val="auto"/>
              </w:rPr>
            </w:pPr>
            <w:r>
              <w:rPr>
                <w:color w:val="auto"/>
              </w:rPr>
              <w:t>3</w:t>
            </w:r>
            <w:r>
              <w:rPr>
                <w:rFonts w:hint="eastAsia"/>
                <w:color w:val="auto"/>
              </w:rPr>
              <w:t>）船舶停泊处水中沉井未设置船舶靠泊系揽桩，或船舶系缆于沉井结构上，扣</w:t>
            </w:r>
            <w:r>
              <w:rPr>
                <w:color w:val="auto"/>
              </w:rPr>
              <w:t>10</w:t>
            </w:r>
            <w:r>
              <w:rPr>
                <w:rFonts w:hint="eastAsia"/>
                <w:color w:val="auto"/>
              </w:rPr>
              <w:t>分</w:t>
            </w:r>
          </w:p>
          <w:p w14:paraId="0787898E">
            <w:pPr>
              <w:pStyle w:val="44"/>
              <w:jc w:val="left"/>
              <w:rPr>
                <w:color w:val="auto"/>
              </w:rPr>
            </w:pPr>
            <w:r>
              <w:rPr>
                <w:color w:val="auto"/>
              </w:rPr>
              <w:t>4</w:t>
            </w:r>
            <w:r>
              <w:rPr>
                <w:rFonts w:hint="eastAsia"/>
                <w:color w:val="auto"/>
              </w:rPr>
              <w:t>）通航水域沉井的临边栏杆未设置反光设施，或边角处未设置红色警示灯，扣</w:t>
            </w:r>
            <w:r>
              <w:rPr>
                <w:color w:val="auto"/>
              </w:rPr>
              <w:t>10</w:t>
            </w:r>
            <w:r>
              <w:rPr>
                <w:rFonts w:hint="eastAsia"/>
                <w:color w:val="auto"/>
              </w:rPr>
              <w:t>分</w:t>
            </w:r>
          </w:p>
          <w:p w14:paraId="7129D3FD">
            <w:pPr>
              <w:pStyle w:val="44"/>
              <w:jc w:val="left"/>
              <w:rPr>
                <w:color w:val="auto"/>
              </w:rPr>
            </w:pPr>
            <w:r>
              <w:rPr>
                <w:color w:val="auto"/>
              </w:rPr>
              <w:t>5</w:t>
            </w:r>
            <w:r>
              <w:rPr>
                <w:rFonts w:hint="eastAsia"/>
                <w:color w:val="auto"/>
              </w:rPr>
              <w:t>）通航水域的沉井未设置船舶防撞桩，扣</w:t>
            </w:r>
            <w:r>
              <w:rPr>
                <w:color w:val="auto"/>
              </w:rPr>
              <w:t>10</w:t>
            </w:r>
            <w:r>
              <w:rPr>
                <w:rFonts w:hint="eastAsia"/>
                <w:color w:val="auto"/>
              </w:rPr>
              <w:t>分</w:t>
            </w:r>
          </w:p>
          <w:p w14:paraId="6DA52F56">
            <w:pPr>
              <w:pStyle w:val="44"/>
              <w:jc w:val="left"/>
              <w:rPr>
                <w:color w:val="auto"/>
              </w:rPr>
            </w:pPr>
            <w:r>
              <w:rPr>
                <w:color w:val="auto"/>
              </w:rPr>
              <w:t>6</w:t>
            </w:r>
            <w:r>
              <w:rPr>
                <w:rFonts w:hint="eastAsia"/>
                <w:color w:val="auto"/>
              </w:rPr>
              <w:t>）水中沉井上未配备足够的、各种类型的消防、救生器材，扣</w:t>
            </w:r>
            <w:r>
              <w:rPr>
                <w:color w:val="auto"/>
              </w:rPr>
              <w:t>10</w:t>
            </w:r>
            <w:r>
              <w:rPr>
                <w:rFonts w:hint="eastAsia"/>
                <w:color w:val="auto"/>
              </w:rPr>
              <w:t>分</w:t>
            </w:r>
          </w:p>
        </w:tc>
        <w:tc>
          <w:tcPr>
            <w:tcW w:w="720" w:type="dxa"/>
            <w:vAlign w:val="center"/>
          </w:tcPr>
          <w:p w14:paraId="6A737F66">
            <w:pPr>
              <w:pStyle w:val="44"/>
              <w:rPr>
                <w:color w:val="auto"/>
              </w:rPr>
            </w:pPr>
            <w:r>
              <w:rPr>
                <w:color w:val="auto"/>
              </w:rPr>
              <w:t>10</w:t>
            </w:r>
          </w:p>
        </w:tc>
        <w:tc>
          <w:tcPr>
            <w:tcW w:w="720" w:type="dxa"/>
            <w:vAlign w:val="center"/>
          </w:tcPr>
          <w:p w14:paraId="35E603D1">
            <w:pPr>
              <w:pStyle w:val="44"/>
              <w:rPr>
                <w:color w:val="auto"/>
              </w:rPr>
            </w:pPr>
          </w:p>
        </w:tc>
        <w:tc>
          <w:tcPr>
            <w:tcW w:w="720" w:type="dxa"/>
            <w:vAlign w:val="center"/>
          </w:tcPr>
          <w:p w14:paraId="546DF9B4">
            <w:pPr>
              <w:pStyle w:val="44"/>
              <w:rPr>
                <w:color w:val="auto"/>
              </w:rPr>
            </w:pPr>
          </w:p>
        </w:tc>
      </w:tr>
      <w:tr w14:paraId="7E374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FE65698">
            <w:pPr>
              <w:pStyle w:val="44"/>
              <w:rPr>
                <w:color w:val="auto"/>
              </w:rPr>
            </w:pPr>
          </w:p>
        </w:tc>
        <w:tc>
          <w:tcPr>
            <w:tcW w:w="543" w:type="dxa"/>
            <w:vMerge w:val="continue"/>
          </w:tcPr>
          <w:p w14:paraId="003E9346">
            <w:pPr>
              <w:pStyle w:val="44"/>
              <w:rPr>
                <w:color w:val="auto"/>
              </w:rPr>
            </w:pPr>
          </w:p>
        </w:tc>
        <w:tc>
          <w:tcPr>
            <w:tcW w:w="6478" w:type="dxa"/>
            <w:gridSpan w:val="2"/>
            <w:vAlign w:val="center"/>
          </w:tcPr>
          <w:p w14:paraId="3D890DE7">
            <w:pPr>
              <w:pStyle w:val="44"/>
              <w:rPr>
                <w:b/>
                <w:bCs w:val="0"/>
                <w:color w:val="auto"/>
              </w:rPr>
            </w:pPr>
            <w:r>
              <w:rPr>
                <w:rFonts w:hint="eastAsia"/>
                <w:b/>
                <w:bCs w:val="0"/>
                <w:color w:val="auto"/>
              </w:rPr>
              <w:t>小</w:t>
            </w:r>
            <w:r>
              <w:rPr>
                <w:b/>
                <w:bCs w:val="0"/>
                <w:color w:val="auto"/>
              </w:rPr>
              <w:t xml:space="preserve">  </w:t>
            </w:r>
            <w:r>
              <w:rPr>
                <w:rFonts w:hint="eastAsia"/>
                <w:b/>
                <w:bCs w:val="0"/>
                <w:color w:val="auto"/>
              </w:rPr>
              <w:t>计</w:t>
            </w:r>
          </w:p>
        </w:tc>
        <w:tc>
          <w:tcPr>
            <w:tcW w:w="720" w:type="dxa"/>
            <w:vAlign w:val="center"/>
          </w:tcPr>
          <w:p w14:paraId="6421B8A9">
            <w:pPr>
              <w:pStyle w:val="44"/>
              <w:rPr>
                <w:color w:val="auto"/>
              </w:rPr>
            </w:pPr>
            <w:r>
              <w:rPr>
                <w:color w:val="auto"/>
              </w:rPr>
              <w:t>30</w:t>
            </w:r>
          </w:p>
        </w:tc>
        <w:tc>
          <w:tcPr>
            <w:tcW w:w="720" w:type="dxa"/>
            <w:vAlign w:val="center"/>
          </w:tcPr>
          <w:p w14:paraId="21603CCA">
            <w:pPr>
              <w:pStyle w:val="44"/>
              <w:rPr>
                <w:color w:val="auto"/>
              </w:rPr>
            </w:pPr>
          </w:p>
        </w:tc>
        <w:tc>
          <w:tcPr>
            <w:tcW w:w="720" w:type="dxa"/>
            <w:vAlign w:val="center"/>
          </w:tcPr>
          <w:p w14:paraId="658758FC">
            <w:pPr>
              <w:pStyle w:val="44"/>
              <w:rPr>
                <w:color w:val="auto"/>
              </w:rPr>
            </w:pPr>
          </w:p>
        </w:tc>
      </w:tr>
      <w:tr w14:paraId="3F7E0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560" w:type="dxa"/>
            <w:gridSpan w:val="4"/>
            <w:vAlign w:val="center"/>
          </w:tcPr>
          <w:p w14:paraId="363E0D31">
            <w:pPr>
              <w:pStyle w:val="44"/>
              <w:rPr>
                <w:b/>
                <w:bCs w:val="0"/>
                <w:color w:val="auto"/>
              </w:rPr>
            </w:pPr>
            <w:r>
              <w:rPr>
                <w:rFonts w:hint="eastAsia"/>
                <w:b/>
                <w:bCs w:val="0"/>
                <w:color w:val="auto"/>
              </w:rPr>
              <w:t>检查项目合计</w:t>
            </w:r>
          </w:p>
        </w:tc>
        <w:tc>
          <w:tcPr>
            <w:tcW w:w="720" w:type="dxa"/>
            <w:vAlign w:val="center"/>
          </w:tcPr>
          <w:p w14:paraId="28CE4914">
            <w:pPr>
              <w:pStyle w:val="44"/>
              <w:rPr>
                <w:color w:val="auto"/>
              </w:rPr>
            </w:pPr>
            <w:r>
              <w:rPr>
                <w:color w:val="auto"/>
              </w:rPr>
              <w:t>100</w:t>
            </w:r>
          </w:p>
        </w:tc>
        <w:tc>
          <w:tcPr>
            <w:tcW w:w="720" w:type="dxa"/>
            <w:vAlign w:val="center"/>
          </w:tcPr>
          <w:p w14:paraId="239825A3">
            <w:pPr>
              <w:pStyle w:val="44"/>
              <w:rPr>
                <w:color w:val="auto"/>
              </w:rPr>
            </w:pPr>
          </w:p>
        </w:tc>
        <w:tc>
          <w:tcPr>
            <w:tcW w:w="720" w:type="dxa"/>
            <w:vAlign w:val="center"/>
          </w:tcPr>
          <w:p w14:paraId="44F47E0B">
            <w:pPr>
              <w:pStyle w:val="44"/>
              <w:rPr>
                <w:color w:val="auto"/>
              </w:rPr>
            </w:pPr>
          </w:p>
        </w:tc>
      </w:tr>
    </w:tbl>
    <w:p w14:paraId="384C589D">
      <w:pPr>
        <w:pStyle w:val="5"/>
      </w:pPr>
      <w:r>
        <w:rPr>
          <w:rFonts w:hint="eastAsia"/>
        </w:rPr>
        <w:br w:type="page"/>
      </w:r>
      <w:bookmarkStart w:id="37" w:name="_Toc21434"/>
      <w:bookmarkStart w:id="38" w:name="_Toc24787"/>
      <w:bookmarkStart w:id="39" w:name="_Toc13744"/>
      <w:r>
        <w:rPr>
          <w:rFonts w:hint="eastAsia"/>
        </w:rPr>
        <w:t>表B.</w:t>
      </w:r>
      <w:r>
        <w:t>10</w:t>
      </w:r>
      <w:r>
        <w:rPr>
          <w:rFonts w:hint="eastAsia"/>
        </w:rPr>
        <w:t xml:space="preserve">  人工挖孔桩检查</w:t>
      </w:r>
      <w:r>
        <w:t>评分表</w:t>
      </w:r>
      <w:bookmarkEnd w:id="37"/>
      <w:bookmarkEnd w:id="38"/>
      <w:bookmarkEnd w:id="39"/>
    </w:p>
    <w:tbl>
      <w:tblPr>
        <w:tblStyle w:val="19"/>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7915E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jc w:val="center"/>
        </w:trPr>
        <w:tc>
          <w:tcPr>
            <w:tcW w:w="539" w:type="dxa"/>
            <w:vAlign w:val="center"/>
          </w:tcPr>
          <w:p w14:paraId="17775A60">
            <w:pPr>
              <w:pStyle w:val="44"/>
              <w:rPr>
                <w:color w:val="auto"/>
              </w:rPr>
            </w:pPr>
            <w:r>
              <w:rPr>
                <w:rFonts w:hint="eastAsia"/>
                <w:color w:val="auto"/>
              </w:rPr>
              <w:t>序号</w:t>
            </w:r>
          </w:p>
        </w:tc>
        <w:tc>
          <w:tcPr>
            <w:tcW w:w="1441" w:type="dxa"/>
            <w:gridSpan w:val="2"/>
            <w:vAlign w:val="center"/>
          </w:tcPr>
          <w:p w14:paraId="240C98D8">
            <w:pPr>
              <w:pStyle w:val="44"/>
              <w:rPr>
                <w:color w:val="auto"/>
              </w:rPr>
            </w:pPr>
            <w:r>
              <w:rPr>
                <w:rFonts w:hint="eastAsia"/>
                <w:color w:val="auto"/>
              </w:rPr>
              <w:t>检查项目</w:t>
            </w:r>
          </w:p>
        </w:tc>
        <w:tc>
          <w:tcPr>
            <w:tcW w:w="5580" w:type="dxa"/>
            <w:vAlign w:val="center"/>
          </w:tcPr>
          <w:p w14:paraId="699FCF1B">
            <w:pPr>
              <w:pStyle w:val="44"/>
              <w:rPr>
                <w:color w:val="auto"/>
              </w:rPr>
            </w:pPr>
            <w:r>
              <w:rPr>
                <w:rFonts w:hint="eastAsia"/>
                <w:color w:val="auto"/>
              </w:rPr>
              <w:t>扣</w:t>
            </w:r>
            <w:r>
              <w:rPr>
                <w:color w:val="auto"/>
              </w:rPr>
              <w:t xml:space="preserve"> </w:t>
            </w:r>
            <w:r>
              <w:rPr>
                <w:rFonts w:hint="eastAsia"/>
                <w:color w:val="auto"/>
              </w:rPr>
              <w:t>分</w:t>
            </w:r>
            <w:r>
              <w:rPr>
                <w:color w:val="auto"/>
              </w:rPr>
              <w:t xml:space="preserve"> </w:t>
            </w:r>
            <w:r>
              <w:rPr>
                <w:rFonts w:hint="eastAsia"/>
                <w:color w:val="auto"/>
              </w:rPr>
              <w:t>标</w:t>
            </w:r>
            <w:r>
              <w:rPr>
                <w:color w:val="auto"/>
              </w:rPr>
              <w:t xml:space="preserve"> </w:t>
            </w:r>
            <w:r>
              <w:rPr>
                <w:rFonts w:hint="eastAsia"/>
                <w:color w:val="auto"/>
              </w:rPr>
              <w:t>准</w:t>
            </w:r>
          </w:p>
        </w:tc>
        <w:tc>
          <w:tcPr>
            <w:tcW w:w="720" w:type="dxa"/>
            <w:vAlign w:val="center"/>
          </w:tcPr>
          <w:p w14:paraId="59B46A57">
            <w:pPr>
              <w:pStyle w:val="44"/>
              <w:rPr>
                <w:color w:val="auto"/>
              </w:rPr>
            </w:pPr>
            <w:r>
              <w:rPr>
                <w:rFonts w:hint="eastAsia"/>
                <w:color w:val="auto"/>
              </w:rPr>
              <w:t>应得</w:t>
            </w:r>
          </w:p>
          <w:p w14:paraId="449AA764">
            <w:pPr>
              <w:pStyle w:val="44"/>
              <w:rPr>
                <w:color w:val="auto"/>
              </w:rPr>
            </w:pPr>
            <w:r>
              <w:rPr>
                <w:rFonts w:hint="eastAsia"/>
                <w:color w:val="auto"/>
              </w:rPr>
              <w:t>分数</w:t>
            </w:r>
          </w:p>
        </w:tc>
        <w:tc>
          <w:tcPr>
            <w:tcW w:w="720" w:type="dxa"/>
            <w:vAlign w:val="center"/>
          </w:tcPr>
          <w:p w14:paraId="7A549912">
            <w:pPr>
              <w:pStyle w:val="44"/>
              <w:rPr>
                <w:color w:val="auto"/>
              </w:rPr>
            </w:pPr>
            <w:r>
              <w:rPr>
                <w:rFonts w:hint="eastAsia"/>
                <w:color w:val="auto"/>
              </w:rPr>
              <w:t>扣减</w:t>
            </w:r>
          </w:p>
          <w:p w14:paraId="19FF8267">
            <w:pPr>
              <w:pStyle w:val="44"/>
              <w:rPr>
                <w:color w:val="auto"/>
              </w:rPr>
            </w:pPr>
            <w:r>
              <w:rPr>
                <w:rFonts w:hint="eastAsia"/>
                <w:color w:val="auto"/>
              </w:rPr>
              <w:t>分数</w:t>
            </w:r>
          </w:p>
        </w:tc>
        <w:tc>
          <w:tcPr>
            <w:tcW w:w="720" w:type="dxa"/>
            <w:vAlign w:val="center"/>
          </w:tcPr>
          <w:p w14:paraId="06BDF67D">
            <w:pPr>
              <w:pStyle w:val="44"/>
              <w:rPr>
                <w:color w:val="auto"/>
              </w:rPr>
            </w:pPr>
            <w:r>
              <w:rPr>
                <w:rFonts w:hint="eastAsia"/>
                <w:color w:val="auto"/>
              </w:rPr>
              <w:t>实得</w:t>
            </w:r>
          </w:p>
          <w:p w14:paraId="3DE7CD62">
            <w:pPr>
              <w:pStyle w:val="44"/>
              <w:rPr>
                <w:color w:val="auto"/>
              </w:rPr>
            </w:pPr>
            <w:r>
              <w:rPr>
                <w:rFonts w:hint="eastAsia"/>
                <w:color w:val="auto"/>
              </w:rPr>
              <w:t>分数</w:t>
            </w:r>
          </w:p>
        </w:tc>
      </w:tr>
      <w:tr w14:paraId="5D63B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0A2FE70C">
            <w:pPr>
              <w:pStyle w:val="44"/>
              <w:rPr>
                <w:color w:val="auto"/>
              </w:rPr>
            </w:pPr>
            <w:r>
              <w:rPr>
                <w:color w:val="auto"/>
              </w:rPr>
              <w:t>1</w:t>
            </w:r>
          </w:p>
        </w:tc>
        <w:tc>
          <w:tcPr>
            <w:tcW w:w="543" w:type="dxa"/>
            <w:vMerge w:val="restart"/>
            <w:vAlign w:val="center"/>
          </w:tcPr>
          <w:p w14:paraId="47531A36">
            <w:pPr>
              <w:pStyle w:val="44"/>
              <w:rPr>
                <w:color w:val="auto"/>
              </w:rPr>
            </w:pPr>
            <w:r>
              <w:rPr>
                <w:rFonts w:hint="eastAsia"/>
                <w:color w:val="auto"/>
              </w:rPr>
              <w:t>保</w:t>
            </w:r>
          </w:p>
          <w:p w14:paraId="626D1BC2">
            <w:pPr>
              <w:pStyle w:val="44"/>
              <w:rPr>
                <w:color w:val="auto"/>
              </w:rPr>
            </w:pPr>
            <w:r>
              <w:rPr>
                <w:rFonts w:hint="eastAsia"/>
                <w:color w:val="auto"/>
              </w:rPr>
              <w:t>证</w:t>
            </w:r>
          </w:p>
          <w:p w14:paraId="03761146">
            <w:pPr>
              <w:pStyle w:val="44"/>
              <w:rPr>
                <w:color w:val="auto"/>
              </w:rPr>
            </w:pPr>
            <w:r>
              <w:rPr>
                <w:rFonts w:hint="eastAsia"/>
                <w:color w:val="auto"/>
              </w:rPr>
              <w:t>项</w:t>
            </w:r>
          </w:p>
          <w:p w14:paraId="3FF3C683">
            <w:pPr>
              <w:pStyle w:val="44"/>
              <w:rPr>
                <w:color w:val="auto"/>
              </w:rPr>
            </w:pPr>
            <w:r>
              <w:rPr>
                <w:rFonts w:hint="eastAsia"/>
                <w:color w:val="auto"/>
              </w:rPr>
              <w:t>目</w:t>
            </w:r>
          </w:p>
        </w:tc>
        <w:tc>
          <w:tcPr>
            <w:tcW w:w="898" w:type="dxa"/>
            <w:vAlign w:val="center"/>
          </w:tcPr>
          <w:p w14:paraId="7B3CA36D">
            <w:pPr>
              <w:pStyle w:val="44"/>
              <w:rPr>
                <w:color w:val="auto"/>
              </w:rPr>
            </w:pPr>
            <w:r>
              <w:rPr>
                <w:rFonts w:hint="eastAsia"/>
                <w:color w:val="auto"/>
              </w:rPr>
              <w:t>方案与交底</w:t>
            </w:r>
          </w:p>
        </w:tc>
        <w:tc>
          <w:tcPr>
            <w:tcW w:w="5580" w:type="dxa"/>
            <w:vAlign w:val="center"/>
          </w:tcPr>
          <w:p w14:paraId="06E53BC2">
            <w:pPr>
              <w:pStyle w:val="44"/>
              <w:jc w:val="left"/>
              <w:rPr>
                <w:color w:val="auto"/>
              </w:rPr>
            </w:pPr>
            <w:r>
              <w:rPr>
                <w:color w:val="auto"/>
              </w:rPr>
              <w:t>1</w:t>
            </w:r>
            <w:r>
              <w:rPr>
                <w:rFonts w:hint="eastAsia"/>
                <w:color w:val="auto"/>
              </w:rPr>
              <w:t>）采用人工挖孔桩作业不符合工程所在地的相关规定，扣</w:t>
            </w:r>
            <w:r>
              <w:rPr>
                <w:color w:val="auto"/>
              </w:rPr>
              <w:t>10</w:t>
            </w:r>
            <w:r>
              <w:rPr>
                <w:rFonts w:hint="eastAsia"/>
                <w:color w:val="auto"/>
              </w:rPr>
              <w:t>分</w:t>
            </w:r>
          </w:p>
          <w:p w14:paraId="188FB00B">
            <w:pPr>
              <w:pStyle w:val="44"/>
              <w:jc w:val="left"/>
              <w:rPr>
                <w:color w:val="auto"/>
              </w:rPr>
            </w:pPr>
            <w:r>
              <w:rPr>
                <w:color w:val="auto"/>
              </w:rPr>
              <w:t>2</w:t>
            </w:r>
            <w:r>
              <w:rPr>
                <w:rFonts w:hint="eastAsia"/>
                <w:color w:val="auto"/>
              </w:rPr>
              <w:t>）未按规定编制专项施工方案，扣</w:t>
            </w:r>
            <w:r>
              <w:rPr>
                <w:color w:val="auto"/>
              </w:rPr>
              <w:t>5</w:t>
            </w:r>
            <w:r>
              <w:rPr>
                <w:rFonts w:hint="eastAsia"/>
                <w:color w:val="auto"/>
              </w:rPr>
              <w:t>分；编制内容不全，扣</w:t>
            </w:r>
            <w:r>
              <w:rPr>
                <w:color w:val="auto"/>
              </w:rPr>
              <w:t>2-5</w:t>
            </w:r>
            <w:r>
              <w:rPr>
                <w:rFonts w:hint="eastAsia"/>
                <w:color w:val="auto"/>
              </w:rPr>
              <w:t>分</w:t>
            </w:r>
          </w:p>
          <w:p w14:paraId="0F131247">
            <w:pPr>
              <w:pStyle w:val="44"/>
              <w:jc w:val="left"/>
              <w:rPr>
                <w:color w:val="auto"/>
              </w:rPr>
            </w:pPr>
            <w:r>
              <w:rPr>
                <w:color w:val="auto"/>
              </w:rPr>
              <w:t>3</w:t>
            </w:r>
            <w:r>
              <w:rPr>
                <w:rFonts w:hint="eastAsia"/>
                <w:color w:val="auto"/>
              </w:rPr>
              <w:t>）超过一定规模的挖孔桩专项施工方案，未按规定组织专家论证，扣</w:t>
            </w:r>
            <w:r>
              <w:rPr>
                <w:color w:val="auto"/>
              </w:rPr>
              <w:t>10</w:t>
            </w:r>
            <w:r>
              <w:rPr>
                <w:rFonts w:hint="eastAsia"/>
                <w:color w:val="auto"/>
              </w:rPr>
              <w:t>分</w:t>
            </w:r>
          </w:p>
          <w:p w14:paraId="14A84C52">
            <w:pPr>
              <w:pStyle w:val="44"/>
              <w:jc w:val="left"/>
              <w:rPr>
                <w:color w:val="auto"/>
              </w:rPr>
            </w:pPr>
            <w:r>
              <w:rPr>
                <w:color w:val="auto"/>
              </w:rPr>
              <w:t>4</w:t>
            </w:r>
            <w:r>
              <w:rPr>
                <w:rFonts w:hint="eastAsia"/>
                <w:color w:val="auto"/>
              </w:rPr>
              <w:t>）未按规定进行审核、审批，扣</w:t>
            </w:r>
            <w:r>
              <w:rPr>
                <w:color w:val="auto"/>
              </w:rPr>
              <w:t>2-5</w:t>
            </w:r>
            <w:r>
              <w:rPr>
                <w:rFonts w:hint="eastAsia"/>
                <w:color w:val="auto"/>
              </w:rPr>
              <w:t>分</w:t>
            </w:r>
          </w:p>
          <w:p w14:paraId="3BB81FCE">
            <w:pPr>
              <w:pStyle w:val="44"/>
              <w:jc w:val="left"/>
              <w:rPr>
                <w:color w:val="auto"/>
              </w:rPr>
            </w:pPr>
            <w:r>
              <w:rPr>
                <w:color w:val="auto"/>
              </w:rPr>
              <w:t>5</w:t>
            </w:r>
            <w:r>
              <w:rPr>
                <w:rFonts w:hint="eastAsia"/>
                <w:color w:val="auto"/>
              </w:rPr>
              <w:t>）专项施工方案实施前，未进行安全技术交底，扣</w:t>
            </w:r>
            <w:r>
              <w:rPr>
                <w:color w:val="auto"/>
              </w:rPr>
              <w:t>10</w:t>
            </w:r>
            <w:r>
              <w:rPr>
                <w:rFonts w:hint="eastAsia"/>
                <w:color w:val="auto"/>
              </w:rPr>
              <w:t>分；交底无针对性或无文字记录，扣</w:t>
            </w:r>
            <w:r>
              <w:rPr>
                <w:color w:val="auto"/>
              </w:rPr>
              <w:t>2-5</w:t>
            </w:r>
            <w:r>
              <w:rPr>
                <w:rFonts w:hint="eastAsia"/>
                <w:color w:val="auto"/>
              </w:rPr>
              <w:t>分</w:t>
            </w:r>
          </w:p>
        </w:tc>
        <w:tc>
          <w:tcPr>
            <w:tcW w:w="720" w:type="dxa"/>
            <w:vAlign w:val="center"/>
          </w:tcPr>
          <w:p w14:paraId="6B6ABFDC">
            <w:pPr>
              <w:pStyle w:val="44"/>
              <w:rPr>
                <w:color w:val="auto"/>
              </w:rPr>
            </w:pPr>
            <w:r>
              <w:rPr>
                <w:color w:val="auto"/>
              </w:rPr>
              <w:t>10</w:t>
            </w:r>
          </w:p>
        </w:tc>
        <w:tc>
          <w:tcPr>
            <w:tcW w:w="720" w:type="dxa"/>
            <w:vAlign w:val="center"/>
          </w:tcPr>
          <w:p w14:paraId="5DA06064">
            <w:pPr>
              <w:pStyle w:val="44"/>
              <w:rPr>
                <w:color w:val="auto"/>
              </w:rPr>
            </w:pPr>
          </w:p>
        </w:tc>
        <w:tc>
          <w:tcPr>
            <w:tcW w:w="720" w:type="dxa"/>
            <w:vAlign w:val="center"/>
          </w:tcPr>
          <w:p w14:paraId="32863295">
            <w:pPr>
              <w:pStyle w:val="44"/>
              <w:rPr>
                <w:color w:val="auto"/>
              </w:rPr>
            </w:pPr>
          </w:p>
        </w:tc>
      </w:tr>
      <w:tr w14:paraId="5C07E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111C8695">
            <w:pPr>
              <w:pStyle w:val="44"/>
              <w:rPr>
                <w:color w:val="auto"/>
              </w:rPr>
            </w:pPr>
            <w:r>
              <w:rPr>
                <w:color w:val="auto"/>
              </w:rPr>
              <w:t>2</w:t>
            </w:r>
          </w:p>
        </w:tc>
        <w:tc>
          <w:tcPr>
            <w:tcW w:w="543" w:type="dxa"/>
            <w:vMerge w:val="continue"/>
          </w:tcPr>
          <w:p w14:paraId="4EA6EB1C">
            <w:pPr>
              <w:pStyle w:val="44"/>
              <w:rPr>
                <w:color w:val="auto"/>
              </w:rPr>
            </w:pPr>
          </w:p>
        </w:tc>
        <w:tc>
          <w:tcPr>
            <w:tcW w:w="898" w:type="dxa"/>
            <w:vAlign w:val="center"/>
          </w:tcPr>
          <w:p w14:paraId="1C773AB0">
            <w:pPr>
              <w:pStyle w:val="44"/>
              <w:rPr>
                <w:color w:val="auto"/>
              </w:rPr>
            </w:pPr>
            <w:r>
              <w:rPr>
                <w:rFonts w:hint="eastAsia"/>
                <w:color w:val="auto"/>
              </w:rPr>
              <w:t>截水与排水</w:t>
            </w:r>
          </w:p>
        </w:tc>
        <w:tc>
          <w:tcPr>
            <w:tcW w:w="5580" w:type="dxa"/>
            <w:vAlign w:val="center"/>
          </w:tcPr>
          <w:p w14:paraId="23E9F779">
            <w:pPr>
              <w:pStyle w:val="44"/>
              <w:jc w:val="left"/>
              <w:rPr>
                <w:color w:val="auto"/>
              </w:rPr>
            </w:pPr>
            <w:r>
              <w:rPr>
                <w:color w:val="auto"/>
              </w:rPr>
              <w:t>1</w:t>
            </w:r>
            <w:r>
              <w:rPr>
                <w:rFonts w:hint="eastAsia"/>
                <w:color w:val="auto"/>
              </w:rPr>
              <w:t>）未在桩边以外或临近的边坡顶部设截、排水设施，扣</w:t>
            </w:r>
            <w:r>
              <w:rPr>
                <w:color w:val="auto"/>
              </w:rPr>
              <w:t>10</w:t>
            </w:r>
            <w:r>
              <w:rPr>
                <w:rFonts w:hint="eastAsia"/>
                <w:color w:val="auto"/>
              </w:rPr>
              <w:t>分</w:t>
            </w:r>
          </w:p>
          <w:p w14:paraId="35A64DC7">
            <w:pPr>
              <w:pStyle w:val="44"/>
              <w:jc w:val="left"/>
              <w:rPr>
                <w:color w:val="auto"/>
              </w:rPr>
            </w:pPr>
            <w:r>
              <w:rPr>
                <w:color w:val="auto"/>
              </w:rPr>
              <w:t>2</w:t>
            </w:r>
            <w:r>
              <w:rPr>
                <w:rFonts w:hint="eastAsia"/>
                <w:color w:val="auto"/>
              </w:rPr>
              <w:t>）桩基开挖深度范围内有地下水时未采取有效的降排水措施，扣</w:t>
            </w:r>
            <w:r>
              <w:rPr>
                <w:color w:val="auto"/>
              </w:rPr>
              <w:t>10</w:t>
            </w:r>
            <w:r>
              <w:rPr>
                <w:rFonts w:hint="eastAsia"/>
                <w:color w:val="auto"/>
              </w:rPr>
              <w:t>分</w:t>
            </w:r>
          </w:p>
          <w:p w14:paraId="16A7831C">
            <w:pPr>
              <w:pStyle w:val="44"/>
              <w:jc w:val="left"/>
              <w:rPr>
                <w:color w:val="auto"/>
              </w:rPr>
            </w:pPr>
            <w:r>
              <w:rPr>
                <w:color w:val="auto"/>
              </w:rPr>
              <w:t>3</w:t>
            </w:r>
            <w:r>
              <w:rPr>
                <w:rFonts w:hint="eastAsia"/>
                <w:color w:val="auto"/>
              </w:rPr>
              <w:t>）桩孔内边抽水边开挖，扣</w:t>
            </w:r>
            <w:r>
              <w:rPr>
                <w:color w:val="auto"/>
              </w:rPr>
              <w:t>10</w:t>
            </w:r>
            <w:r>
              <w:rPr>
                <w:rFonts w:hint="eastAsia"/>
                <w:color w:val="auto"/>
              </w:rPr>
              <w:t>分</w:t>
            </w:r>
          </w:p>
        </w:tc>
        <w:tc>
          <w:tcPr>
            <w:tcW w:w="720" w:type="dxa"/>
            <w:vAlign w:val="center"/>
          </w:tcPr>
          <w:p w14:paraId="4DD97841">
            <w:pPr>
              <w:pStyle w:val="44"/>
              <w:rPr>
                <w:color w:val="auto"/>
              </w:rPr>
            </w:pPr>
            <w:r>
              <w:rPr>
                <w:color w:val="auto"/>
              </w:rPr>
              <w:t>10</w:t>
            </w:r>
          </w:p>
        </w:tc>
        <w:tc>
          <w:tcPr>
            <w:tcW w:w="720" w:type="dxa"/>
            <w:vAlign w:val="center"/>
          </w:tcPr>
          <w:p w14:paraId="74C43AD2">
            <w:pPr>
              <w:pStyle w:val="44"/>
              <w:rPr>
                <w:color w:val="auto"/>
              </w:rPr>
            </w:pPr>
          </w:p>
        </w:tc>
        <w:tc>
          <w:tcPr>
            <w:tcW w:w="720" w:type="dxa"/>
            <w:vAlign w:val="center"/>
          </w:tcPr>
          <w:p w14:paraId="185A5D21">
            <w:pPr>
              <w:pStyle w:val="44"/>
              <w:rPr>
                <w:color w:val="auto"/>
              </w:rPr>
            </w:pPr>
          </w:p>
        </w:tc>
      </w:tr>
      <w:tr w14:paraId="0CA64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7059B49">
            <w:pPr>
              <w:pStyle w:val="44"/>
              <w:rPr>
                <w:color w:val="auto"/>
              </w:rPr>
            </w:pPr>
            <w:r>
              <w:rPr>
                <w:color w:val="auto"/>
              </w:rPr>
              <w:t>3</w:t>
            </w:r>
          </w:p>
        </w:tc>
        <w:tc>
          <w:tcPr>
            <w:tcW w:w="543" w:type="dxa"/>
            <w:vMerge w:val="continue"/>
          </w:tcPr>
          <w:p w14:paraId="5414ABA2">
            <w:pPr>
              <w:pStyle w:val="44"/>
              <w:rPr>
                <w:color w:val="auto"/>
              </w:rPr>
            </w:pPr>
          </w:p>
        </w:tc>
        <w:tc>
          <w:tcPr>
            <w:tcW w:w="898" w:type="dxa"/>
            <w:vAlign w:val="center"/>
          </w:tcPr>
          <w:p w14:paraId="2BBE9A1D">
            <w:pPr>
              <w:pStyle w:val="44"/>
              <w:rPr>
                <w:color w:val="auto"/>
              </w:rPr>
            </w:pPr>
            <w:r>
              <w:rPr>
                <w:rFonts w:hint="eastAsia"/>
                <w:color w:val="auto"/>
              </w:rPr>
              <w:t>桩孔开挖</w:t>
            </w:r>
          </w:p>
        </w:tc>
        <w:tc>
          <w:tcPr>
            <w:tcW w:w="5580" w:type="dxa"/>
            <w:vAlign w:val="center"/>
          </w:tcPr>
          <w:p w14:paraId="2550D78F">
            <w:pPr>
              <w:pStyle w:val="44"/>
              <w:jc w:val="left"/>
              <w:rPr>
                <w:color w:val="auto"/>
              </w:rPr>
            </w:pPr>
            <w:r>
              <w:rPr>
                <w:color w:val="auto"/>
              </w:rPr>
              <w:t>1</w:t>
            </w:r>
            <w:r>
              <w:rPr>
                <w:rFonts w:hint="eastAsia"/>
                <w:color w:val="auto"/>
              </w:rPr>
              <w:t>）桩孔开挖时临近边坡尚未完成支护，扣</w:t>
            </w:r>
            <w:r>
              <w:rPr>
                <w:color w:val="auto"/>
              </w:rPr>
              <w:t>10</w:t>
            </w:r>
            <w:r>
              <w:rPr>
                <w:rFonts w:hint="eastAsia"/>
                <w:color w:val="auto"/>
              </w:rPr>
              <w:t>分</w:t>
            </w:r>
          </w:p>
          <w:p w14:paraId="2C0599FA">
            <w:pPr>
              <w:pStyle w:val="44"/>
              <w:jc w:val="left"/>
              <w:rPr>
                <w:color w:val="auto"/>
              </w:rPr>
            </w:pPr>
            <w:r>
              <w:rPr>
                <w:color w:val="auto"/>
              </w:rPr>
              <w:t>2</w:t>
            </w:r>
            <w:r>
              <w:rPr>
                <w:rFonts w:hint="eastAsia"/>
                <w:color w:val="auto"/>
              </w:rPr>
              <w:t>）挖孔桩开挖最小净距和跳挖间隔桩数不符合标准和设计要求，扣</w:t>
            </w:r>
            <w:r>
              <w:rPr>
                <w:color w:val="auto"/>
              </w:rPr>
              <w:t>10</w:t>
            </w:r>
            <w:r>
              <w:rPr>
                <w:rFonts w:hint="eastAsia"/>
                <w:color w:val="auto"/>
              </w:rPr>
              <w:t>分</w:t>
            </w:r>
          </w:p>
          <w:p w14:paraId="6B385920">
            <w:pPr>
              <w:pStyle w:val="44"/>
              <w:jc w:val="left"/>
              <w:rPr>
                <w:color w:val="auto"/>
              </w:rPr>
            </w:pPr>
            <w:r>
              <w:rPr>
                <w:color w:val="auto"/>
              </w:rPr>
              <w:t>3</w:t>
            </w:r>
            <w:r>
              <w:rPr>
                <w:rFonts w:hint="eastAsia"/>
                <w:color w:val="auto"/>
              </w:rPr>
              <w:t>）采用混凝土护壁时，每循环开挖深度不符合专项施工方案的规定或大于</w:t>
            </w:r>
            <w:r>
              <w:rPr>
                <w:color w:val="auto"/>
              </w:rPr>
              <w:t>1m</w:t>
            </w:r>
            <w:r>
              <w:rPr>
                <w:rFonts w:hint="eastAsia"/>
                <w:color w:val="auto"/>
              </w:rPr>
              <w:t>，扣</w:t>
            </w:r>
            <w:r>
              <w:rPr>
                <w:color w:val="auto"/>
              </w:rPr>
              <w:t>5-10</w:t>
            </w:r>
            <w:r>
              <w:rPr>
                <w:rFonts w:hint="eastAsia"/>
                <w:color w:val="auto"/>
              </w:rPr>
              <w:t>分</w:t>
            </w:r>
          </w:p>
          <w:p w14:paraId="23F81A8F">
            <w:pPr>
              <w:pStyle w:val="44"/>
              <w:jc w:val="left"/>
              <w:rPr>
                <w:color w:val="auto"/>
              </w:rPr>
            </w:pPr>
            <w:r>
              <w:rPr>
                <w:color w:val="auto"/>
              </w:rPr>
              <w:t>4</w:t>
            </w:r>
            <w:r>
              <w:rPr>
                <w:rFonts w:hint="eastAsia"/>
                <w:color w:val="auto"/>
              </w:rPr>
              <w:t>）下层土方开挖时上层护壁混凝土强度未达到设计要求，扣</w:t>
            </w:r>
            <w:r>
              <w:rPr>
                <w:color w:val="auto"/>
              </w:rPr>
              <w:t>8</w:t>
            </w:r>
            <w:r>
              <w:rPr>
                <w:rFonts w:hint="eastAsia"/>
                <w:color w:val="auto"/>
              </w:rPr>
              <w:t>分</w:t>
            </w:r>
          </w:p>
          <w:p w14:paraId="0B1D8656">
            <w:pPr>
              <w:pStyle w:val="44"/>
              <w:jc w:val="left"/>
              <w:rPr>
                <w:color w:val="auto"/>
              </w:rPr>
            </w:pPr>
            <w:r>
              <w:rPr>
                <w:color w:val="auto"/>
              </w:rPr>
              <w:t>5</w:t>
            </w:r>
            <w:r>
              <w:rPr>
                <w:rFonts w:hint="eastAsia"/>
                <w:color w:val="auto"/>
              </w:rPr>
              <w:t>）裸吊岩石时桩内人员未出井口，扣</w:t>
            </w:r>
            <w:r>
              <w:rPr>
                <w:color w:val="auto"/>
              </w:rPr>
              <w:t>10</w:t>
            </w:r>
            <w:r>
              <w:rPr>
                <w:rFonts w:hint="eastAsia"/>
                <w:color w:val="auto"/>
              </w:rPr>
              <w:t>分</w:t>
            </w:r>
          </w:p>
          <w:p w14:paraId="3FFAEF88">
            <w:pPr>
              <w:pStyle w:val="44"/>
              <w:jc w:val="left"/>
              <w:rPr>
                <w:color w:val="auto"/>
              </w:rPr>
            </w:pPr>
            <w:r>
              <w:rPr>
                <w:color w:val="auto"/>
              </w:rPr>
              <w:t>6</w:t>
            </w:r>
            <w:r>
              <w:rPr>
                <w:rFonts w:hint="eastAsia"/>
                <w:color w:val="auto"/>
              </w:rPr>
              <w:t>）桩孔浇筑混凝土时相邻桩孔进行开挖，扣</w:t>
            </w:r>
            <w:r>
              <w:rPr>
                <w:color w:val="auto"/>
              </w:rPr>
              <w:t>5-8</w:t>
            </w:r>
            <w:r>
              <w:rPr>
                <w:rFonts w:hint="eastAsia"/>
                <w:color w:val="auto"/>
              </w:rPr>
              <w:t>分</w:t>
            </w:r>
          </w:p>
          <w:p w14:paraId="68BF323D">
            <w:pPr>
              <w:pStyle w:val="44"/>
              <w:jc w:val="left"/>
              <w:rPr>
                <w:color w:val="auto"/>
              </w:rPr>
            </w:pPr>
            <w:r>
              <w:rPr>
                <w:color w:val="auto"/>
              </w:rPr>
              <w:t>7</w:t>
            </w:r>
            <w:r>
              <w:rPr>
                <w:rFonts w:hint="eastAsia"/>
                <w:color w:val="auto"/>
              </w:rPr>
              <w:t>）未根据周边环境监测数据和地质条件的变化动态调整开挖步序，扣</w:t>
            </w:r>
            <w:r>
              <w:rPr>
                <w:color w:val="auto"/>
              </w:rPr>
              <w:t>5-10</w:t>
            </w:r>
            <w:r>
              <w:rPr>
                <w:rFonts w:hint="eastAsia"/>
                <w:color w:val="auto"/>
              </w:rPr>
              <w:t>分</w:t>
            </w:r>
          </w:p>
        </w:tc>
        <w:tc>
          <w:tcPr>
            <w:tcW w:w="720" w:type="dxa"/>
            <w:vAlign w:val="center"/>
          </w:tcPr>
          <w:p w14:paraId="481515C8">
            <w:pPr>
              <w:pStyle w:val="44"/>
              <w:rPr>
                <w:color w:val="auto"/>
              </w:rPr>
            </w:pPr>
            <w:r>
              <w:rPr>
                <w:color w:val="auto"/>
              </w:rPr>
              <w:t>10</w:t>
            </w:r>
          </w:p>
        </w:tc>
        <w:tc>
          <w:tcPr>
            <w:tcW w:w="720" w:type="dxa"/>
            <w:vAlign w:val="center"/>
          </w:tcPr>
          <w:p w14:paraId="4BF5E83D">
            <w:pPr>
              <w:pStyle w:val="44"/>
              <w:rPr>
                <w:color w:val="auto"/>
              </w:rPr>
            </w:pPr>
          </w:p>
        </w:tc>
        <w:tc>
          <w:tcPr>
            <w:tcW w:w="720" w:type="dxa"/>
            <w:vAlign w:val="center"/>
          </w:tcPr>
          <w:p w14:paraId="69E48D56">
            <w:pPr>
              <w:pStyle w:val="44"/>
              <w:rPr>
                <w:color w:val="auto"/>
              </w:rPr>
            </w:pPr>
          </w:p>
        </w:tc>
      </w:tr>
      <w:tr w14:paraId="2E9E7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3A6B376">
            <w:pPr>
              <w:pStyle w:val="44"/>
              <w:rPr>
                <w:color w:val="auto"/>
              </w:rPr>
            </w:pPr>
            <w:r>
              <w:rPr>
                <w:color w:val="auto"/>
              </w:rPr>
              <w:t>4</w:t>
            </w:r>
          </w:p>
        </w:tc>
        <w:tc>
          <w:tcPr>
            <w:tcW w:w="543" w:type="dxa"/>
            <w:vMerge w:val="continue"/>
          </w:tcPr>
          <w:p w14:paraId="02A55450">
            <w:pPr>
              <w:pStyle w:val="44"/>
              <w:rPr>
                <w:color w:val="auto"/>
              </w:rPr>
            </w:pPr>
          </w:p>
        </w:tc>
        <w:tc>
          <w:tcPr>
            <w:tcW w:w="898" w:type="dxa"/>
            <w:vAlign w:val="center"/>
          </w:tcPr>
          <w:p w14:paraId="20558E02">
            <w:pPr>
              <w:pStyle w:val="44"/>
              <w:rPr>
                <w:color w:val="auto"/>
              </w:rPr>
            </w:pPr>
            <w:r>
              <w:rPr>
                <w:rFonts w:hint="eastAsia"/>
                <w:color w:val="auto"/>
              </w:rPr>
              <w:t>井边荷载</w:t>
            </w:r>
          </w:p>
        </w:tc>
        <w:tc>
          <w:tcPr>
            <w:tcW w:w="5580" w:type="dxa"/>
            <w:vAlign w:val="center"/>
          </w:tcPr>
          <w:p w14:paraId="02CF65E7">
            <w:pPr>
              <w:pStyle w:val="44"/>
              <w:jc w:val="left"/>
              <w:rPr>
                <w:color w:val="auto"/>
              </w:rPr>
            </w:pPr>
            <w:r>
              <w:rPr>
                <w:color w:val="auto"/>
              </w:rPr>
              <w:t>1</w:t>
            </w:r>
            <w:r>
              <w:rPr>
                <w:rFonts w:hint="eastAsia"/>
                <w:color w:val="auto"/>
              </w:rPr>
              <w:t>）桩口周边</w:t>
            </w:r>
            <w:r>
              <w:rPr>
                <w:color w:val="auto"/>
              </w:rPr>
              <w:t>1m</w:t>
            </w:r>
            <w:r>
              <w:rPr>
                <w:rFonts w:hint="eastAsia"/>
                <w:color w:val="auto"/>
              </w:rPr>
              <w:t>范围内堆放物料，扣</w:t>
            </w:r>
            <w:r>
              <w:rPr>
                <w:color w:val="auto"/>
              </w:rPr>
              <w:t>5</w:t>
            </w:r>
            <w:r>
              <w:rPr>
                <w:rFonts w:hint="eastAsia"/>
                <w:color w:val="auto"/>
              </w:rPr>
              <w:t>分</w:t>
            </w:r>
          </w:p>
          <w:p w14:paraId="1F56D2C2">
            <w:pPr>
              <w:pStyle w:val="44"/>
              <w:jc w:val="left"/>
              <w:rPr>
                <w:color w:val="auto"/>
              </w:rPr>
            </w:pPr>
            <w:r>
              <w:rPr>
                <w:color w:val="auto"/>
              </w:rPr>
              <w:t>2</w:t>
            </w:r>
            <w:r>
              <w:rPr>
                <w:rFonts w:hint="eastAsia"/>
                <w:color w:val="auto"/>
              </w:rPr>
              <w:t>）桩口堆土高度大于</w:t>
            </w:r>
            <w:r>
              <w:rPr>
                <w:color w:val="auto"/>
              </w:rPr>
              <w:t>1.0m</w:t>
            </w:r>
            <w:r>
              <w:rPr>
                <w:rFonts w:hint="eastAsia"/>
                <w:color w:val="auto"/>
              </w:rPr>
              <w:t>，扣</w:t>
            </w:r>
            <w:r>
              <w:rPr>
                <w:color w:val="auto"/>
              </w:rPr>
              <w:t>5</w:t>
            </w:r>
            <w:r>
              <w:rPr>
                <w:rFonts w:hint="eastAsia"/>
                <w:color w:val="auto"/>
              </w:rPr>
              <w:t>分</w:t>
            </w:r>
          </w:p>
          <w:p w14:paraId="1750E916">
            <w:pPr>
              <w:pStyle w:val="44"/>
              <w:jc w:val="left"/>
              <w:rPr>
                <w:color w:val="auto"/>
              </w:rPr>
            </w:pPr>
            <w:r>
              <w:rPr>
                <w:color w:val="auto"/>
              </w:rPr>
              <w:t>3</w:t>
            </w:r>
            <w:r>
              <w:rPr>
                <w:rFonts w:hint="eastAsia"/>
                <w:color w:val="auto"/>
              </w:rPr>
              <w:t>）桩口堆载、车辆等大型施工机械的荷载超过设计规定，扣</w:t>
            </w:r>
            <w:r>
              <w:rPr>
                <w:color w:val="auto"/>
              </w:rPr>
              <w:t>10</w:t>
            </w:r>
            <w:r>
              <w:rPr>
                <w:rFonts w:hint="eastAsia"/>
                <w:color w:val="auto"/>
              </w:rPr>
              <w:t>分</w:t>
            </w:r>
          </w:p>
        </w:tc>
        <w:tc>
          <w:tcPr>
            <w:tcW w:w="720" w:type="dxa"/>
            <w:vAlign w:val="center"/>
          </w:tcPr>
          <w:p w14:paraId="425268D9">
            <w:pPr>
              <w:pStyle w:val="44"/>
              <w:rPr>
                <w:color w:val="auto"/>
              </w:rPr>
            </w:pPr>
            <w:r>
              <w:rPr>
                <w:color w:val="auto"/>
              </w:rPr>
              <w:t>10</w:t>
            </w:r>
          </w:p>
        </w:tc>
        <w:tc>
          <w:tcPr>
            <w:tcW w:w="720" w:type="dxa"/>
            <w:vAlign w:val="center"/>
          </w:tcPr>
          <w:p w14:paraId="0CCCF1F0">
            <w:pPr>
              <w:pStyle w:val="44"/>
              <w:rPr>
                <w:color w:val="auto"/>
              </w:rPr>
            </w:pPr>
          </w:p>
        </w:tc>
        <w:tc>
          <w:tcPr>
            <w:tcW w:w="720" w:type="dxa"/>
            <w:vAlign w:val="center"/>
          </w:tcPr>
          <w:p w14:paraId="7A8FB540">
            <w:pPr>
              <w:pStyle w:val="44"/>
              <w:rPr>
                <w:color w:val="auto"/>
              </w:rPr>
            </w:pPr>
          </w:p>
        </w:tc>
      </w:tr>
      <w:tr w14:paraId="74C7B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1258EADA">
            <w:pPr>
              <w:pStyle w:val="44"/>
              <w:rPr>
                <w:color w:val="auto"/>
              </w:rPr>
            </w:pPr>
            <w:r>
              <w:rPr>
                <w:color w:val="auto"/>
              </w:rPr>
              <w:t>5</w:t>
            </w:r>
          </w:p>
        </w:tc>
        <w:tc>
          <w:tcPr>
            <w:tcW w:w="543" w:type="dxa"/>
            <w:vMerge w:val="continue"/>
          </w:tcPr>
          <w:p w14:paraId="25352808">
            <w:pPr>
              <w:pStyle w:val="44"/>
              <w:rPr>
                <w:color w:val="auto"/>
              </w:rPr>
            </w:pPr>
          </w:p>
        </w:tc>
        <w:tc>
          <w:tcPr>
            <w:tcW w:w="898" w:type="dxa"/>
            <w:vAlign w:val="center"/>
          </w:tcPr>
          <w:p w14:paraId="363A2545">
            <w:pPr>
              <w:pStyle w:val="44"/>
              <w:rPr>
                <w:color w:val="auto"/>
              </w:rPr>
            </w:pPr>
            <w:r>
              <w:rPr>
                <w:rFonts w:hint="eastAsia"/>
                <w:color w:val="auto"/>
              </w:rPr>
              <w:t>护壁</w:t>
            </w:r>
          </w:p>
        </w:tc>
        <w:tc>
          <w:tcPr>
            <w:tcW w:w="5580" w:type="dxa"/>
            <w:vAlign w:val="center"/>
          </w:tcPr>
          <w:p w14:paraId="0030A95C">
            <w:pPr>
              <w:pStyle w:val="44"/>
              <w:jc w:val="left"/>
              <w:rPr>
                <w:color w:val="auto"/>
              </w:rPr>
            </w:pPr>
            <w:r>
              <w:rPr>
                <w:color w:val="auto"/>
              </w:rPr>
              <w:t>1</w:t>
            </w:r>
            <w:r>
              <w:rPr>
                <w:rFonts w:hint="eastAsia"/>
                <w:color w:val="auto"/>
              </w:rPr>
              <w:t>）第一节井圈护壁高出地面的距离低于</w:t>
            </w:r>
            <w:r>
              <w:rPr>
                <w:color w:val="auto"/>
              </w:rPr>
              <w:t>200mm</w:t>
            </w:r>
            <w:r>
              <w:rPr>
                <w:rFonts w:hint="eastAsia"/>
                <w:color w:val="auto"/>
              </w:rPr>
              <w:t>，扣</w:t>
            </w:r>
            <w:r>
              <w:rPr>
                <w:color w:val="auto"/>
              </w:rPr>
              <w:t>3</w:t>
            </w:r>
            <w:r>
              <w:rPr>
                <w:rFonts w:hint="eastAsia"/>
                <w:color w:val="auto"/>
              </w:rPr>
              <w:t>分</w:t>
            </w:r>
          </w:p>
          <w:p w14:paraId="17607F1E">
            <w:pPr>
              <w:pStyle w:val="44"/>
              <w:jc w:val="left"/>
              <w:rPr>
                <w:color w:val="auto"/>
              </w:rPr>
            </w:pPr>
            <w:r>
              <w:rPr>
                <w:color w:val="auto"/>
              </w:rPr>
              <w:t>2</w:t>
            </w:r>
            <w:r>
              <w:rPr>
                <w:rFonts w:hint="eastAsia"/>
                <w:color w:val="auto"/>
              </w:rPr>
              <w:t>）第一节井圈护壁未与首段护壁混凝土同时浇筑，扣</w:t>
            </w:r>
            <w:r>
              <w:rPr>
                <w:color w:val="auto"/>
              </w:rPr>
              <w:t>5</w:t>
            </w:r>
            <w:r>
              <w:rPr>
                <w:rFonts w:hint="eastAsia"/>
                <w:color w:val="auto"/>
              </w:rPr>
              <w:t>分</w:t>
            </w:r>
          </w:p>
          <w:p w14:paraId="684432AB">
            <w:pPr>
              <w:pStyle w:val="44"/>
              <w:jc w:val="left"/>
              <w:rPr>
                <w:color w:val="auto"/>
              </w:rPr>
            </w:pPr>
            <w:r>
              <w:rPr>
                <w:color w:val="auto"/>
              </w:rPr>
              <w:t>3</w:t>
            </w:r>
            <w:r>
              <w:rPr>
                <w:rFonts w:hint="eastAsia"/>
                <w:color w:val="auto"/>
              </w:rPr>
              <w:t>）护壁的厚度、混凝土强度等级、配筋不符合标准和设计的要求，扣</w:t>
            </w:r>
            <w:r>
              <w:rPr>
                <w:color w:val="auto"/>
              </w:rPr>
              <w:t>5-10</w:t>
            </w:r>
            <w:r>
              <w:rPr>
                <w:rFonts w:hint="eastAsia"/>
                <w:color w:val="auto"/>
              </w:rPr>
              <w:t>分</w:t>
            </w:r>
          </w:p>
          <w:p w14:paraId="6054430C">
            <w:pPr>
              <w:pStyle w:val="44"/>
              <w:jc w:val="left"/>
              <w:rPr>
                <w:color w:val="auto"/>
              </w:rPr>
            </w:pPr>
            <w:r>
              <w:rPr>
                <w:color w:val="auto"/>
              </w:rPr>
              <w:t>4</w:t>
            </w:r>
            <w:r>
              <w:rPr>
                <w:rFonts w:hint="eastAsia"/>
                <w:color w:val="auto"/>
              </w:rPr>
              <w:t>）护壁有蜂窝、空洞、露筋缺陷，或开裂后无补救措施，扣</w:t>
            </w:r>
            <w:r>
              <w:rPr>
                <w:color w:val="auto"/>
              </w:rPr>
              <w:t>2-5</w:t>
            </w:r>
            <w:r>
              <w:rPr>
                <w:rFonts w:hint="eastAsia"/>
                <w:color w:val="auto"/>
              </w:rPr>
              <w:t>分</w:t>
            </w:r>
          </w:p>
          <w:p w14:paraId="7C9DBBEB">
            <w:pPr>
              <w:pStyle w:val="44"/>
              <w:jc w:val="left"/>
              <w:rPr>
                <w:color w:val="auto"/>
              </w:rPr>
            </w:pPr>
            <w:r>
              <w:rPr>
                <w:color w:val="auto"/>
              </w:rPr>
              <w:t>5</w:t>
            </w:r>
            <w:r>
              <w:rPr>
                <w:rFonts w:hint="eastAsia"/>
                <w:color w:val="auto"/>
              </w:rPr>
              <w:t>）护壁混凝土采用人工搅拌，扣</w:t>
            </w:r>
            <w:r>
              <w:rPr>
                <w:color w:val="auto"/>
              </w:rPr>
              <w:t>5</w:t>
            </w:r>
            <w:r>
              <w:rPr>
                <w:rFonts w:hint="eastAsia"/>
                <w:color w:val="auto"/>
              </w:rPr>
              <w:t>分</w:t>
            </w:r>
          </w:p>
        </w:tc>
        <w:tc>
          <w:tcPr>
            <w:tcW w:w="720" w:type="dxa"/>
            <w:vAlign w:val="center"/>
          </w:tcPr>
          <w:p w14:paraId="0FDC7F41">
            <w:pPr>
              <w:pStyle w:val="44"/>
              <w:rPr>
                <w:color w:val="auto"/>
              </w:rPr>
            </w:pPr>
            <w:r>
              <w:rPr>
                <w:color w:val="auto"/>
              </w:rPr>
              <w:t>10</w:t>
            </w:r>
          </w:p>
        </w:tc>
        <w:tc>
          <w:tcPr>
            <w:tcW w:w="720" w:type="dxa"/>
            <w:vAlign w:val="center"/>
          </w:tcPr>
          <w:p w14:paraId="3F764A3F">
            <w:pPr>
              <w:pStyle w:val="44"/>
              <w:rPr>
                <w:color w:val="auto"/>
              </w:rPr>
            </w:pPr>
          </w:p>
        </w:tc>
        <w:tc>
          <w:tcPr>
            <w:tcW w:w="720" w:type="dxa"/>
            <w:vAlign w:val="center"/>
          </w:tcPr>
          <w:p w14:paraId="7D45FD2E">
            <w:pPr>
              <w:pStyle w:val="44"/>
              <w:rPr>
                <w:color w:val="auto"/>
              </w:rPr>
            </w:pPr>
          </w:p>
        </w:tc>
      </w:tr>
      <w:tr w14:paraId="3C05B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0F68AB2">
            <w:pPr>
              <w:pStyle w:val="44"/>
              <w:rPr>
                <w:color w:val="auto"/>
              </w:rPr>
            </w:pPr>
            <w:r>
              <w:rPr>
                <w:color w:val="auto"/>
              </w:rPr>
              <w:t>6</w:t>
            </w:r>
          </w:p>
        </w:tc>
        <w:tc>
          <w:tcPr>
            <w:tcW w:w="543" w:type="dxa"/>
            <w:vMerge w:val="continue"/>
            <w:vAlign w:val="center"/>
          </w:tcPr>
          <w:p w14:paraId="4F8A2B69">
            <w:pPr>
              <w:pStyle w:val="44"/>
              <w:rPr>
                <w:color w:val="auto"/>
              </w:rPr>
            </w:pPr>
          </w:p>
        </w:tc>
        <w:tc>
          <w:tcPr>
            <w:tcW w:w="898" w:type="dxa"/>
            <w:vAlign w:val="center"/>
          </w:tcPr>
          <w:p w14:paraId="6FAFB695">
            <w:pPr>
              <w:pStyle w:val="44"/>
              <w:rPr>
                <w:color w:val="auto"/>
              </w:rPr>
            </w:pPr>
            <w:r>
              <w:rPr>
                <w:rFonts w:hint="eastAsia"/>
                <w:color w:val="auto"/>
              </w:rPr>
              <w:t>提升设施</w:t>
            </w:r>
          </w:p>
        </w:tc>
        <w:tc>
          <w:tcPr>
            <w:tcW w:w="5580" w:type="dxa"/>
            <w:vAlign w:val="center"/>
          </w:tcPr>
          <w:p w14:paraId="220AF907">
            <w:pPr>
              <w:pStyle w:val="44"/>
              <w:jc w:val="left"/>
              <w:rPr>
                <w:color w:val="auto"/>
              </w:rPr>
            </w:pPr>
            <w:r>
              <w:rPr>
                <w:color w:val="auto"/>
              </w:rPr>
              <w:t>1</w:t>
            </w:r>
            <w:r>
              <w:rPr>
                <w:rFonts w:hint="eastAsia"/>
                <w:color w:val="auto"/>
              </w:rPr>
              <w:t>）提升设施的基础不坚固或有沉降，扣</w:t>
            </w:r>
            <w:r>
              <w:rPr>
                <w:color w:val="auto"/>
              </w:rPr>
              <w:t>2-5</w:t>
            </w:r>
            <w:r>
              <w:rPr>
                <w:rFonts w:hint="eastAsia"/>
                <w:color w:val="auto"/>
              </w:rPr>
              <w:t>分</w:t>
            </w:r>
          </w:p>
          <w:p w14:paraId="545CB5F7">
            <w:pPr>
              <w:pStyle w:val="44"/>
              <w:jc w:val="left"/>
              <w:rPr>
                <w:color w:val="auto"/>
              </w:rPr>
            </w:pPr>
            <w:r>
              <w:rPr>
                <w:color w:val="auto"/>
              </w:rPr>
              <w:t>2</w:t>
            </w:r>
            <w:r>
              <w:rPr>
                <w:rFonts w:hint="eastAsia"/>
                <w:color w:val="auto"/>
              </w:rPr>
              <w:t>）提升机架的搭设不符合专项施工方案的规定，或定型产品的安装不符合说明书的要求，扣</w:t>
            </w:r>
            <w:r>
              <w:rPr>
                <w:color w:val="auto"/>
              </w:rPr>
              <w:t>5-10</w:t>
            </w:r>
            <w:r>
              <w:rPr>
                <w:rFonts w:hint="eastAsia"/>
                <w:color w:val="auto"/>
              </w:rPr>
              <w:t>分</w:t>
            </w:r>
          </w:p>
          <w:p w14:paraId="527486BE">
            <w:pPr>
              <w:pStyle w:val="44"/>
              <w:jc w:val="left"/>
              <w:rPr>
                <w:color w:val="auto"/>
              </w:rPr>
            </w:pPr>
            <w:r>
              <w:rPr>
                <w:color w:val="auto"/>
              </w:rPr>
              <w:t>3</w:t>
            </w:r>
            <w:r>
              <w:rPr>
                <w:rFonts w:hint="eastAsia"/>
                <w:color w:val="auto"/>
              </w:rPr>
              <w:t>）提升机架有严重变形或锈蚀，扣</w:t>
            </w:r>
            <w:r>
              <w:rPr>
                <w:color w:val="auto"/>
              </w:rPr>
              <w:t>10</w:t>
            </w:r>
            <w:r>
              <w:rPr>
                <w:rFonts w:hint="eastAsia"/>
                <w:color w:val="auto"/>
              </w:rPr>
              <w:t>分</w:t>
            </w:r>
          </w:p>
          <w:p w14:paraId="250B5EBD">
            <w:pPr>
              <w:pStyle w:val="44"/>
              <w:jc w:val="left"/>
              <w:rPr>
                <w:color w:val="auto"/>
              </w:rPr>
            </w:pPr>
            <w:r>
              <w:rPr>
                <w:color w:val="auto"/>
              </w:rPr>
              <w:t>4</w:t>
            </w:r>
            <w:r>
              <w:rPr>
                <w:rFonts w:hint="eastAsia"/>
                <w:color w:val="auto"/>
              </w:rPr>
              <w:t>）底座无垫板，扣</w:t>
            </w:r>
            <w:r>
              <w:rPr>
                <w:color w:val="auto"/>
              </w:rPr>
              <w:t>5</w:t>
            </w:r>
            <w:r>
              <w:rPr>
                <w:rFonts w:hint="eastAsia"/>
                <w:color w:val="auto"/>
              </w:rPr>
              <w:t>分</w:t>
            </w:r>
          </w:p>
          <w:p w14:paraId="686C56CE">
            <w:pPr>
              <w:pStyle w:val="44"/>
              <w:jc w:val="left"/>
              <w:rPr>
                <w:color w:val="auto"/>
              </w:rPr>
            </w:pPr>
            <w:r>
              <w:rPr>
                <w:color w:val="auto"/>
              </w:rPr>
              <w:t>5</w:t>
            </w:r>
            <w:r>
              <w:rPr>
                <w:rFonts w:hint="eastAsia"/>
                <w:color w:val="auto"/>
              </w:rPr>
              <w:t>）吊绳、吊钩、电葫芦或卷扬机等的型号、规格不符合专项施工方案的要求，扣</w:t>
            </w:r>
            <w:r>
              <w:rPr>
                <w:color w:val="auto"/>
              </w:rPr>
              <w:t>10</w:t>
            </w:r>
            <w:r>
              <w:rPr>
                <w:rFonts w:hint="eastAsia"/>
                <w:color w:val="auto"/>
              </w:rPr>
              <w:t>分</w:t>
            </w:r>
          </w:p>
          <w:p w14:paraId="1F0E2588">
            <w:pPr>
              <w:pStyle w:val="44"/>
              <w:jc w:val="left"/>
              <w:rPr>
                <w:color w:val="auto"/>
              </w:rPr>
            </w:pPr>
            <w:r>
              <w:rPr>
                <w:color w:val="auto"/>
              </w:rPr>
              <w:t>6</w:t>
            </w:r>
            <w:r>
              <w:rPr>
                <w:rFonts w:hint="eastAsia"/>
                <w:color w:val="auto"/>
              </w:rPr>
              <w:t>）吊绳磨损超标，扣</w:t>
            </w:r>
            <w:r>
              <w:rPr>
                <w:color w:val="auto"/>
              </w:rPr>
              <w:t>10</w:t>
            </w:r>
            <w:r>
              <w:rPr>
                <w:rFonts w:hint="eastAsia"/>
                <w:color w:val="auto"/>
              </w:rPr>
              <w:t>分</w:t>
            </w:r>
          </w:p>
          <w:p w14:paraId="7F2217D6">
            <w:pPr>
              <w:pStyle w:val="44"/>
              <w:jc w:val="left"/>
              <w:rPr>
                <w:color w:val="auto"/>
              </w:rPr>
            </w:pPr>
            <w:r>
              <w:rPr>
                <w:color w:val="auto"/>
              </w:rPr>
              <w:t>7</w:t>
            </w:r>
            <w:r>
              <w:rPr>
                <w:rFonts w:hint="eastAsia"/>
                <w:color w:val="auto"/>
              </w:rPr>
              <w:t>）卷筒无自动卡紧保险装置或钢丝绳防脱装置，扣</w:t>
            </w:r>
            <w:r>
              <w:rPr>
                <w:color w:val="auto"/>
              </w:rPr>
              <w:t>10</w:t>
            </w:r>
            <w:r>
              <w:rPr>
                <w:rFonts w:hint="eastAsia"/>
                <w:color w:val="auto"/>
              </w:rPr>
              <w:t>分</w:t>
            </w:r>
          </w:p>
          <w:p w14:paraId="7EC98F72">
            <w:pPr>
              <w:pStyle w:val="44"/>
              <w:jc w:val="left"/>
              <w:rPr>
                <w:color w:val="auto"/>
              </w:rPr>
            </w:pPr>
            <w:r>
              <w:rPr>
                <w:color w:val="auto"/>
              </w:rPr>
              <w:t>8</w:t>
            </w:r>
            <w:r>
              <w:rPr>
                <w:rFonts w:hint="eastAsia"/>
                <w:color w:val="auto"/>
              </w:rPr>
              <w:t>）提升桶未采用钢制桶或吊耳及连接不牢固可靠，扣</w:t>
            </w:r>
            <w:r>
              <w:rPr>
                <w:color w:val="auto"/>
              </w:rPr>
              <w:t>5-10</w:t>
            </w:r>
            <w:r>
              <w:rPr>
                <w:rFonts w:hint="eastAsia"/>
                <w:color w:val="auto"/>
              </w:rPr>
              <w:t>分</w:t>
            </w:r>
          </w:p>
          <w:p w14:paraId="7276F8E2">
            <w:pPr>
              <w:pStyle w:val="44"/>
              <w:jc w:val="left"/>
              <w:rPr>
                <w:color w:val="auto"/>
              </w:rPr>
            </w:pPr>
            <w:r>
              <w:rPr>
                <w:color w:val="auto"/>
              </w:rPr>
              <w:t>9</w:t>
            </w:r>
            <w:r>
              <w:rPr>
                <w:rFonts w:hint="eastAsia"/>
                <w:color w:val="auto"/>
              </w:rPr>
              <w:t>）一次出土重量超过专项施工方案规定的最大重量，扣</w:t>
            </w:r>
            <w:r>
              <w:rPr>
                <w:color w:val="auto"/>
              </w:rPr>
              <w:t>5-10</w:t>
            </w:r>
            <w:r>
              <w:rPr>
                <w:rFonts w:hint="eastAsia"/>
                <w:color w:val="auto"/>
              </w:rPr>
              <w:t>分</w:t>
            </w:r>
          </w:p>
          <w:p w14:paraId="703841F9">
            <w:pPr>
              <w:pStyle w:val="44"/>
              <w:jc w:val="left"/>
              <w:rPr>
                <w:color w:val="auto"/>
              </w:rPr>
            </w:pPr>
            <w:r>
              <w:rPr>
                <w:color w:val="auto"/>
              </w:rPr>
              <w:t>10</w:t>
            </w:r>
            <w:r>
              <w:rPr>
                <w:rFonts w:hint="eastAsia"/>
                <w:color w:val="auto"/>
              </w:rPr>
              <w:t>）施工期间提升设施无每日检查与维护记录，扣</w:t>
            </w:r>
            <w:r>
              <w:rPr>
                <w:color w:val="auto"/>
              </w:rPr>
              <w:t>3</w:t>
            </w:r>
            <w:r>
              <w:rPr>
                <w:rFonts w:hint="eastAsia"/>
                <w:color w:val="auto"/>
              </w:rPr>
              <w:t>分</w:t>
            </w:r>
          </w:p>
        </w:tc>
        <w:tc>
          <w:tcPr>
            <w:tcW w:w="720" w:type="dxa"/>
            <w:vAlign w:val="center"/>
          </w:tcPr>
          <w:p w14:paraId="7E630C4B">
            <w:pPr>
              <w:pStyle w:val="44"/>
              <w:rPr>
                <w:color w:val="auto"/>
              </w:rPr>
            </w:pPr>
            <w:r>
              <w:rPr>
                <w:color w:val="auto"/>
              </w:rPr>
              <w:t>10</w:t>
            </w:r>
          </w:p>
        </w:tc>
        <w:tc>
          <w:tcPr>
            <w:tcW w:w="720" w:type="dxa"/>
            <w:vAlign w:val="center"/>
          </w:tcPr>
          <w:p w14:paraId="182A0380">
            <w:pPr>
              <w:pStyle w:val="44"/>
              <w:rPr>
                <w:color w:val="auto"/>
              </w:rPr>
            </w:pPr>
          </w:p>
        </w:tc>
        <w:tc>
          <w:tcPr>
            <w:tcW w:w="720" w:type="dxa"/>
            <w:vAlign w:val="center"/>
          </w:tcPr>
          <w:p w14:paraId="695D06F1">
            <w:pPr>
              <w:pStyle w:val="44"/>
              <w:rPr>
                <w:color w:val="auto"/>
              </w:rPr>
            </w:pPr>
          </w:p>
        </w:tc>
      </w:tr>
      <w:tr w14:paraId="63E43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9225C19">
            <w:pPr>
              <w:pStyle w:val="44"/>
              <w:rPr>
                <w:color w:val="auto"/>
              </w:rPr>
            </w:pPr>
            <w:r>
              <w:rPr>
                <w:color w:val="auto"/>
              </w:rPr>
              <w:t>7</w:t>
            </w:r>
          </w:p>
        </w:tc>
        <w:tc>
          <w:tcPr>
            <w:tcW w:w="543" w:type="dxa"/>
            <w:vMerge w:val="continue"/>
            <w:vAlign w:val="center"/>
          </w:tcPr>
          <w:p w14:paraId="53D8DE90">
            <w:pPr>
              <w:pStyle w:val="44"/>
              <w:rPr>
                <w:color w:val="auto"/>
              </w:rPr>
            </w:pPr>
          </w:p>
        </w:tc>
        <w:tc>
          <w:tcPr>
            <w:tcW w:w="898" w:type="dxa"/>
            <w:vAlign w:val="center"/>
          </w:tcPr>
          <w:p w14:paraId="39BEB8B3">
            <w:pPr>
              <w:pStyle w:val="44"/>
              <w:rPr>
                <w:color w:val="auto"/>
              </w:rPr>
            </w:pPr>
            <w:r>
              <w:rPr>
                <w:rFonts w:hint="eastAsia"/>
                <w:color w:val="auto"/>
              </w:rPr>
              <w:t>气体检测与通风</w:t>
            </w:r>
          </w:p>
        </w:tc>
        <w:tc>
          <w:tcPr>
            <w:tcW w:w="5580" w:type="dxa"/>
            <w:vAlign w:val="center"/>
          </w:tcPr>
          <w:p w14:paraId="7BE53D25">
            <w:pPr>
              <w:pStyle w:val="44"/>
              <w:jc w:val="left"/>
              <w:rPr>
                <w:color w:val="auto"/>
              </w:rPr>
            </w:pPr>
            <w:r>
              <w:rPr>
                <w:color w:val="auto"/>
              </w:rPr>
              <w:t>1</w:t>
            </w:r>
            <w:r>
              <w:rPr>
                <w:rFonts w:hint="eastAsia"/>
                <w:color w:val="auto"/>
              </w:rPr>
              <w:t>）挖孔桩施工过程中未按要求配备有毒有害气体检测仪，扣</w:t>
            </w:r>
            <w:r>
              <w:rPr>
                <w:color w:val="auto"/>
              </w:rPr>
              <w:t>10</w:t>
            </w:r>
            <w:r>
              <w:rPr>
                <w:rFonts w:hint="eastAsia"/>
                <w:color w:val="auto"/>
              </w:rPr>
              <w:t>分</w:t>
            </w:r>
          </w:p>
          <w:p w14:paraId="291D4D34">
            <w:pPr>
              <w:pStyle w:val="44"/>
              <w:jc w:val="left"/>
              <w:rPr>
                <w:color w:val="auto"/>
              </w:rPr>
            </w:pPr>
            <w:r>
              <w:rPr>
                <w:color w:val="auto"/>
              </w:rPr>
              <w:t>2</w:t>
            </w:r>
            <w:r>
              <w:rPr>
                <w:rFonts w:hint="eastAsia"/>
                <w:color w:val="auto"/>
              </w:rPr>
              <w:t>）人员每日下井工作前未进行井下气体检测，或无气体检测记录，扣</w:t>
            </w:r>
            <w:r>
              <w:rPr>
                <w:color w:val="auto"/>
              </w:rPr>
              <w:t>10</w:t>
            </w:r>
            <w:r>
              <w:rPr>
                <w:rFonts w:hint="eastAsia"/>
                <w:color w:val="auto"/>
              </w:rPr>
              <w:t>分</w:t>
            </w:r>
          </w:p>
          <w:p w14:paraId="796A6965">
            <w:pPr>
              <w:pStyle w:val="44"/>
              <w:jc w:val="left"/>
              <w:rPr>
                <w:color w:val="auto"/>
              </w:rPr>
            </w:pPr>
            <w:r>
              <w:rPr>
                <w:color w:val="auto"/>
              </w:rPr>
              <w:t>3</w:t>
            </w:r>
            <w:r>
              <w:rPr>
                <w:rFonts w:hint="eastAsia"/>
                <w:color w:val="auto"/>
              </w:rPr>
              <w:t>）当桩孔开挖深度超过</w:t>
            </w:r>
            <w:r>
              <w:rPr>
                <w:color w:val="auto"/>
              </w:rPr>
              <w:t>5m</w:t>
            </w:r>
            <w:r>
              <w:rPr>
                <w:rFonts w:hint="eastAsia"/>
                <w:color w:val="auto"/>
              </w:rPr>
              <w:t>或有特殊要求时未采用机械送风，或送风量小于</w:t>
            </w:r>
            <w:r>
              <w:rPr>
                <w:color w:val="auto"/>
              </w:rPr>
              <w:t>25L/s</w:t>
            </w:r>
            <w:r>
              <w:rPr>
                <w:rFonts w:hint="eastAsia"/>
                <w:color w:val="auto"/>
              </w:rPr>
              <w:t>，扣</w:t>
            </w:r>
            <w:r>
              <w:rPr>
                <w:color w:val="auto"/>
              </w:rPr>
              <w:t>10</w:t>
            </w:r>
            <w:r>
              <w:rPr>
                <w:rFonts w:hint="eastAsia"/>
                <w:color w:val="auto"/>
              </w:rPr>
              <w:t>分</w:t>
            </w:r>
          </w:p>
          <w:p w14:paraId="29337968">
            <w:pPr>
              <w:pStyle w:val="44"/>
              <w:jc w:val="left"/>
              <w:rPr>
                <w:color w:val="auto"/>
              </w:rPr>
            </w:pPr>
            <w:r>
              <w:rPr>
                <w:color w:val="auto"/>
              </w:rPr>
              <w:t>4</w:t>
            </w:r>
            <w:r>
              <w:rPr>
                <w:rFonts w:hint="eastAsia"/>
                <w:color w:val="auto"/>
              </w:rPr>
              <w:t>）桩孔在清渣、安装钢筋等井下作业时，未保持与桩孔开挖时的送风量，扣</w:t>
            </w:r>
            <w:r>
              <w:rPr>
                <w:color w:val="auto"/>
              </w:rPr>
              <w:t>5-10</w:t>
            </w:r>
            <w:r>
              <w:rPr>
                <w:rFonts w:hint="eastAsia"/>
                <w:color w:val="auto"/>
              </w:rPr>
              <w:t>分</w:t>
            </w:r>
          </w:p>
        </w:tc>
        <w:tc>
          <w:tcPr>
            <w:tcW w:w="720" w:type="dxa"/>
            <w:vAlign w:val="center"/>
          </w:tcPr>
          <w:p w14:paraId="4D12C084">
            <w:pPr>
              <w:pStyle w:val="44"/>
              <w:rPr>
                <w:color w:val="auto"/>
              </w:rPr>
            </w:pPr>
            <w:r>
              <w:rPr>
                <w:color w:val="auto"/>
              </w:rPr>
              <w:t>10</w:t>
            </w:r>
          </w:p>
        </w:tc>
        <w:tc>
          <w:tcPr>
            <w:tcW w:w="720" w:type="dxa"/>
            <w:vAlign w:val="center"/>
          </w:tcPr>
          <w:p w14:paraId="5B82ED22">
            <w:pPr>
              <w:pStyle w:val="44"/>
              <w:rPr>
                <w:color w:val="auto"/>
              </w:rPr>
            </w:pPr>
          </w:p>
        </w:tc>
        <w:tc>
          <w:tcPr>
            <w:tcW w:w="720" w:type="dxa"/>
            <w:vAlign w:val="center"/>
          </w:tcPr>
          <w:p w14:paraId="3AC9759F">
            <w:pPr>
              <w:pStyle w:val="44"/>
              <w:rPr>
                <w:color w:val="auto"/>
              </w:rPr>
            </w:pPr>
          </w:p>
        </w:tc>
      </w:tr>
      <w:tr w14:paraId="52CE7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35D77817">
            <w:pPr>
              <w:pStyle w:val="44"/>
              <w:rPr>
                <w:color w:val="auto"/>
              </w:rPr>
            </w:pPr>
          </w:p>
        </w:tc>
        <w:tc>
          <w:tcPr>
            <w:tcW w:w="543" w:type="dxa"/>
            <w:vMerge w:val="continue"/>
          </w:tcPr>
          <w:p w14:paraId="2C0713D3">
            <w:pPr>
              <w:pStyle w:val="44"/>
              <w:rPr>
                <w:color w:val="auto"/>
              </w:rPr>
            </w:pPr>
          </w:p>
        </w:tc>
        <w:tc>
          <w:tcPr>
            <w:tcW w:w="6478" w:type="dxa"/>
            <w:gridSpan w:val="2"/>
            <w:vAlign w:val="center"/>
          </w:tcPr>
          <w:p w14:paraId="4CC08E14">
            <w:pPr>
              <w:pStyle w:val="44"/>
              <w:rPr>
                <w:b/>
                <w:bCs w:val="0"/>
                <w:color w:val="auto"/>
              </w:rPr>
            </w:pPr>
            <w:r>
              <w:rPr>
                <w:rFonts w:hint="eastAsia"/>
                <w:b/>
                <w:bCs w:val="0"/>
                <w:color w:val="auto"/>
              </w:rPr>
              <w:t>小</w:t>
            </w:r>
            <w:r>
              <w:rPr>
                <w:b/>
                <w:bCs w:val="0"/>
                <w:color w:val="auto"/>
              </w:rPr>
              <w:t xml:space="preserve">  </w:t>
            </w:r>
            <w:r>
              <w:rPr>
                <w:rFonts w:hint="eastAsia"/>
                <w:b/>
                <w:bCs w:val="0"/>
                <w:color w:val="auto"/>
              </w:rPr>
              <w:t>计</w:t>
            </w:r>
          </w:p>
        </w:tc>
        <w:tc>
          <w:tcPr>
            <w:tcW w:w="720" w:type="dxa"/>
            <w:vAlign w:val="center"/>
          </w:tcPr>
          <w:p w14:paraId="2715ECBC">
            <w:pPr>
              <w:pStyle w:val="44"/>
              <w:rPr>
                <w:color w:val="auto"/>
              </w:rPr>
            </w:pPr>
            <w:r>
              <w:rPr>
                <w:color w:val="auto"/>
              </w:rPr>
              <w:t>70</w:t>
            </w:r>
          </w:p>
        </w:tc>
        <w:tc>
          <w:tcPr>
            <w:tcW w:w="720" w:type="dxa"/>
            <w:vAlign w:val="center"/>
          </w:tcPr>
          <w:p w14:paraId="665BEBD0">
            <w:pPr>
              <w:pStyle w:val="44"/>
              <w:rPr>
                <w:color w:val="auto"/>
              </w:rPr>
            </w:pPr>
          </w:p>
        </w:tc>
        <w:tc>
          <w:tcPr>
            <w:tcW w:w="720" w:type="dxa"/>
            <w:vAlign w:val="center"/>
          </w:tcPr>
          <w:p w14:paraId="49CE278F">
            <w:pPr>
              <w:pStyle w:val="44"/>
              <w:rPr>
                <w:color w:val="auto"/>
              </w:rPr>
            </w:pPr>
          </w:p>
        </w:tc>
      </w:tr>
      <w:tr w14:paraId="287F8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310B6911">
            <w:pPr>
              <w:pStyle w:val="44"/>
              <w:rPr>
                <w:color w:val="auto"/>
              </w:rPr>
            </w:pPr>
            <w:r>
              <w:rPr>
                <w:color w:val="auto"/>
              </w:rPr>
              <w:t>1</w:t>
            </w:r>
          </w:p>
        </w:tc>
        <w:tc>
          <w:tcPr>
            <w:tcW w:w="543" w:type="dxa"/>
            <w:vMerge w:val="restart"/>
            <w:vAlign w:val="center"/>
          </w:tcPr>
          <w:p w14:paraId="72154FAC">
            <w:pPr>
              <w:pStyle w:val="44"/>
              <w:rPr>
                <w:color w:val="auto"/>
              </w:rPr>
            </w:pPr>
            <w:r>
              <w:rPr>
                <w:rFonts w:hint="eastAsia"/>
                <w:color w:val="auto"/>
              </w:rPr>
              <w:t>一</w:t>
            </w:r>
          </w:p>
          <w:p w14:paraId="50F4F017">
            <w:pPr>
              <w:pStyle w:val="44"/>
              <w:rPr>
                <w:color w:val="auto"/>
              </w:rPr>
            </w:pPr>
            <w:r>
              <w:rPr>
                <w:rFonts w:hint="eastAsia"/>
                <w:color w:val="auto"/>
              </w:rPr>
              <w:t>般</w:t>
            </w:r>
          </w:p>
          <w:p w14:paraId="23CED77A">
            <w:pPr>
              <w:pStyle w:val="44"/>
              <w:rPr>
                <w:color w:val="auto"/>
              </w:rPr>
            </w:pPr>
            <w:r>
              <w:rPr>
                <w:rFonts w:hint="eastAsia"/>
                <w:color w:val="auto"/>
              </w:rPr>
              <w:t>项</w:t>
            </w:r>
          </w:p>
          <w:p w14:paraId="6411B952">
            <w:pPr>
              <w:pStyle w:val="44"/>
              <w:rPr>
                <w:color w:val="auto"/>
              </w:rPr>
            </w:pPr>
            <w:r>
              <w:rPr>
                <w:rFonts w:hint="eastAsia"/>
                <w:color w:val="auto"/>
              </w:rPr>
              <w:t>目</w:t>
            </w:r>
          </w:p>
        </w:tc>
        <w:tc>
          <w:tcPr>
            <w:tcW w:w="898" w:type="dxa"/>
            <w:vAlign w:val="center"/>
          </w:tcPr>
          <w:p w14:paraId="06B3537D">
            <w:pPr>
              <w:pStyle w:val="44"/>
              <w:rPr>
                <w:color w:val="auto"/>
              </w:rPr>
            </w:pPr>
            <w:r>
              <w:rPr>
                <w:rFonts w:hint="eastAsia"/>
                <w:color w:val="auto"/>
              </w:rPr>
              <w:t>上下梯道</w:t>
            </w:r>
          </w:p>
        </w:tc>
        <w:tc>
          <w:tcPr>
            <w:tcW w:w="5580" w:type="dxa"/>
            <w:vAlign w:val="center"/>
          </w:tcPr>
          <w:p w14:paraId="7E6BEFB9">
            <w:pPr>
              <w:pStyle w:val="44"/>
              <w:jc w:val="left"/>
              <w:rPr>
                <w:color w:val="auto"/>
              </w:rPr>
            </w:pPr>
            <w:r>
              <w:rPr>
                <w:color w:val="auto"/>
              </w:rPr>
              <w:t>1</w:t>
            </w:r>
            <w:r>
              <w:rPr>
                <w:rFonts w:hint="eastAsia"/>
                <w:color w:val="auto"/>
              </w:rPr>
              <w:t>）井身超过</w:t>
            </w:r>
            <w:r>
              <w:rPr>
                <w:color w:val="auto"/>
              </w:rPr>
              <w:t>2m</w:t>
            </w:r>
            <w:r>
              <w:rPr>
                <w:rFonts w:hint="eastAsia"/>
                <w:color w:val="auto"/>
              </w:rPr>
              <w:t>时，桩孔内未设置刚性爬梯，扣</w:t>
            </w:r>
            <w:r>
              <w:rPr>
                <w:color w:val="auto"/>
              </w:rPr>
              <w:t>10</w:t>
            </w:r>
            <w:r>
              <w:rPr>
                <w:rFonts w:hint="eastAsia"/>
                <w:color w:val="auto"/>
              </w:rPr>
              <w:t>分</w:t>
            </w:r>
          </w:p>
          <w:p w14:paraId="38D67B37">
            <w:pPr>
              <w:pStyle w:val="44"/>
              <w:jc w:val="left"/>
              <w:rPr>
                <w:color w:val="auto"/>
              </w:rPr>
            </w:pPr>
            <w:r>
              <w:rPr>
                <w:color w:val="auto"/>
              </w:rPr>
              <w:t>2</w:t>
            </w:r>
            <w:r>
              <w:rPr>
                <w:rFonts w:hint="eastAsia"/>
                <w:color w:val="auto"/>
              </w:rPr>
              <w:t>）上下爬梯不符合标准和专项施工方案的要求，扣</w:t>
            </w:r>
            <w:r>
              <w:rPr>
                <w:color w:val="auto"/>
              </w:rPr>
              <w:t>2-5</w:t>
            </w:r>
            <w:r>
              <w:rPr>
                <w:rFonts w:hint="eastAsia"/>
                <w:color w:val="auto"/>
              </w:rPr>
              <w:t>分</w:t>
            </w:r>
          </w:p>
          <w:p w14:paraId="14FE336A">
            <w:pPr>
              <w:pStyle w:val="44"/>
              <w:jc w:val="left"/>
              <w:rPr>
                <w:color w:val="auto"/>
              </w:rPr>
            </w:pPr>
            <w:r>
              <w:rPr>
                <w:color w:val="auto"/>
              </w:rPr>
              <w:t>3</w:t>
            </w:r>
            <w:r>
              <w:rPr>
                <w:rFonts w:hint="eastAsia"/>
                <w:color w:val="auto"/>
              </w:rPr>
              <w:t>）作业人员乘坐吊桶或攀爬护壁上下，扣除</w:t>
            </w:r>
            <w:r>
              <w:rPr>
                <w:color w:val="auto"/>
              </w:rPr>
              <w:t>10</w:t>
            </w:r>
            <w:r>
              <w:rPr>
                <w:rFonts w:hint="eastAsia"/>
                <w:color w:val="auto"/>
              </w:rPr>
              <w:t>分</w:t>
            </w:r>
          </w:p>
        </w:tc>
        <w:tc>
          <w:tcPr>
            <w:tcW w:w="720" w:type="dxa"/>
            <w:vAlign w:val="center"/>
          </w:tcPr>
          <w:p w14:paraId="4792239A">
            <w:pPr>
              <w:pStyle w:val="44"/>
              <w:rPr>
                <w:color w:val="auto"/>
              </w:rPr>
            </w:pPr>
            <w:r>
              <w:rPr>
                <w:color w:val="auto"/>
              </w:rPr>
              <w:t>10</w:t>
            </w:r>
          </w:p>
        </w:tc>
        <w:tc>
          <w:tcPr>
            <w:tcW w:w="720" w:type="dxa"/>
            <w:vAlign w:val="center"/>
          </w:tcPr>
          <w:p w14:paraId="0B3A3578">
            <w:pPr>
              <w:pStyle w:val="44"/>
              <w:rPr>
                <w:color w:val="auto"/>
              </w:rPr>
            </w:pPr>
          </w:p>
        </w:tc>
        <w:tc>
          <w:tcPr>
            <w:tcW w:w="720" w:type="dxa"/>
            <w:vAlign w:val="center"/>
          </w:tcPr>
          <w:p w14:paraId="40E8B862">
            <w:pPr>
              <w:pStyle w:val="44"/>
              <w:rPr>
                <w:color w:val="auto"/>
              </w:rPr>
            </w:pPr>
          </w:p>
        </w:tc>
      </w:tr>
      <w:tr w14:paraId="7D6F8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376814A3">
            <w:pPr>
              <w:pStyle w:val="44"/>
              <w:rPr>
                <w:color w:val="auto"/>
              </w:rPr>
            </w:pPr>
            <w:r>
              <w:rPr>
                <w:color w:val="auto"/>
              </w:rPr>
              <w:t>2</w:t>
            </w:r>
          </w:p>
        </w:tc>
        <w:tc>
          <w:tcPr>
            <w:tcW w:w="543" w:type="dxa"/>
            <w:vMerge w:val="continue"/>
          </w:tcPr>
          <w:p w14:paraId="32C0C53F">
            <w:pPr>
              <w:pStyle w:val="44"/>
              <w:rPr>
                <w:color w:val="auto"/>
              </w:rPr>
            </w:pPr>
          </w:p>
        </w:tc>
        <w:tc>
          <w:tcPr>
            <w:tcW w:w="898" w:type="dxa"/>
            <w:vAlign w:val="center"/>
          </w:tcPr>
          <w:p w14:paraId="44CE16B9">
            <w:pPr>
              <w:pStyle w:val="44"/>
              <w:rPr>
                <w:color w:val="auto"/>
              </w:rPr>
            </w:pPr>
            <w:r>
              <w:rPr>
                <w:rFonts w:hint="eastAsia"/>
                <w:color w:val="auto"/>
              </w:rPr>
              <w:t>安全防护</w:t>
            </w:r>
          </w:p>
        </w:tc>
        <w:tc>
          <w:tcPr>
            <w:tcW w:w="5580" w:type="dxa"/>
            <w:vAlign w:val="center"/>
          </w:tcPr>
          <w:p w14:paraId="424B11D3">
            <w:pPr>
              <w:pStyle w:val="44"/>
              <w:jc w:val="left"/>
              <w:rPr>
                <w:color w:val="auto"/>
              </w:rPr>
            </w:pPr>
            <w:r>
              <w:rPr>
                <w:color w:val="auto"/>
              </w:rPr>
              <w:t>1</w:t>
            </w:r>
            <w:r>
              <w:rPr>
                <w:rFonts w:hint="eastAsia"/>
                <w:color w:val="auto"/>
              </w:rPr>
              <w:t>）孔口和孔壁附着物未固定牢固，扣</w:t>
            </w:r>
            <w:r>
              <w:rPr>
                <w:color w:val="auto"/>
              </w:rPr>
              <w:t>10</w:t>
            </w:r>
            <w:r>
              <w:rPr>
                <w:rFonts w:hint="eastAsia"/>
                <w:color w:val="auto"/>
              </w:rPr>
              <w:t>分</w:t>
            </w:r>
          </w:p>
          <w:p w14:paraId="36E77187">
            <w:pPr>
              <w:pStyle w:val="44"/>
              <w:jc w:val="left"/>
              <w:rPr>
                <w:color w:val="auto"/>
              </w:rPr>
            </w:pPr>
            <w:r>
              <w:rPr>
                <w:color w:val="auto"/>
              </w:rPr>
              <w:t>2</w:t>
            </w:r>
            <w:r>
              <w:rPr>
                <w:rFonts w:hint="eastAsia"/>
                <w:color w:val="auto"/>
              </w:rPr>
              <w:t>）停止作业时未对孔口加盖板防护，扣</w:t>
            </w:r>
            <w:r>
              <w:rPr>
                <w:color w:val="auto"/>
              </w:rPr>
              <w:t>10</w:t>
            </w:r>
            <w:r>
              <w:rPr>
                <w:rFonts w:hint="eastAsia"/>
                <w:color w:val="auto"/>
              </w:rPr>
              <w:t>分</w:t>
            </w:r>
          </w:p>
          <w:p w14:paraId="09C223D9">
            <w:pPr>
              <w:pStyle w:val="44"/>
              <w:jc w:val="left"/>
              <w:rPr>
                <w:color w:val="auto"/>
              </w:rPr>
            </w:pPr>
            <w:r>
              <w:rPr>
                <w:color w:val="auto"/>
              </w:rPr>
              <w:t>3</w:t>
            </w:r>
            <w:r>
              <w:rPr>
                <w:rFonts w:hint="eastAsia"/>
                <w:color w:val="auto"/>
              </w:rPr>
              <w:t>）井口防护盖板不符合标准和专项施工方案要求，扣</w:t>
            </w:r>
            <w:r>
              <w:rPr>
                <w:color w:val="auto"/>
              </w:rPr>
              <w:t>2-5</w:t>
            </w:r>
            <w:r>
              <w:rPr>
                <w:rFonts w:hint="eastAsia"/>
                <w:color w:val="auto"/>
              </w:rPr>
              <w:t>分</w:t>
            </w:r>
          </w:p>
          <w:p w14:paraId="64271519">
            <w:pPr>
              <w:pStyle w:val="44"/>
              <w:jc w:val="left"/>
              <w:rPr>
                <w:color w:val="auto"/>
              </w:rPr>
            </w:pPr>
            <w:r>
              <w:rPr>
                <w:color w:val="auto"/>
              </w:rPr>
              <w:t>4</w:t>
            </w:r>
            <w:r>
              <w:rPr>
                <w:rFonts w:hint="eastAsia"/>
                <w:color w:val="auto"/>
              </w:rPr>
              <w:t>）井口及周边未采取满足标准要求的防护措施，或未设立警示标志，扣</w:t>
            </w:r>
            <w:r>
              <w:rPr>
                <w:color w:val="auto"/>
              </w:rPr>
              <w:t>5</w:t>
            </w:r>
            <w:r>
              <w:rPr>
                <w:rFonts w:hint="eastAsia"/>
                <w:color w:val="auto"/>
              </w:rPr>
              <w:t>分</w:t>
            </w:r>
          </w:p>
          <w:p w14:paraId="58780B61">
            <w:pPr>
              <w:pStyle w:val="44"/>
              <w:jc w:val="left"/>
              <w:rPr>
                <w:color w:val="auto"/>
              </w:rPr>
            </w:pPr>
            <w:r>
              <w:rPr>
                <w:color w:val="auto"/>
              </w:rPr>
              <w:t>5</w:t>
            </w:r>
            <w:r>
              <w:rPr>
                <w:rFonts w:hint="eastAsia"/>
                <w:color w:val="auto"/>
              </w:rPr>
              <w:t>）井身超过</w:t>
            </w:r>
            <w:r>
              <w:rPr>
                <w:color w:val="auto"/>
              </w:rPr>
              <w:t>5m</w:t>
            </w:r>
            <w:r>
              <w:rPr>
                <w:rFonts w:hint="eastAsia"/>
                <w:color w:val="auto"/>
              </w:rPr>
              <w:t>时，井下未设置防止物体打击的护盖，扣</w:t>
            </w:r>
            <w:r>
              <w:rPr>
                <w:color w:val="auto"/>
              </w:rPr>
              <w:t>10</w:t>
            </w:r>
            <w:r>
              <w:rPr>
                <w:rFonts w:hint="eastAsia"/>
                <w:color w:val="auto"/>
              </w:rPr>
              <w:t>分</w:t>
            </w:r>
          </w:p>
          <w:p w14:paraId="054127C4">
            <w:pPr>
              <w:pStyle w:val="44"/>
              <w:jc w:val="left"/>
              <w:rPr>
                <w:color w:val="auto"/>
              </w:rPr>
            </w:pPr>
            <w:r>
              <w:rPr>
                <w:color w:val="auto"/>
              </w:rPr>
              <w:t>6</w:t>
            </w:r>
            <w:r>
              <w:rPr>
                <w:rFonts w:hint="eastAsia"/>
                <w:color w:val="auto"/>
              </w:rPr>
              <w:t>）护盖位置、高度或构造不符合要求，扣</w:t>
            </w:r>
            <w:r>
              <w:rPr>
                <w:color w:val="auto"/>
              </w:rPr>
              <w:t>5</w:t>
            </w:r>
            <w:r>
              <w:rPr>
                <w:rFonts w:hint="eastAsia"/>
                <w:color w:val="auto"/>
              </w:rPr>
              <w:t>分</w:t>
            </w:r>
          </w:p>
        </w:tc>
        <w:tc>
          <w:tcPr>
            <w:tcW w:w="720" w:type="dxa"/>
            <w:vAlign w:val="center"/>
          </w:tcPr>
          <w:p w14:paraId="605EB5F8">
            <w:pPr>
              <w:pStyle w:val="44"/>
              <w:rPr>
                <w:color w:val="auto"/>
              </w:rPr>
            </w:pPr>
            <w:r>
              <w:rPr>
                <w:color w:val="auto"/>
              </w:rPr>
              <w:t>10</w:t>
            </w:r>
          </w:p>
        </w:tc>
        <w:tc>
          <w:tcPr>
            <w:tcW w:w="720" w:type="dxa"/>
            <w:vAlign w:val="center"/>
          </w:tcPr>
          <w:p w14:paraId="51AED872">
            <w:pPr>
              <w:pStyle w:val="44"/>
              <w:rPr>
                <w:color w:val="auto"/>
              </w:rPr>
            </w:pPr>
          </w:p>
        </w:tc>
        <w:tc>
          <w:tcPr>
            <w:tcW w:w="720" w:type="dxa"/>
            <w:vAlign w:val="center"/>
          </w:tcPr>
          <w:p w14:paraId="28B62BE1">
            <w:pPr>
              <w:pStyle w:val="44"/>
              <w:rPr>
                <w:color w:val="auto"/>
              </w:rPr>
            </w:pPr>
          </w:p>
        </w:tc>
      </w:tr>
      <w:tr w14:paraId="136B8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521C2D4">
            <w:pPr>
              <w:pStyle w:val="44"/>
              <w:rPr>
                <w:color w:val="auto"/>
              </w:rPr>
            </w:pPr>
            <w:r>
              <w:rPr>
                <w:color w:val="auto"/>
              </w:rPr>
              <w:t>3</w:t>
            </w:r>
          </w:p>
        </w:tc>
        <w:tc>
          <w:tcPr>
            <w:tcW w:w="543" w:type="dxa"/>
            <w:vMerge w:val="continue"/>
          </w:tcPr>
          <w:p w14:paraId="5217D346">
            <w:pPr>
              <w:pStyle w:val="44"/>
              <w:rPr>
                <w:color w:val="auto"/>
              </w:rPr>
            </w:pPr>
          </w:p>
        </w:tc>
        <w:tc>
          <w:tcPr>
            <w:tcW w:w="898" w:type="dxa"/>
            <w:vAlign w:val="center"/>
          </w:tcPr>
          <w:p w14:paraId="5B6244B3">
            <w:pPr>
              <w:pStyle w:val="44"/>
              <w:rPr>
                <w:color w:val="auto"/>
              </w:rPr>
            </w:pPr>
            <w:r>
              <w:rPr>
                <w:rFonts w:hint="eastAsia"/>
                <w:color w:val="auto"/>
              </w:rPr>
              <w:t>劳动保障</w:t>
            </w:r>
          </w:p>
        </w:tc>
        <w:tc>
          <w:tcPr>
            <w:tcW w:w="5580" w:type="dxa"/>
            <w:vAlign w:val="center"/>
          </w:tcPr>
          <w:p w14:paraId="5061974C">
            <w:pPr>
              <w:pStyle w:val="44"/>
              <w:jc w:val="left"/>
              <w:rPr>
                <w:color w:val="auto"/>
              </w:rPr>
            </w:pPr>
            <w:r>
              <w:rPr>
                <w:color w:val="auto"/>
              </w:rPr>
              <w:t>1</w:t>
            </w:r>
            <w:r>
              <w:rPr>
                <w:rFonts w:hint="eastAsia"/>
                <w:color w:val="auto"/>
              </w:rPr>
              <w:t>）人员作业及上下时未正确穿戴个人防护用品，扣</w:t>
            </w:r>
            <w:r>
              <w:rPr>
                <w:color w:val="auto"/>
              </w:rPr>
              <w:t>5-8</w:t>
            </w:r>
            <w:r>
              <w:rPr>
                <w:rFonts w:hint="eastAsia"/>
                <w:color w:val="auto"/>
              </w:rPr>
              <w:t>分</w:t>
            </w:r>
          </w:p>
          <w:p w14:paraId="36B5B022">
            <w:pPr>
              <w:pStyle w:val="44"/>
              <w:jc w:val="left"/>
              <w:rPr>
                <w:color w:val="auto"/>
              </w:rPr>
            </w:pPr>
            <w:r>
              <w:rPr>
                <w:color w:val="auto"/>
              </w:rPr>
              <w:t>2</w:t>
            </w:r>
            <w:r>
              <w:rPr>
                <w:rFonts w:hint="eastAsia"/>
                <w:color w:val="auto"/>
              </w:rPr>
              <w:t>）桩内照明电压大于</w:t>
            </w:r>
            <w:r>
              <w:rPr>
                <w:color w:val="auto"/>
              </w:rPr>
              <w:t>24V</w:t>
            </w:r>
            <w:r>
              <w:rPr>
                <w:rFonts w:hint="eastAsia"/>
                <w:color w:val="auto"/>
              </w:rPr>
              <w:t>，扣</w:t>
            </w:r>
            <w:r>
              <w:rPr>
                <w:color w:val="auto"/>
              </w:rPr>
              <w:t>5</w:t>
            </w:r>
            <w:r>
              <w:rPr>
                <w:rFonts w:hint="eastAsia"/>
                <w:color w:val="auto"/>
              </w:rPr>
              <w:t>分</w:t>
            </w:r>
          </w:p>
          <w:p w14:paraId="31208D16">
            <w:pPr>
              <w:pStyle w:val="44"/>
              <w:jc w:val="left"/>
              <w:rPr>
                <w:color w:val="auto"/>
              </w:rPr>
            </w:pPr>
            <w:r>
              <w:rPr>
                <w:color w:val="auto"/>
              </w:rPr>
              <w:t>3</w:t>
            </w:r>
            <w:r>
              <w:rPr>
                <w:rFonts w:hint="eastAsia"/>
                <w:color w:val="auto"/>
              </w:rPr>
              <w:t>）井下人员连续作业时间超过</w:t>
            </w:r>
            <w:r>
              <w:rPr>
                <w:color w:val="auto"/>
              </w:rPr>
              <w:t>4</w:t>
            </w:r>
            <w:r>
              <w:rPr>
                <w:rFonts w:hint="eastAsia"/>
                <w:color w:val="auto"/>
              </w:rPr>
              <w:t>小时，扣</w:t>
            </w:r>
            <w:r>
              <w:rPr>
                <w:color w:val="auto"/>
              </w:rPr>
              <w:t>8</w:t>
            </w:r>
            <w:r>
              <w:rPr>
                <w:rFonts w:hint="eastAsia"/>
                <w:color w:val="auto"/>
              </w:rPr>
              <w:t>分</w:t>
            </w:r>
          </w:p>
          <w:p w14:paraId="053A540F">
            <w:pPr>
              <w:pStyle w:val="44"/>
              <w:jc w:val="left"/>
              <w:rPr>
                <w:color w:val="auto"/>
              </w:rPr>
            </w:pPr>
            <w:r>
              <w:rPr>
                <w:color w:val="auto"/>
              </w:rPr>
              <w:t>4</w:t>
            </w:r>
            <w:r>
              <w:rPr>
                <w:rFonts w:hint="eastAsia"/>
                <w:color w:val="auto"/>
              </w:rPr>
              <w:t>）桩口未设有监护人员，或未与桩内人员适时通话，扣</w:t>
            </w:r>
            <w:r>
              <w:rPr>
                <w:color w:val="auto"/>
              </w:rPr>
              <w:t>5</w:t>
            </w:r>
            <w:r>
              <w:rPr>
                <w:rFonts w:hint="eastAsia"/>
                <w:color w:val="auto"/>
              </w:rPr>
              <w:t>分</w:t>
            </w:r>
          </w:p>
        </w:tc>
        <w:tc>
          <w:tcPr>
            <w:tcW w:w="720" w:type="dxa"/>
            <w:vAlign w:val="center"/>
          </w:tcPr>
          <w:p w14:paraId="5B2D8C0F">
            <w:pPr>
              <w:pStyle w:val="44"/>
              <w:rPr>
                <w:color w:val="auto"/>
              </w:rPr>
            </w:pPr>
            <w:r>
              <w:rPr>
                <w:color w:val="auto"/>
              </w:rPr>
              <w:t>10</w:t>
            </w:r>
          </w:p>
        </w:tc>
        <w:tc>
          <w:tcPr>
            <w:tcW w:w="720" w:type="dxa"/>
            <w:vAlign w:val="center"/>
          </w:tcPr>
          <w:p w14:paraId="13E12EB2">
            <w:pPr>
              <w:pStyle w:val="44"/>
              <w:rPr>
                <w:color w:val="auto"/>
              </w:rPr>
            </w:pPr>
          </w:p>
        </w:tc>
        <w:tc>
          <w:tcPr>
            <w:tcW w:w="720" w:type="dxa"/>
            <w:vAlign w:val="center"/>
          </w:tcPr>
          <w:p w14:paraId="6320F1FF">
            <w:pPr>
              <w:pStyle w:val="44"/>
              <w:rPr>
                <w:color w:val="auto"/>
              </w:rPr>
            </w:pPr>
          </w:p>
        </w:tc>
      </w:tr>
      <w:tr w14:paraId="14A5B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0CB6AE2">
            <w:pPr>
              <w:pStyle w:val="44"/>
              <w:rPr>
                <w:color w:val="auto"/>
              </w:rPr>
            </w:pPr>
          </w:p>
        </w:tc>
        <w:tc>
          <w:tcPr>
            <w:tcW w:w="543" w:type="dxa"/>
            <w:vMerge w:val="continue"/>
          </w:tcPr>
          <w:p w14:paraId="2811615F">
            <w:pPr>
              <w:pStyle w:val="44"/>
              <w:rPr>
                <w:color w:val="auto"/>
              </w:rPr>
            </w:pPr>
          </w:p>
        </w:tc>
        <w:tc>
          <w:tcPr>
            <w:tcW w:w="6478" w:type="dxa"/>
            <w:gridSpan w:val="2"/>
            <w:vAlign w:val="center"/>
          </w:tcPr>
          <w:p w14:paraId="45BBA758">
            <w:pPr>
              <w:pStyle w:val="44"/>
              <w:rPr>
                <w:b/>
                <w:bCs w:val="0"/>
                <w:color w:val="auto"/>
              </w:rPr>
            </w:pPr>
            <w:r>
              <w:rPr>
                <w:rFonts w:hint="eastAsia"/>
                <w:b/>
                <w:bCs w:val="0"/>
                <w:color w:val="auto"/>
              </w:rPr>
              <w:t>小</w:t>
            </w:r>
            <w:r>
              <w:rPr>
                <w:b/>
                <w:bCs w:val="0"/>
                <w:color w:val="auto"/>
              </w:rPr>
              <w:t xml:space="preserve">  </w:t>
            </w:r>
            <w:r>
              <w:rPr>
                <w:rFonts w:hint="eastAsia"/>
                <w:b/>
                <w:bCs w:val="0"/>
                <w:color w:val="auto"/>
              </w:rPr>
              <w:t>计</w:t>
            </w:r>
          </w:p>
        </w:tc>
        <w:tc>
          <w:tcPr>
            <w:tcW w:w="720" w:type="dxa"/>
            <w:vAlign w:val="center"/>
          </w:tcPr>
          <w:p w14:paraId="6F0A6986">
            <w:pPr>
              <w:pStyle w:val="44"/>
              <w:rPr>
                <w:color w:val="auto"/>
              </w:rPr>
            </w:pPr>
            <w:r>
              <w:rPr>
                <w:color w:val="auto"/>
              </w:rPr>
              <w:t>30</w:t>
            </w:r>
          </w:p>
        </w:tc>
        <w:tc>
          <w:tcPr>
            <w:tcW w:w="720" w:type="dxa"/>
            <w:vAlign w:val="center"/>
          </w:tcPr>
          <w:p w14:paraId="736B4ABD">
            <w:pPr>
              <w:pStyle w:val="44"/>
              <w:rPr>
                <w:color w:val="auto"/>
              </w:rPr>
            </w:pPr>
          </w:p>
        </w:tc>
        <w:tc>
          <w:tcPr>
            <w:tcW w:w="720" w:type="dxa"/>
            <w:vAlign w:val="center"/>
          </w:tcPr>
          <w:p w14:paraId="743EEFB4">
            <w:pPr>
              <w:pStyle w:val="44"/>
              <w:rPr>
                <w:color w:val="auto"/>
              </w:rPr>
            </w:pPr>
          </w:p>
        </w:tc>
      </w:tr>
      <w:tr w14:paraId="48DA6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560" w:type="dxa"/>
            <w:gridSpan w:val="4"/>
            <w:vAlign w:val="center"/>
          </w:tcPr>
          <w:p w14:paraId="2A7FCA0F">
            <w:pPr>
              <w:pStyle w:val="44"/>
              <w:rPr>
                <w:b/>
                <w:bCs w:val="0"/>
                <w:color w:val="auto"/>
              </w:rPr>
            </w:pPr>
            <w:r>
              <w:rPr>
                <w:rFonts w:hint="eastAsia"/>
                <w:b/>
                <w:bCs w:val="0"/>
                <w:color w:val="auto"/>
              </w:rPr>
              <w:t>检查项目合计</w:t>
            </w:r>
          </w:p>
        </w:tc>
        <w:tc>
          <w:tcPr>
            <w:tcW w:w="720" w:type="dxa"/>
            <w:vAlign w:val="center"/>
          </w:tcPr>
          <w:p w14:paraId="17F29E34">
            <w:pPr>
              <w:pStyle w:val="44"/>
              <w:rPr>
                <w:color w:val="auto"/>
              </w:rPr>
            </w:pPr>
            <w:r>
              <w:rPr>
                <w:color w:val="auto"/>
              </w:rPr>
              <w:t>100</w:t>
            </w:r>
          </w:p>
        </w:tc>
        <w:tc>
          <w:tcPr>
            <w:tcW w:w="720" w:type="dxa"/>
            <w:vAlign w:val="center"/>
          </w:tcPr>
          <w:p w14:paraId="7533D94C">
            <w:pPr>
              <w:pStyle w:val="44"/>
              <w:rPr>
                <w:color w:val="auto"/>
              </w:rPr>
            </w:pPr>
          </w:p>
        </w:tc>
        <w:tc>
          <w:tcPr>
            <w:tcW w:w="720" w:type="dxa"/>
            <w:vAlign w:val="center"/>
          </w:tcPr>
          <w:p w14:paraId="3804CBAA">
            <w:pPr>
              <w:pStyle w:val="44"/>
              <w:rPr>
                <w:color w:val="auto"/>
              </w:rPr>
            </w:pPr>
          </w:p>
        </w:tc>
      </w:tr>
    </w:tbl>
    <w:p w14:paraId="26EAB06F"/>
    <w:p w14:paraId="1F44A028">
      <w:pPr>
        <w:pStyle w:val="5"/>
      </w:pPr>
      <w:r>
        <w:rPr>
          <w:rFonts w:hint="eastAsia"/>
        </w:rPr>
        <w:br w:type="page"/>
      </w:r>
      <w:bookmarkStart w:id="40" w:name="_Toc14704"/>
      <w:bookmarkStart w:id="41" w:name="_Toc822"/>
      <w:bookmarkStart w:id="42" w:name="_Toc24641"/>
      <w:r>
        <w:rPr>
          <w:rFonts w:hint="eastAsia"/>
        </w:rPr>
        <w:t>表B.1</w:t>
      </w:r>
      <w:r>
        <w:t>1</w:t>
      </w:r>
      <w:r>
        <w:rPr>
          <w:rFonts w:hint="eastAsia"/>
        </w:rPr>
        <w:t xml:space="preserve">  钢管双排脚手架检查</w:t>
      </w:r>
      <w:r>
        <w:t>评分表</w:t>
      </w:r>
      <w:bookmarkEnd w:id="40"/>
      <w:bookmarkEnd w:id="41"/>
      <w:bookmarkEnd w:id="42"/>
    </w:p>
    <w:tbl>
      <w:tblPr>
        <w:tblStyle w:val="19"/>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591B0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jc w:val="center"/>
        </w:trPr>
        <w:tc>
          <w:tcPr>
            <w:tcW w:w="539" w:type="dxa"/>
            <w:vAlign w:val="center"/>
          </w:tcPr>
          <w:p w14:paraId="4C92B59E">
            <w:pPr>
              <w:pStyle w:val="44"/>
              <w:rPr>
                <w:color w:val="auto"/>
              </w:rPr>
            </w:pPr>
            <w:r>
              <w:rPr>
                <w:rFonts w:hint="eastAsia"/>
                <w:color w:val="auto"/>
              </w:rPr>
              <w:t>序号</w:t>
            </w:r>
          </w:p>
        </w:tc>
        <w:tc>
          <w:tcPr>
            <w:tcW w:w="1441" w:type="dxa"/>
            <w:gridSpan w:val="2"/>
            <w:vAlign w:val="center"/>
          </w:tcPr>
          <w:p w14:paraId="2E19BF4D">
            <w:pPr>
              <w:pStyle w:val="44"/>
              <w:rPr>
                <w:color w:val="auto"/>
              </w:rPr>
            </w:pPr>
            <w:r>
              <w:rPr>
                <w:rFonts w:hint="eastAsia"/>
                <w:color w:val="auto"/>
              </w:rPr>
              <w:t>检查项目</w:t>
            </w:r>
          </w:p>
        </w:tc>
        <w:tc>
          <w:tcPr>
            <w:tcW w:w="5580" w:type="dxa"/>
            <w:vAlign w:val="center"/>
          </w:tcPr>
          <w:p w14:paraId="45D7E03D">
            <w:pPr>
              <w:pStyle w:val="44"/>
              <w:rPr>
                <w:color w:val="auto"/>
              </w:rPr>
            </w:pPr>
            <w:r>
              <w:rPr>
                <w:rFonts w:hint="eastAsia"/>
                <w:color w:val="auto"/>
              </w:rPr>
              <w:t>扣</w:t>
            </w:r>
            <w:r>
              <w:rPr>
                <w:color w:val="auto"/>
              </w:rPr>
              <w:t xml:space="preserve"> </w:t>
            </w:r>
            <w:r>
              <w:rPr>
                <w:rFonts w:hint="eastAsia"/>
                <w:color w:val="auto"/>
              </w:rPr>
              <w:t>分</w:t>
            </w:r>
            <w:r>
              <w:rPr>
                <w:color w:val="auto"/>
              </w:rPr>
              <w:t xml:space="preserve"> </w:t>
            </w:r>
            <w:r>
              <w:rPr>
                <w:rFonts w:hint="eastAsia"/>
                <w:color w:val="auto"/>
              </w:rPr>
              <w:t>标</w:t>
            </w:r>
            <w:r>
              <w:rPr>
                <w:color w:val="auto"/>
              </w:rPr>
              <w:t xml:space="preserve"> </w:t>
            </w:r>
            <w:r>
              <w:rPr>
                <w:rFonts w:hint="eastAsia"/>
                <w:color w:val="auto"/>
              </w:rPr>
              <w:t>准</w:t>
            </w:r>
          </w:p>
        </w:tc>
        <w:tc>
          <w:tcPr>
            <w:tcW w:w="720" w:type="dxa"/>
            <w:vAlign w:val="center"/>
          </w:tcPr>
          <w:p w14:paraId="7699F524">
            <w:pPr>
              <w:pStyle w:val="44"/>
              <w:rPr>
                <w:color w:val="auto"/>
              </w:rPr>
            </w:pPr>
            <w:r>
              <w:rPr>
                <w:rFonts w:hint="eastAsia"/>
                <w:color w:val="auto"/>
              </w:rPr>
              <w:t>应得</w:t>
            </w:r>
          </w:p>
          <w:p w14:paraId="47864DF4">
            <w:pPr>
              <w:pStyle w:val="44"/>
              <w:rPr>
                <w:color w:val="auto"/>
              </w:rPr>
            </w:pPr>
            <w:r>
              <w:rPr>
                <w:rFonts w:hint="eastAsia"/>
                <w:color w:val="auto"/>
              </w:rPr>
              <w:t>分数</w:t>
            </w:r>
          </w:p>
        </w:tc>
        <w:tc>
          <w:tcPr>
            <w:tcW w:w="720" w:type="dxa"/>
            <w:vAlign w:val="center"/>
          </w:tcPr>
          <w:p w14:paraId="6FF341B1">
            <w:pPr>
              <w:pStyle w:val="44"/>
              <w:rPr>
                <w:color w:val="auto"/>
              </w:rPr>
            </w:pPr>
            <w:r>
              <w:rPr>
                <w:rFonts w:hint="eastAsia"/>
                <w:color w:val="auto"/>
              </w:rPr>
              <w:t>扣减</w:t>
            </w:r>
          </w:p>
          <w:p w14:paraId="02EC7DE5">
            <w:pPr>
              <w:pStyle w:val="44"/>
              <w:rPr>
                <w:color w:val="auto"/>
              </w:rPr>
            </w:pPr>
            <w:r>
              <w:rPr>
                <w:rFonts w:hint="eastAsia"/>
                <w:color w:val="auto"/>
              </w:rPr>
              <w:t>分数</w:t>
            </w:r>
          </w:p>
        </w:tc>
        <w:tc>
          <w:tcPr>
            <w:tcW w:w="720" w:type="dxa"/>
            <w:vAlign w:val="center"/>
          </w:tcPr>
          <w:p w14:paraId="7834F1A9">
            <w:pPr>
              <w:pStyle w:val="44"/>
              <w:rPr>
                <w:color w:val="auto"/>
              </w:rPr>
            </w:pPr>
            <w:r>
              <w:rPr>
                <w:rFonts w:hint="eastAsia"/>
                <w:color w:val="auto"/>
              </w:rPr>
              <w:t>实得</w:t>
            </w:r>
          </w:p>
          <w:p w14:paraId="6AC135CC">
            <w:pPr>
              <w:pStyle w:val="44"/>
              <w:rPr>
                <w:color w:val="auto"/>
              </w:rPr>
            </w:pPr>
            <w:r>
              <w:rPr>
                <w:rFonts w:hint="eastAsia"/>
                <w:color w:val="auto"/>
              </w:rPr>
              <w:t>分数</w:t>
            </w:r>
          </w:p>
        </w:tc>
      </w:tr>
      <w:tr w14:paraId="23E97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40A29BDB">
            <w:pPr>
              <w:pStyle w:val="44"/>
              <w:rPr>
                <w:color w:val="auto"/>
              </w:rPr>
            </w:pPr>
            <w:r>
              <w:rPr>
                <w:color w:val="auto"/>
              </w:rPr>
              <w:t>1</w:t>
            </w:r>
          </w:p>
        </w:tc>
        <w:tc>
          <w:tcPr>
            <w:tcW w:w="543" w:type="dxa"/>
            <w:vMerge w:val="restart"/>
            <w:vAlign w:val="center"/>
          </w:tcPr>
          <w:p w14:paraId="794A7BF9">
            <w:pPr>
              <w:pStyle w:val="44"/>
              <w:rPr>
                <w:color w:val="auto"/>
              </w:rPr>
            </w:pPr>
            <w:r>
              <w:rPr>
                <w:rFonts w:hint="eastAsia"/>
                <w:color w:val="auto"/>
              </w:rPr>
              <w:t>保</w:t>
            </w:r>
          </w:p>
          <w:p w14:paraId="2D54EBD0">
            <w:pPr>
              <w:pStyle w:val="44"/>
              <w:rPr>
                <w:color w:val="auto"/>
              </w:rPr>
            </w:pPr>
            <w:r>
              <w:rPr>
                <w:rFonts w:hint="eastAsia"/>
                <w:color w:val="auto"/>
              </w:rPr>
              <w:t>证</w:t>
            </w:r>
          </w:p>
          <w:p w14:paraId="026E9291">
            <w:pPr>
              <w:pStyle w:val="44"/>
              <w:rPr>
                <w:color w:val="auto"/>
              </w:rPr>
            </w:pPr>
            <w:r>
              <w:rPr>
                <w:rFonts w:hint="eastAsia"/>
                <w:color w:val="auto"/>
              </w:rPr>
              <w:t>项</w:t>
            </w:r>
          </w:p>
          <w:p w14:paraId="353E18F3">
            <w:pPr>
              <w:pStyle w:val="44"/>
              <w:rPr>
                <w:color w:val="auto"/>
              </w:rPr>
            </w:pPr>
            <w:r>
              <w:rPr>
                <w:rFonts w:hint="eastAsia"/>
                <w:color w:val="auto"/>
              </w:rPr>
              <w:t>目</w:t>
            </w:r>
          </w:p>
        </w:tc>
        <w:tc>
          <w:tcPr>
            <w:tcW w:w="898" w:type="dxa"/>
            <w:vAlign w:val="center"/>
          </w:tcPr>
          <w:p w14:paraId="0D893963">
            <w:pPr>
              <w:pStyle w:val="44"/>
              <w:rPr>
                <w:color w:val="auto"/>
              </w:rPr>
            </w:pPr>
            <w:r>
              <w:rPr>
                <w:rFonts w:hint="eastAsia"/>
                <w:color w:val="auto"/>
              </w:rPr>
              <w:t>方案与交底</w:t>
            </w:r>
          </w:p>
        </w:tc>
        <w:tc>
          <w:tcPr>
            <w:tcW w:w="5580" w:type="dxa"/>
            <w:vAlign w:val="center"/>
          </w:tcPr>
          <w:p w14:paraId="06A28D05">
            <w:pPr>
              <w:pStyle w:val="44"/>
              <w:jc w:val="left"/>
              <w:rPr>
                <w:color w:val="auto"/>
              </w:rPr>
            </w:pPr>
            <w:r>
              <w:rPr>
                <w:color w:val="auto"/>
              </w:rPr>
              <w:t>1</w:t>
            </w:r>
            <w:r>
              <w:rPr>
                <w:rFonts w:hint="eastAsia"/>
                <w:color w:val="auto"/>
              </w:rPr>
              <w:t>）未按规定编制专项施工方案，或架体结构和连墙件、立杆地基承载力未经设计计算，扣</w:t>
            </w:r>
            <w:r>
              <w:rPr>
                <w:color w:val="auto"/>
              </w:rPr>
              <w:t>10</w:t>
            </w:r>
            <w:r>
              <w:rPr>
                <w:rFonts w:hint="eastAsia"/>
                <w:color w:val="auto"/>
              </w:rPr>
              <w:t>分；方案编制内容不全或无针对性，扣</w:t>
            </w:r>
            <w:r>
              <w:rPr>
                <w:color w:val="auto"/>
              </w:rPr>
              <w:t>2-10</w:t>
            </w:r>
            <w:r>
              <w:rPr>
                <w:rFonts w:hint="eastAsia"/>
                <w:color w:val="auto"/>
              </w:rPr>
              <w:t>分</w:t>
            </w:r>
          </w:p>
          <w:p w14:paraId="4A2F3F4D">
            <w:pPr>
              <w:pStyle w:val="44"/>
              <w:jc w:val="left"/>
              <w:rPr>
                <w:color w:val="auto"/>
              </w:rPr>
            </w:pPr>
            <w:r>
              <w:rPr>
                <w:color w:val="auto"/>
              </w:rPr>
              <w:t>2</w:t>
            </w:r>
            <w:r>
              <w:rPr>
                <w:rFonts w:hint="eastAsia"/>
                <w:color w:val="auto"/>
              </w:rPr>
              <w:t>）专项施工方案未按规定进行审核、审批，扣</w:t>
            </w:r>
            <w:r>
              <w:rPr>
                <w:color w:val="auto"/>
              </w:rPr>
              <w:t>10</w:t>
            </w:r>
            <w:r>
              <w:rPr>
                <w:rFonts w:hint="eastAsia"/>
                <w:color w:val="auto"/>
              </w:rPr>
              <w:t>分</w:t>
            </w:r>
          </w:p>
          <w:p w14:paraId="57E749AA">
            <w:pPr>
              <w:pStyle w:val="44"/>
              <w:jc w:val="left"/>
              <w:rPr>
                <w:color w:val="auto"/>
              </w:rPr>
            </w:pPr>
            <w:r>
              <w:rPr>
                <w:color w:val="auto"/>
              </w:rPr>
              <w:t>3</w:t>
            </w:r>
            <w:r>
              <w:rPr>
                <w:rFonts w:hint="eastAsia"/>
                <w:color w:val="auto"/>
              </w:rPr>
              <w:t>）架体搭设高度超过一定规模时，未按规定组织专家对专项施工方案进行论证，扣</w:t>
            </w:r>
            <w:r>
              <w:rPr>
                <w:color w:val="auto"/>
              </w:rPr>
              <w:t>10</w:t>
            </w:r>
            <w:r>
              <w:rPr>
                <w:rFonts w:hint="eastAsia"/>
                <w:color w:val="auto"/>
              </w:rPr>
              <w:t>分</w:t>
            </w:r>
          </w:p>
          <w:p w14:paraId="4ED0DF0F">
            <w:pPr>
              <w:pStyle w:val="44"/>
              <w:jc w:val="left"/>
              <w:rPr>
                <w:color w:val="auto"/>
              </w:rPr>
            </w:pPr>
            <w:r>
              <w:rPr>
                <w:color w:val="auto"/>
              </w:rPr>
              <w:t>4</w:t>
            </w:r>
            <w:r>
              <w:rPr>
                <w:rFonts w:hint="eastAsia"/>
                <w:color w:val="auto"/>
              </w:rPr>
              <w:t>）专项施工方案实施前，未进行安全技术交底，扣</w:t>
            </w:r>
            <w:r>
              <w:rPr>
                <w:color w:val="auto"/>
              </w:rPr>
              <w:t>10</w:t>
            </w:r>
            <w:r>
              <w:rPr>
                <w:rFonts w:hint="eastAsia"/>
                <w:color w:val="auto"/>
              </w:rPr>
              <w:t>分；交底无针对性或无文字记录，扣</w:t>
            </w:r>
            <w:r>
              <w:rPr>
                <w:color w:val="auto"/>
              </w:rPr>
              <w:t>2-5</w:t>
            </w:r>
            <w:r>
              <w:rPr>
                <w:rFonts w:hint="eastAsia"/>
                <w:color w:val="auto"/>
              </w:rPr>
              <w:t>分</w:t>
            </w:r>
          </w:p>
        </w:tc>
        <w:tc>
          <w:tcPr>
            <w:tcW w:w="720" w:type="dxa"/>
            <w:vAlign w:val="center"/>
          </w:tcPr>
          <w:p w14:paraId="2C7EB66E">
            <w:pPr>
              <w:pStyle w:val="44"/>
              <w:rPr>
                <w:color w:val="auto"/>
              </w:rPr>
            </w:pPr>
            <w:r>
              <w:rPr>
                <w:color w:val="auto"/>
              </w:rPr>
              <w:t>10</w:t>
            </w:r>
          </w:p>
        </w:tc>
        <w:tc>
          <w:tcPr>
            <w:tcW w:w="720" w:type="dxa"/>
            <w:vAlign w:val="center"/>
          </w:tcPr>
          <w:p w14:paraId="102195DC">
            <w:pPr>
              <w:pStyle w:val="44"/>
              <w:rPr>
                <w:color w:val="auto"/>
              </w:rPr>
            </w:pPr>
          </w:p>
        </w:tc>
        <w:tc>
          <w:tcPr>
            <w:tcW w:w="720" w:type="dxa"/>
            <w:vAlign w:val="center"/>
          </w:tcPr>
          <w:p w14:paraId="0A347593">
            <w:pPr>
              <w:pStyle w:val="44"/>
              <w:rPr>
                <w:color w:val="auto"/>
              </w:rPr>
            </w:pPr>
          </w:p>
        </w:tc>
      </w:tr>
      <w:tr w14:paraId="57992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44D9BAAE">
            <w:pPr>
              <w:pStyle w:val="44"/>
              <w:rPr>
                <w:color w:val="auto"/>
              </w:rPr>
            </w:pPr>
            <w:r>
              <w:rPr>
                <w:color w:val="auto"/>
              </w:rPr>
              <w:t>2</w:t>
            </w:r>
          </w:p>
        </w:tc>
        <w:tc>
          <w:tcPr>
            <w:tcW w:w="543" w:type="dxa"/>
            <w:vMerge w:val="continue"/>
          </w:tcPr>
          <w:p w14:paraId="4E11F2F4">
            <w:pPr>
              <w:pStyle w:val="44"/>
              <w:rPr>
                <w:color w:val="auto"/>
              </w:rPr>
            </w:pPr>
          </w:p>
        </w:tc>
        <w:tc>
          <w:tcPr>
            <w:tcW w:w="898" w:type="dxa"/>
            <w:vAlign w:val="center"/>
          </w:tcPr>
          <w:p w14:paraId="20ADAAF6">
            <w:pPr>
              <w:pStyle w:val="44"/>
              <w:rPr>
                <w:color w:val="auto"/>
              </w:rPr>
            </w:pPr>
            <w:r>
              <w:rPr>
                <w:rFonts w:hint="eastAsia"/>
                <w:color w:val="auto"/>
              </w:rPr>
              <w:t>构配件材质</w:t>
            </w:r>
          </w:p>
        </w:tc>
        <w:tc>
          <w:tcPr>
            <w:tcW w:w="5580" w:type="dxa"/>
            <w:vAlign w:val="center"/>
          </w:tcPr>
          <w:p w14:paraId="7F999BE0">
            <w:pPr>
              <w:pStyle w:val="44"/>
              <w:jc w:val="left"/>
              <w:rPr>
                <w:color w:val="auto"/>
              </w:rPr>
            </w:pPr>
            <w:r>
              <w:rPr>
                <w:color w:val="auto"/>
              </w:rPr>
              <w:t>1</w:t>
            </w:r>
            <w:r>
              <w:rPr>
                <w:rFonts w:hint="eastAsia"/>
                <w:color w:val="auto"/>
              </w:rPr>
              <w:t>）进场的钢管及构配件无质量合格证、产品性能检验报告，扣</w:t>
            </w:r>
            <w:r>
              <w:rPr>
                <w:color w:val="auto"/>
              </w:rPr>
              <w:t>10</w:t>
            </w:r>
            <w:r>
              <w:rPr>
                <w:rFonts w:hint="eastAsia"/>
                <w:color w:val="auto"/>
              </w:rPr>
              <w:t>分</w:t>
            </w:r>
          </w:p>
          <w:p w14:paraId="75B96868">
            <w:pPr>
              <w:pStyle w:val="44"/>
              <w:jc w:val="left"/>
              <w:rPr>
                <w:color w:val="auto"/>
              </w:rPr>
            </w:pPr>
            <w:r>
              <w:rPr>
                <w:color w:val="auto"/>
              </w:rPr>
              <w:t>2</w:t>
            </w:r>
            <w:r>
              <w:rPr>
                <w:rFonts w:hint="eastAsia"/>
                <w:color w:val="auto"/>
              </w:rPr>
              <w:t>）钢管及构配件的规格、型号、材质或产品质量不符合标准要求，扣</w:t>
            </w:r>
            <w:r>
              <w:rPr>
                <w:color w:val="auto"/>
              </w:rPr>
              <w:t>5-10</w:t>
            </w:r>
            <w:r>
              <w:rPr>
                <w:rFonts w:hint="eastAsia"/>
                <w:color w:val="auto"/>
              </w:rPr>
              <w:t>分</w:t>
            </w:r>
          </w:p>
          <w:p w14:paraId="2E09D75A">
            <w:pPr>
              <w:pStyle w:val="44"/>
              <w:jc w:val="left"/>
              <w:rPr>
                <w:color w:val="auto"/>
              </w:rPr>
            </w:pPr>
            <w:r>
              <w:rPr>
                <w:color w:val="auto"/>
              </w:rPr>
              <w:t>3</w:t>
            </w:r>
            <w:r>
              <w:rPr>
                <w:rFonts w:hint="eastAsia"/>
                <w:color w:val="auto"/>
              </w:rPr>
              <w:t>）钢管弯曲、变形、锈蚀严重，扣</w:t>
            </w:r>
            <w:r>
              <w:rPr>
                <w:color w:val="auto"/>
              </w:rPr>
              <w:t>10</w:t>
            </w:r>
            <w:r>
              <w:rPr>
                <w:rFonts w:hint="eastAsia"/>
                <w:color w:val="auto"/>
              </w:rPr>
              <w:t>分</w:t>
            </w:r>
          </w:p>
          <w:p w14:paraId="1D5D1B64">
            <w:pPr>
              <w:pStyle w:val="44"/>
              <w:jc w:val="left"/>
              <w:rPr>
                <w:color w:val="auto"/>
              </w:rPr>
            </w:pPr>
            <w:r>
              <w:rPr>
                <w:color w:val="auto"/>
              </w:rPr>
              <w:t>4</w:t>
            </w:r>
            <w:r>
              <w:rPr>
                <w:rFonts w:hint="eastAsia"/>
                <w:color w:val="auto"/>
              </w:rPr>
              <w:t>）焊缝不饱满或存在开焊，扣</w:t>
            </w:r>
            <w:r>
              <w:rPr>
                <w:color w:val="auto"/>
              </w:rPr>
              <w:t>5</w:t>
            </w:r>
            <w:r>
              <w:rPr>
                <w:rFonts w:hint="eastAsia"/>
                <w:color w:val="auto"/>
              </w:rPr>
              <w:t>分</w:t>
            </w:r>
          </w:p>
          <w:p w14:paraId="2AF8B930">
            <w:pPr>
              <w:pStyle w:val="44"/>
              <w:jc w:val="left"/>
              <w:rPr>
                <w:color w:val="auto"/>
              </w:rPr>
            </w:pPr>
            <w:r>
              <w:rPr>
                <w:color w:val="auto"/>
              </w:rPr>
              <w:t>5</w:t>
            </w:r>
            <w:r>
              <w:rPr>
                <w:rFonts w:hint="eastAsia"/>
                <w:color w:val="auto"/>
              </w:rPr>
              <w:t>）所采用的扣件未进行复试或技术性能不符合标准要求，扣</w:t>
            </w:r>
            <w:r>
              <w:rPr>
                <w:color w:val="auto"/>
              </w:rPr>
              <w:t>5</w:t>
            </w:r>
            <w:r>
              <w:rPr>
                <w:rFonts w:hint="eastAsia"/>
                <w:color w:val="auto"/>
              </w:rPr>
              <w:t>分</w:t>
            </w:r>
          </w:p>
        </w:tc>
        <w:tc>
          <w:tcPr>
            <w:tcW w:w="720" w:type="dxa"/>
            <w:vAlign w:val="center"/>
          </w:tcPr>
          <w:p w14:paraId="1955D929">
            <w:pPr>
              <w:pStyle w:val="44"/>
              <w:rPr>
                <w:color w:val="auto"/>
              </w:rPr>
            </w:pPr>
            <w:r>
              <w:rPr>
                <w:color w:val="auto"/>
              </w:rPr>
              <w:t>10</w:t>
            </w:r>
          </w:p>
        </w:tc>
        <w:tc>
          <w:tcPr>
            <w:tcW w:w="720" w:type="dxa"/>
            <w:vAlign w:val="center"/>
          </w:tcPr>
          <w:p w14:paraId="2E5A2508">
            <w:pPr>
              <w:pStyle w:val="44"/>
              <w:rPr>
                <w:color w:val="auto"/>
              </w:rPr>
            </w:pPr>
          </w:p>
        </w:tc>
        <w:tc>
          <w:tcPr>
            <w:tcW w:w="720" w:type="dxa"/>
            <w:vAlign w:val="center"/>
          </w:tcPr>
          <w:p w14:paraId="420F99F0">
            <w:pPr>
              <w:pStyle w:val="44"/>
              <w:rPr>
                <w:color w:val="auto"/>
              </w:rPr>
            </w:pPr>
          </w:p>
        </w:tc>
      </w:tr>
      <w:tr w14:paraId="552EA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B187CC4">
            <w:pPr>
              <w:pStyle w:val="44"/>
              <w:rPr>
                <w:color w:val="auto"/>
              </w:rPr>
            </w:pPr>
            <w:r>
              <w:rPr>
                <w:color w:val="auto"/>
              </w:rPr>
              <w:t>3</w:t>
            </w:r>
          </w:p>
        </w:tc>
        <w:tc>
          <w:tcPr>
            <w:tcW w:w="543" w:type="dxa"/>
            <w:vMerge w:val="continue"/>
          </w:tcPr>
          <w:p w14:paraId="00F744B5">
            <w:pPr>
              <w:pStyle w:val="44"/>
              <w:rPr>
                <w:color w:val="auto"/>
              </w:rPr>
            </w:pPr>
          </w:p>
        </w:tc>
        <w:tc>
          <w:tcPr>
            <w:tcW w:w="898" w:type="dxa"/>
            <w:vAlign w:val="center"/>
          </w:tcPr>
          <w:p w14:paraId="34117628">
            <w:pPr>
              <w:pStyle w:val="44"/>
              <w:rPr>
                <w:color w:val="auto"/>
              </w:rPr>
            </w:pPr>
            <w:r>
              <w:rPr>
                <w:rFonts w:hint="eastAsia"/>
                <w:color w:val="auto"/>
              </w:rPr>
              <w:t>地基基础</w:t>
            </w:r>
          </w:p>
        </w:tc>
        <w:tc>
          <w:tcPr>
            <w:tcW w:w="5580" w:type="dxa"/>
            <w:vAlign w:val="center"/>
          </w:tcPr>
          <w:p w14:paraId="1206CF19">
            <w:pPr>
              <w:pStyle w:val="44"/>
              <w:jc w:val="left"/>
              <w:rPr>
                <w:color w:val="auto"/>
              </w:rPr>
            </w:pPr>
            <w:r>
              <w:rPr>
                <w:color w:val="auto"/>
              </w:rPr>
              <w:t>1</w:t>
            </w:r>
            <w:r>
              <w:rPr>
                <w:rFonts w:hint="eastAsia"/>
                <w:color w:val="auto"/>
              </w:rPr>
              <w:t>）立杆基础不平、不实，或不符合专项施工方案要求，扣</w:t>
            </w:r>
            <w:r>
              <w:rPr>
                <w:color w:val="auto"/>
              </w:rPr>
              <w:t>5-10</w:t>
            </w:r>
            <w:r>
              <w:rPr>
                <w:rFonts w:hint="eastAsia"/>
                <w:color w:val="auto"/>
              </w:rPr>
              <w:t>分</w:t>
            </w:r>
          </w:p>
          <w:p w14:paraId="0A0CA5D6">
            <w:pPr>
              <w:pStyle w:val="44"/>
              <w:jc w:val="left"/>
              <w:rPr>
                <w:color w:val="auto"/>
              </w:rPr>
            </w:pPr>
            <w:r>
              <w:rPr>
                <w:color w:val="auto"/>
              </w:rPr>
              <w:t>2</w:t>
            </w:r>
            <w:r>
              <w:rPr>
                <w:rFonts w:hint="eastAsia"/>
                <w:color w:val="auto"/>
              </w:rPr>
              <w:t>）未采取排水措施，或排水设施不完善，排水不畅通，扣</w:t>
            </w:r>
            <w:r>
              <w:rPr>
                <w:color w:val="auto"/>
              </w:rPr>
              <w:t>5-10</w:t>
            </w:r>
            <w:r>
              <w:rPr>
                <w:rFonts w:hint="eastAsia"/>
                <w:color w:val="auto"/>
              </w:rPr>
              <w:t>分</w:t>
            </w:r>
          </w:p>
          <w:p w14:paraId="1DADB6AE">
            <w:pPr>
              <w:pStyle w:val="44"/>
              <w:jc w:val="left"/>
              <w:rPr>
                <w:color w:val="auto"/>
              </w:rPr>
            </w:pPr>
            <w:r>
              <w:rPr>
                <w:color w:val="auto"/>
              </w:rPr>
              <w:t>3</w:t>
            </w:r>
            <w:r>
              <w:rPr>
                <w:rFonts w:hint="eastAsia"/>
                <w:color w:val="auto"/>
              </w:rPr>
              <w:t>）立杆底部未设置底座、垫板，或垫板的规格不符合标准要求，每处扣</w:t>
            </w:r>
            <w:r>
              <w:rPr>
                <w:color w:val="auto"/>
              </w:rPr>
              <w:t>2</w:t>
            </w:r>
            <w:r>
              <w:rPr>
                <w:rFonts w:hint="eastAsia"/>
                <w:color w:val="auto"/>
              </w:rPr>
              <w:t>分</w:t>
            </w:r>
          </w:p>
          <w:p w14:paraId="7EEBE2A6">
            <w:pPr>
              <w:pStyle w:val="44"/>
              <w:jc w:val="left"/>
              <w:rPr>
                <w:color w:val="auto"/>
              </w:rPr>
            </w:pPr>
            <w:r>
              <w:rPr>
                <w:color w:val="auto"/>
              </w:rPr>
              <w:t>4</w:t>
            </w:r>
            <w:r>
              <w:rPr>
                <w:rFonts w:hint="eastAsia"/>
                <w:color w:val="auto"/>
              </w:rPr>
              <w:t>）底座松动或立杆悬空，每处扣</w:t>
            </w:r>
            <w:r>
              <w:rPr>
                <w:color w:val="auto"/>
              </w:rPr>
              <w:t>2</w:t>
            </w:r>
            <w:r>
              <w:rPr>
                <w:rFonts w:hint="eastAsia"/>
                <w:color w:val="auto"/>
              </w:rPr>
              <w:t>分</w:t>
            </w:r>
          </w:p>
          <w:p w14:paraId="254F1EE6">
            <w:pPr>
              <w:pStyle w:val="44"/>
              <w:jc w:val="left"/>
              <w:rPr>
                <w:color w:val="auto"/>
              </w:rPr>
            </w:pPr>
            <w:r>
              <w:rPr>
                <w:color w:val="auto"/>
              </w:rPr>
              <w:t>5</w:t>
            </w:r>
            <w:r>
              <w:rPr>
                <w:rFonts w:hint="eastAsia"/>
                <w:color w:val="auto"/>
              </w:rPr>
              <w:t>）当脚手架搭设在既有结构上时，未对既有结构的承载力进行验算，或未采取加固措施，扣</w:t>
            </w:r>
            <w:r>
              <w:rPr>
                <w:color w:val="auto"/>
              </w:rPr>
              <w:t>10</w:t>
            </w:r>
            <w:r>
              <w:rPr>
                <w:rFonts w:hint="eastAsia"/>
                <w:color w:val="auto"/>
              </w:rPr>
              <w:t>分</w:t>
            </w:r>
          </w:p>
        </w:tc>
        <w:tc>
          <w:tcPr>
            <w:tcW w:w="720" w:type="dxa"/>
            <w:vAlign w:val="center"/>
          </w:tcPr>
          <w:p w14:paraId="0F45F655">
            <w:pPr>
              <w:pStyle w:val="44"/>
              <w:rPr>
                <w:color w:val="auto"/>
              </w:rPr>
            </w:pPr>
            <w:r>
              <w:rPr>
                <w:color w:val="auto"/>
              </w:rPr>
              <w:t>10</w:t>
            </w:r>
          </w:p>
        </w:tc>
        <w:tc>
          <w:tcPr>
            <w:tcW w:w="720" w:type="dxa"/>
            <w:vAlign w:val="center"/>
          </w:tcPr>
          <w:p w14:paraId="6EC181CC">
            <w:pPr>
              <w:pStyle w:val="44"/>
              <w:rPr>
                <w:color w:val="auto"/>
              </w:rPr>
            </w:pPr>
          </w:p>
        </w:tc>
        <w:tc>
          <w:tcPr>
            <w:tcW w:w="720" w:type="dxa"/>
            <w:vAlign w:val="center"/>
          </w:tcPr>
          <w:p w14:paraId="74B6F29D">
            <w:pPr>
              <w:pStyle w:val="44"/>
              <w:rPr>
                <w:color w:val="auto"/>
              </w:rPr>
            </w:pPr>
          </w:p>
        </w:tc>
      </w:tr>
      <w:tr w14:paraId="5C613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89713EB">
            <w:pPr>
              <w:pStyle w:val="44"/>
              <w:rPr>
                <w:color w:val="auto"/>
              </w:rPr>
            </w:pPr>
            <w:r>
              <w:rPr>
                <w:color w:val="auto"/>
              </w:rPr>
              <w:t>4</w:t>
            </w:r>
          </w:p>
        </w:tc>
        <w:tc>
          <w:tcPr>
            <w:tcW w:w="543" w:type="dxa"/>
            <w:vMerge w:val="continue"/>
          </w:tcPr>
          <w:p w14:paraId="528341B8">
            <w:pPr>
              <w:pStyle w:val="44"/>
              <w:rPr>
                <w:color w:val="auto"/>
              </w:rPr>
            </w:pPr>
          </w:p>
        </w:tc>
        <w:tc>
          <w:tcPr>
            <w:tcW w:w="898" w:type="dxa"/>
            <w:vAlign w:val="center"/>
          </w:tcPr>
          <w:p w14:paraId="0D00157E">
            <w:pPr>
              <w:pStyle w:val="44"/>
              <w:rPr>
                <w:color w:val="auto"/>
              </w:rPr>
            </w:pPr>
            <w:r>
              <w:rPr>
                <w:rFonts w:hint="eastAsia"/>
                <w:color w:val="auto"/>
              </w:rPr>
              <w:t>架体搭设</w:t>
            </w:r>
          </w:p>
        </w:tc>
        <w:tc>
          <w:tcPr>
            <w:tcW w:w="5580" w:type="dxa"/>
            <w:vAlign w:val="center"/>
          </w:tcPr>
          <w:p w14:paraId="2BA98845">
            <w:pPr>
              <w:pStyle w:val="44"/>
              <w:jc w:val="left"/>
              <w:rPr>
                <w:color w:val="auto"/>
              </w:rPr>
            </w:pPr>
            <w:r>
              <w:rPr>
                <w:color w:val="auto"/>
              </w:rPr>
              <w:t>1</w:t>
            </w:r>
            <w:r>
              <w:rPr>
                <w:rFonts w:hint="eastAsia"/>
                <w:color w:val="auto"/>
              </w:rPr>
              <w:t>）立杆纵向、横向间距或水平杆步距大于标准或专项施工方案要求，每处扣</w:t>
            </w:r>
            <w:r>
              <w:rPr>
                <w:color w:val="auto"/>
              </w:rPr>
              <w:t>2</w:t>
            </w:r>
            <w:r>
              <w:rPr>
                <w:rFonts w:hint="eastAsia"/>
                <w:color w:val="auto"/>
              </w:rPr>
              <w:t>分</w:t>
            </w:r>
          </w:p>
          <w:p w14:paraId="11331030">
            <w:pPr>
              <w:pStyle w:val="44"/>
              <w:jc w:val="left"/>
              <w:rPr>
                <w:color w:val="auto"/>
              </w:rPr>
            </w:pPr>
            <w:r>
              <w:rPr>
                <w:color w:val="auto"/>
              </w:rPr>
              <w:t>2</w:t>
            </w:r>
            <w:r>
              <w:rPr>
                <w:rFonts w:hint="eastAsia"/>
                <w:color w:val="auto"/>
              </w:rPr>
              <w:t>）立杆垂直度不满足标准要求，每处扣</w:t>
            </w:r>
            <w:r>
              <w:rPr>
                <w:color w:val="auto"/>
              </w:rPr>
              <w:t>2</w:t>
            </w:r>
            <w:r>
              <w:rPr>
                <w:rFonts w:hint="eastAsia"/>
                <w:color w:val="auto"/>
              </w:rPr>
              <w:t>分</w:t>
            </w:r>
          </w:p>
          <w:p w14:paraId="4FA677CB">
            <w:pPr>
              <w:pStyle w:val="44"/>
              <w:jc w:val="left"/>
              <w:rPr>
                <w:color w:val="auto"/>
              </w:rPr>
            </w:pPr>
            <w:r>
              <w:rPr>
                <w:color w:val="auto"/>
              </w:rPr>
              <w:t>3</w:t>
            </w:r>
            <w:r>
              <w:rPr>
                <w:rFonts w:hint="eastAsia"/>
                <w:color w:val="auto"/>
              </w:rPr>
              <w:t>）纵向水平杆水平度或直线度不满足标准要求，每处扣</w:t>
            </w:r>
            <w:r>
              <w:rPr>
                <w:color w:val="auto"/>
              </w:rPr>
              <w:t>1</w:t>
            </w:r>
            <w:r>
              <w:rPr>
                <w:rFonts w:hint="eastAsia"/>
                <w:color w:val="auto"/>
              </w:rPr>
              <w:t>分</w:t>
            </w:r>
          </w:p>
          <w:p w14:paraId="70EB5790">
            <w:pPr>
              <w:pStyle w:val="44"/>
              <w:jc w:val="left"/>
              <w:rPr>
                <w:color w:val="auto"/>
              </w:rPr>
            </w:pPr>
            <w:r>
              <w:rPr>
                <w:color w:val="auto"/>
              </w:rPr>
              <w:t>4</w:t>
            </w:r>
            <w:r>
              <w:rPr>
                <w:rFonts w:hint="eastAsia"/>
                <w:color w:val="auto"/>
              </w:rPr>
              <w:t>）纵向水平杆和扫地杆未连续设置，或主节点处的横向水平杆漏设，每处扣</w:t>
            </w:r>
            <w:r>
              <w:rPr>
                <w:color w:val="auto"/>
              </w:rPr>
              <w:t>2</w:t>
            </w:r>
            <w:r>
              <w:rPr>
                <w:rFonts w:hint="eastAsia"/>
                <w:color w:val="auto"/>
              </w:rPr>
              <w:t>分</w:t>
            </w:r>
          </w:p>
          <w:p w14:paraId="251BF3CA">
            <w:pPr>
              <w:pStyle w:val="44"/>
              <w:jc w:val="left"/>
              <w:rPr>
                <w:color w:val="auto"/>
              </w:rPr>
            </w:pPr>
            <w:r>
              <w:rPr>
                <w:color w:val="auto"/>
              </w:rPr>
              <w:t>5</w:t>
            </w:r>
            <w:r>
              <w:rPr>
                <w:rFonts w:hint="eastAsia"/>
                <w:color w:val="auto"/>
              </w:rPr>
              <w:t>）非主节点处的水平杆设置方向与脚手板的类型不匹配，或未按照专项施工方案规定的数量设置扣</w:t>
            </w:r>
            <w:r>
              <w:rPr>
                <w:color w:val="auto"/>
              </w:rPr>
              <w:t>5</w:t>
            </w:r>
            <w:r>
              <w:rPr>
                <w:rFonts w:hint="eastAsia"/>
                <w:color w:val="auto"/>
              </w:rPr>
              <w:t>分</w:t>
            </w:r>
          </w:p>
          <w:p w14:paraId="61297FEB">
            <w:pPr>
              <w:pStyle w:val="44"/>
              <w:jc w:val="left"/>
              <w:rPr>
                <w:color w:val="auto"/>
              </w:rPr>
            </w:pPr>
            <w:r>
              <w:rPr>
                <w:color w:val="auto"/>
              </w:rPr>
              <w:t>6</w:t>
            </w:r>
            <w:r>
              <w:rPr>
                <w:rFonts w:hint="eastAsia"/>
                <w:color w:val="auto"/>
              </w:rPr>
              <w:t>）门洞设置不符合标准的构造加强要求，扣</w:t>
            </w:r>
            <w:r>
              <w:rPr>
                <w:color w:val="auto"/>
              </w:rPr>
              <w:t>5-10</w:t>
            </w:r>
            <w:r>
              <w:rPr>
                <w:rFonts w:hint="eastAsia"/>
                <w:color w:val="auto"/>
              </w:rPr>
              <w:t>分</w:t>
            </w:r>
          </w:p>
          <w:p w14:paraId="0C096023">
            <w:pPr>
              <w:pStyle w:val="44"/>
              <w:jc w:val="left"/>
              <w:rPr>
                <w:color w:val="auto"/>
              </w:rPr>
            </w:pPr>
            <w:r>
              <w:rPr>
                <w:color w:val="auto"/>
              </w:rPr>
              <w:t>7</w:t>
            </w:r>
            <w:r>
              <w:rPr>
                <w:rFonts w:hint="eastAsia"/>
                <w:color w:val="auto"/>
              </w:rPr>
              <w:t>）脚手架与起重设备、混凝土输送管、模板支撑架、物料周转平台等设施相连接，扣</w:t>
            </w:r>
            <w:r>
              <w:rPr>
                <w:color w:val="auto"/>
              </w:rPr>
              <w:t>5-10</w:t>
            </w:r>
            <w:r>
              <w:rPr>
                <w:rFonts w:hint="eastAsia"/>
                <w:color w:val="auto"/>
              </w:rPr>
              <w:t>分</w:t>
            </w:r>
          </w:p>
        </w:tc>
        <w:tc>
          <w:tcPr>
            <w:tcW w:w="720" w:type="dxa"/>
            <w:vAlign w:val="center"/>
          </w:tcPr>
          <w:p w14:paraId="4AFA163A">
            <w:pPr>
              <w:pStyle w:val="44"/>
              <w:rPr>
                <w:color w:val="auto"/>
              </w:rPr>
            </w:pPr>
            <w:r>
              <w:rPr>
                <w:color w:val="auto"/>
              </w:rPr>
              <w:t>10</w:t>
            </w:r>
          </w:p>
        </w:tc>
        <w:tc>
          <w:tcPr>
            <w:tcW w:w="720" w:type="dxa"/>
            <w:vAlign w:val="center"/>
          </w:tcPr>
          <w:p w14:paraId="671DCF62">
            <w:pPr>
              <w:pStyle w:val="44"/>
              <w:rPr>
                <w:color w:val="auto"/>
              </w:rPr>
            </w:pPr>
          </w:p>
        </w:tc>
        <w:tc>
          <w:tcPr>
            <w:tcW w:w="720" w:type="dxa"/>
            <w:vAlign w:val="center"/>
          </w:tcPr>
          <w:p w14:paraId="55AA3E24">
            <w:pPr>
              <w:pStyle w:val="44"/>
              <w:rPr>
                <w:color w:val="auto"/>
              </w:rPr>
            </w:pPr>
          </w:p>
        </w:tc>
      </w:tr>
      <w:tr w14:paraId="3B06A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46AFBA60">
            <w:pPr>
              <w:pStyle w:val="44"/>
              <w:rPr>
                <w:color w:val="auto"/>
              </w:rPr>
            </w:pPr>
            <w:r>
              <w:rPr>
                <w:color w:val="auto"/>
              </w:rPr>
              <w:t>5</w:t>
            </w:r>
          </w:p>
        </w:tc>
        <w:tc>
          <w:tcPr>
            <w:tcW w:w="543" w:type="dxa"/>
            <w:vMerge w:val="continue"/>
          </w:tcPr>
          <w:p w14:paraId="0771E68D">
            <w:pPr>
              <w:pStyle w:val="44"/>
              <w:rPr>
                <w:color w:val="auto"/>
              </w:rPr>
            </w:pPr>
          </w:p>
        </w:tc>
        <w:tc>
          <w:tcPr>
            <w:tcW w:w="898" w:type="dxa"/>
            <w:vAlign w:val="center"/>
          </w:tcPr>
          <w:p w14:paraId="0480C6DC">
            <w:pPr>
              <w:pStyle w:val="44"/>
              <w:rPr>
                <w:color w:val="auto"/>
              </w:rPr>
            </w:pPr>
            <w:r>
              <w:rPr>
                <w:rFonts w:hint="eastAsia"/>
                <w:color w:val="auto"/>
              </w:rPr>
              <w:t>架体稳定</w:t>
            </w:r>
          </w:p>
        </w:tc>
        <w:tc>
          <w:tcPr>
            <w:tcW w:w="5580" w:type="dxa"/>
            <w:vAlign w:val="center"/>
          </w:tcPr>
          <w:p w14:paraId="20A46A91">
            <w:pPr>
              <w:pStyle w:val="44"/>
              <w:jc w:val="left"/>
              <w:rPr>
                <w:color w:val="auto"/>
              </w:rPr>
            </w:pPr>
            <w:r>
              <w:rPr>
                <w:color w:val="auto"/>
              </w:rPr>
              <w:t>1</w:t>
            </w:r>
            <w:r>
              <w:rPr>
                <w:rFonts w:hint="eastAsia"/>
                <w:color w:val="auto"/>
              </w:rPr>
              <w:t>）脚手架底部扫地杆离地间距超过标准要求，扣</w:t>
            </w:r>
            <w:r>
              <w:rPr>
                <w:color w:val="auto"/>
              </w:rPr>
              <w:t>5</w:t>
            </w:r>
            <w:r>
              <w:rPr>
                <w:rFonts w:hint="eastAsia"/>
                <w:color w:val="auto"/>
              </w:rPr>
              <w:t>分</w:t>
            </w:r>
          </w:p>
          <w:p w14:paraId="53CC6C15">
            <w:pPr>
              <w:pStyle w:val="44"/>
              <w:jc w:val="left"/>
              <w:rPr>
                <w:color w:val="auto"/>
              </w:rPr>
            </w:pPr>
            <w:r>
              <w:rPr>
                <w:color w:val="auto"/>
              </w:rPr>
              <w:t>2</w:t>
            </w:r>
            <w:r>
              <w:rPr>
                <w:rFonts w:hint="eastAsia"/>
                <w:color w:val="auto"/>
              </w:rPr>
              <w:t>）未设置竖向和水平剪刀撑或专用斜撑杆，扣</w:t>
            </w:r>
            <w:r>
              <w:rPr>
                <w:color w:val="auto"/>
              </w:rPr>
              <w:t>10</w:t>
            </w:r>
            <w:r>
              <w:rPr>
                <w:rFonts w:hint="eastAsia"/>
                <w:color w:val="auto"/>
              </w:rPr>
              <w:t>分，设置的位置、数量、间距不符合方案要求，扣</w:t>
            </w:r>
            <w:r>
              <w:rPr>
                <w:color w:val="auto"/>
              </w:rPr>
              <w:t>5</w:t>
            </w:r>
            <w:r>
              <w:rPr>
                <w:rFonts w:hint="eastAsia"/>
                <w:color w:val="auto"/>
              </w:rPr>
              <w:t>分</w:t>
            </w:r>
          </w:p>
          <w:p w14:paraId="051919DD">
            <w:pPr>
              <w:pStyle w:val="44"/>
              <w:jc w:val="left"/>
              <w:rPr>
                <w:color w:val="auto"/>
              </w:rPr>
            </w:pPr>
            <w:r>
              <w:rPr>
                <w:color w:val="auto"/>
              </w:rPr>
              <w:t>3</w:t>
            </w:r>
            <w:r>
              <w:rPr>
                <w:rFonts w:hint="eastAsia"/>
                <w:color w:val="auto"/>
              </w:rPr>
              <w:t>）未设置连墙件，扣</w:t>
            </w:r>
            <w:r>
              <w:rPr>
                <w:color w:val="auto"/>
              </w:rPr>
              <w:t>10</w:t>
            </w:r>
            <w:r>
              <w:rPr>
                <w:rFonts w:hint="eastAsia"/>
                <w:color w:val="auto"/>
              </w:rPr>
              <w:t>分，连墙件设置的竖向和水平间距不符合标准和专项施工方案要求，扣</w:t>
            </w:r>
            <w:r>
              <w:rPr>
                <w:color w:val="auto"/>
              </w:rPr>
              <w:t>10</w:t>
            </w:r>
            <w:r>
              <w:rPr>
                <w:rFonts w:hint="eastAsia"/>
                <w:color w:val="auto"/>
              </w:rPr>
              <w:t>分</w:t>
            </w:r>
          </w:p>
          <w:p w14:paraId="18D2244F">
            <w:pPr>
              <w:pStyle w:val="44"/>
              <w:jc w:val="left"/>
              <w:rPr>
                <w:color w:val="auto"/>
              </w:rPr>
            </w:pPr>
            <w:r>
              <w:rPr>
                <w:color w:val="auto"/>
              </w:rPr>
              <w:t>4</w:t>
            </w:r>
            <w:r>
              <w:rPr>
                <w:rFonts w:hint="eastAsia"/>
                <w:color w:val="auto"/>
              </w:rPr>
              <w:t>）连墙件未采用刚性杆件或拉结不牢固，扣</w:t>
            </w:r>
            <w:r>
              <w:rPr>
                <w:color w:val="auto"/>
              </w:rPr>
              <w:t>10</w:t>
            </w:r>
            <w:r>
              <w:rPr>
                <w:rFonts w:hint="eastAsia"/>
                <w:color w:val="auto"/>
              </w:rPr>
              <w:t>分</w:t>
            </w:r>
          </w:p>
          <w:p w14:paraId="1666BF90">
            <w:pPr>
              <w:pStyle w:val="44"/>
              <w:jc w:val="left"/>
              <w:rPr>
                <w:color w:val="auto"/>
              </w:rPr>
            </w:pPr>
            <w:r>
              <w:rPr>
                <w:color w:val="auto"/>
              </w:rPr>
              <w:t>5</w:t>
            </w:r>
            <w:r>
              <w:rPr>
                <w:rFonts w:hint="eastAsia"/>
                <w:color w:val="auto"/>
              </w:rPr>
              <w:t>）连墙件或等效支撑件未从架体第一道水平杆处开始设置，扣</w:t>
            </w:r>
            <w:r>
              <w:rPr>
                <w:color w:val="auto"/>
              </w:rPr>
              <w:t>5</w:t>
            </w:r>
            <w:r>
              <w:rPr>
                <w:rFonts w:hint="eastAsia"/>
                <w:color w:val="auto"/>
              </w:rPr>
              <w:t>分</w:t>
            </w:r>
          </w:p>
          <w:p w14:paraId="5CCA1369">
            <w:pPr>
              <w:pStyle w:val="44"/>
              <w:jc w:val="left"/>
              <w:rPr>
                <w:color w:val="auto"/>
              </w:rPr>
            </w:pPr>
            <w:r>
              <w:rPr>
                <w:color w:val="auto"/>
              </w:rPr>
              <w:t>6</w:t>
            </w:r>
            <w:r>
              <w:rPr>
                <w:rFonts w:hint="eastAsia"/>
                <w:color w:val="auto"/>
              </w:rPr>
              <w:t>）竖向剪刀撑杆件与地面的夹角未在</w:t>
            </w:r>
            <w:r>
              <w:rPr>
                <w:color w:val="auto"/>
              </w:rPr>
              <w:t>45°~60°</w:t>
            </w:r>
            <w:r>
              <w:rPr>
                <w:rFonts w:hint="eastAsia"/>
                <w:color w:val="auto"/>
              </w:rPr>
              <w:t>之间，每处扣</w:t>
            </w:r>
            <w:r>
              <w:rPr>
                <w:color w:val="auto"/>
              </w:rPr>
              <w:t>2</w:t>
            </w:r>
            <w:r>
              <w:rPr>
                <w:rFonts w:hint="eastAsia"/>
                <w:color w:val="auto"/>
              </w:rPr>
              <w:t>分</w:t>
            </w:r>
          </w:p>
        </w:tc>
        <w:tc>
          <w:tcPr>
            <w:tcW w:w="720" w:type="dxa"/>
            <w:vAlign w:val="center"/>
          </w:tcPr>
          <w:p w14:paraId="23A55B4A">
            <w:pPr>
              <w:pStyle w:val="44"/>
              <w:rPr>
                <w:color w:val="auto"/>
              </w:rPr>
            </w:pPr>
            <w:r>
              <w:rPr>
                <w:color w:val="auto"/>
              </w:rPr>
              <w:t>10</w:t>
            </w:r>
          </w:p>
        </w:tc>
        <w:tc>
          <w:tcPr>
            <w:tcW w:w="720" w:type="dxa"/>
            <w:vAlign w:val="center"/>
          </w:tcPr>
          <w:p w14:paraId="58CD918D">
            <w:pPr>
              <w:pStyle w:val="44"/>
              <w:rPr>
                <w:color w:val="auto"/>
              </w:rPr>
            </w:pPr>
          </w:p>
        </w:tc>
        <w:tc>
          <w:tcPr>
            <w:tcW w:w="720" w:type="dxa"/>
            <w:vAlign w:val="center"/>
          </w:tcPr>
          <w:p w14:paraId="23CA14DD">
            <w:pPr>
              <w:pStyle w:val="44"/>
              <w:rPr>
                <w:color w:val="auto"/>
              </w:rPr>
            </w:pPr>
          </w:p>
        </w:tc>
      </w:tr>
      <w:tr w14:paraId="752DD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D90F253">
            <w:pPr>
              <w:pStyle w:val="44"/>
              <w:rPr>
                <w:color w:val="auto"/>
              </w:rPr>
            </w:pPr>
            <w:r>
              <w:rPr>
                <w:color w:val="auto"/>
              </w:rPr>
              <w:t>6</w:t>
            </w:r>
          </w:p>
        </w:tc>
        <w:tc>
          <w:tcPr>
            <w:tcW w:w="543" w:type="dxa"/>
            <w:vMerge w:val="continue"/>
            <w:vAlign w:val="center"/>
          </w:tcPr>
          <w:p w14:paraId="3BDAB3A9">
            <w:pPr>
              <w:pStyle w:val="44"/>
              <w:rPr>
                <w:color w:val="auto"/>
              </w:rPr>
            </w:pPr>
          </w:p>
        </w:tc>
        <w:tc>
          <w:tcPr>
            <w:tcW w:w="898" w:type="dxa"/>
            <w:vAlign w:val="center"/>
          </w:tcPr>
          <w:p w14:paraId="011387C3">
            <w:pPr>
              <w:pStyle w:val="44"/>
              <w:rPr>
                <w:color w:val="auto"/>
              </w:rPr>
            </w:pPr>
            <w:r>
              <w:rPr>
                <w:rFonts w:hint="eastAsia"/>
                <w:color w:val="auto"/>
              </w:rPr>
              <w:t>脚手板</w:t>
            </w:r>
          </w:p>
        </w:tc>
        <w:tc>
          <w:tcPr>
            <w:tcW w:w="5580" w:type="dxa"/>
            <w:vAlign w:val="center"/>
          </w:tcPr>
          <w:p w14:paraId="36071570">
            <w:pPr>
              <w:pStyle w:val="44"/>
              <w:jc w:val="left"/>
              <w:rPr>
                <w:color w:val="auto"/>
              </w:rPr>
            </w:pPr>
            <w:r>
              <w:rPr>
                <w:color w:val="auto"/>
              </w:rPr>
              <w:t>1</w:t>
            </w:r>
            <w:r>
              <w:rPr>
                <w:rFonts w:hint="eastAsia"/>
                <w:color w:val="auto"/>
              </w:rPr>
              <w:t>）脚手板材质、规格不符合标准要求，扣</w:t>
            </w:r>
            <w:r>
              <w:rPr>
                <w:color w:val="auto"/>
              </w:rPr>
              <w:t>5-10</w:t>
            </w:r>
            <w:r>
              <w:rPr>
                <w:rFonts w:hint="eastAsia"/>
                <w:color w:val="auto"/>
              </w:rPr>
              <w:t>分</w:t>
            </w:r>
          </w:p>
          <w:p w14:paraId="2F342D4E">
            <w:pPr>
              <w:pStyle w:val="44"/>
              <w:jc w:val="left"/>
              <w:rPr>
                <w:color w:val="auto"/>
              </w:rPr>
            </w:pPr>
            <w:r>
              <w:rPr>
                <w:color w:val="auto"/>
              </w:rPr>
              <w:t>2</w:t>
            </w:r>
            <w:r>
              <w:rPr>
                <w:rFonts w:hint="eastAsia"/>
                <w:color w:val="auto"/>
              </w:rPr>
              <w:t>）作业层脚手板未铺满或铺设不牢、不稳，扣</w:t>
            </w:r>
            <w:r>
              <w:rPr>
                <w:color w:val="auto"/>
              </w:rPr>
              <w:t>5-10</w:t>
            </w:r>
            <w:r>
              <w:rPr>
                <w:rFonts w:hint="eastAsia"/>
                <w:color w:val="auto"/>
              </w:rPr>
              <w:t>分</w:t>
            </w:r>
          </w:p>
          <w:p w14:paraId="6A79291F">
            <w:pPr>
              <w:pStyle w:val="44"/>
              <w:jc w:val="left"/>
              <w:rPr>
                <w:color w:val="auto"/>
              </w:rPr>
            </w:pPr>
            <w:r>
              <w:rPr>
                <w:color w:val="auto"/>
              </w:rPr>
              <w:t>3</w:t>
            </w:r>
            <w:r>
              <w:rPr>
                <w:rFonts w:hint="eastAsia"/>
                <w:color w:val="auto"/>
              </w:rPr>
              <w:t>）采用工具式钢脚手板时，脚手板两端挂钩未通过自锁装置与作业层横向水平杆锁紧，每处扣</w:t>
            </w:r>
            <w:r>
              <w:rPr>
                <w:color w:val="auto"/>
              </w:rPr>
              <w:t>2</w:t>
            </w:r>
            <w:r>
              <w:rPr>
                <w:rFonts w:hint="eastAsia"/>
                <w:color w:val="auto"/>
              </w:rPr>
              <w:t>分</w:t>
            </w:r>
          </w:p>
          <w:p w14:paraId="36D7821F">
            <w:pPr>
              <w:pStyle w:val="44"/>
              <w:jc w:val="left"/>
              <w:rPr>
                <w:color w:val="auto"/>
              </w:rPr>
            </w:pPr>
            <w:r>
              <w:rPr>
                <w:color w:val="auto"/>
              </w:rPr>
              <w:t>4</w:t>
            </w:r>
            <w:r>
              <w:rPr>
                <w:rFonts w:hint="eastAsia"/>
                <w:color w:val="auto"/>
              </w:rPr>
              <w:t>）采用木脚手板、竹串片脚手板、竹笆脚手板时，脚手板两端未与水平杆绑牢，或脚手板探头长度大于</w:t>
            </w:r>
            <w:r>
              <w:rPr>
                <w:color w:val="auto"/>
              </w:rPr>
              <w:t>150mm</w:t>
            </w:r>
            <w:r>
              <w:rPr>
                <w:rFonts w:hint="eastAsia"/>
                <w:color w:val="auto"/>
              </w:rPr>
              <w:t>，每处扣</w:t>
            </w:r>
            <w:r>
              <w:rPr>
                <w:color w:val="auto"/>
              </w:rPr>
              <w:t>2</w:t>
            </w:r>
            <w:r>
              <w:rPr>
                <w:rFonts w:hint="eastAsia"/>
                <w:color w:val="auto"/>
              </w:rPr>
              <w:t>分</w:t>
            </w:r>
          </w:p>
        </w:tc>
        <w:tc>
          <w:tcPr>
            <w:tcW w:w="720" w:type="dxa"/>
            <w:vAlign w:val="center"/>
          </w:tcPr>
          <w:p w14:paraId="41994861">
            <w:pPr>
              <w:pStyle w:val="44"/>
              <w:rPr>
                <w:color w:val="auto"/>
              </w:rPr>
            </w:pPr>
            <w:r>
              <w:rPr>
                <w:color w:val="auto"/>
              </w:rPr>
              <w:t>10</w:t>
            </w:r>
          </w:p>
        </w:tc>
        <w:tc>
          <w:tcPr>
            <w:tcW w:w="720" w:type="dxa"/>
            <w:vAlign w:val="center"/>
          </w:tcPr>
          <w:p w14:paraId="4C52F62B">
            <w:pPr>
              <w:pStyle w:val="44"/>
              <w:rPr>
                <w:color w:val="auto"/>
              </w:rPr>
            </w:pPr>
          </w:p>
        </w:tc>
        <w:tc>
          <w:tcPr>
            <w:tcW w:w="720" w:type="dxa"/>
            <w:vAlign w:val="center"/>
          </w:tcPr>
          <w:p w14:paraId="3BA8579B">
            <w:pPr>
              <w:pStyle w:val="44"/>
              <w:rPr>
                <w:color w:val="auto"/>
              </w:rPr>
            </w:pPr>
          </w:p>
        </w:tc>
      </w:tr>
      <w:tr w14:paraId="7CD92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1E77ECF">
            <w:pPr>
              <w:pStyle w:val="44"/>
              <w:rPr>
                <w:color w:val="auto"/>
              </w:rPr>
            </w:pPr>
            <w:r>
              <w:rPr>
                <w:color w:val="auto"/>
              </w:rPr>
              <w:t>7</w:t>
            </w:r>
          </w:p>
        </w:tc>
        <w:tc>
          <w:tcPr>
            <w:tcW w:w="543" w:type="dxa"/>
            <w:vMerge w:val="continue"/>
            <w:vAlign w:val="center"/>
          </w:tcPr>
          <w:p w14:paraId="134687B5">
            <w:pPr>
              <w:pStyle w:val="44"/>
              <w:rPr>
                <w:color w:val="auto"/>
              </w:rPr>
            </w:pPr>
          </w:p>
        </w:tc>
        <w:tc>
          <w:tcPr>
            <w:tcW w:w="898" w:type="dxa"/>
            <w:vAlign w:val="center"/>
          </w:tcPr>
          <w:p w14:paraId="08FBF14B">
            <w:pPr>
              <w:pStyle w:val="44"/>
              <w:rPr>
                <w:color w:val="auto"/>
              </w:rPr>
            </w:pPr>
            <w:r>
              <w:rPr>
                <w:rFonts w:hint="eastAsia"/>
                <w:color w:val="auto"/>
              </w:rPr>
              <w:t>检查验收</w:t>
            </w:r>
          </w:p>
        </w:tc>
        <w:tc>
          <w:tcPr>
            <w:tcW w:w="5580" w:type="dxa"/>
            <w:vAlign w:val="center"/>
          </w:tcPr>
          <w:p w14:paraId="48950DAB">
            <w:pPr>
              <w:pStyle w:val="44"/>
              <w:jc w:val="left"/>
              <w:rPr>
                <w:color w:val="auto"/>
              </w:rPr>
            </w:pPr>
            <w:r>
              <w:rPr>
                <w:color w:val="auto"/>
              </w:rPr>
              <w:t>1</w:t>
            </w:r>
            <w:r>
              <w:rPr>
                <w:rFonts w:hint="eastAsia"/>
                <w:color w:val="auto"/>
              </w:rPr>
              <w:t>）在原材料进场、基础完工、分段搭设、分段使用时未进行分阶段验收，或未形成记录，扣</w:t>
            </w:r>
            <w:r>
              <w:rPr>
                <w:color w:val="auto"/>
              </w:rPr>
              <w:t>6</w:t>
            </w:r>
            <w:r>
              <w:rPr>
                <w:rFonts w:hint="eastAsia"/>
                <w:color w:val="auto"/>
              </w:rPr>
              <w:t>分</w:t>
            </w:r>
          </w:p>
          <w:p w14:paraId="12605120">
            <w:pPr>
              <w:pStyle w:val="44"/>
              <w:jc w:val="left"/>
              <w:rPr>
                <w:color w:val="auto"/>
              </w:rPr>
            </w:pPr>
            <w:r>
              <w:rPr>
                <w:color w:val="auto"/>
              </w:rPr>
              <w:t>2</w:t>
            </w:r>
            <w:r>
              <w:rPr>
                <w:rFonts w:hint="eastAsia"/>
                <w:color w:val="auto"/>
              </w:rPr>
              <w:t>）在脚手架搭设完毕、投入使用前，未办理完工验收手续，扣</w:t>
            </w:r>
            <w:r>
              <w:rPr>
                <w:color w:val="auto"/>
              </w:rPr>
              <w:t>10</w:t>
            </w:r>
            <w:r>
              <w:rPr>
                <w:rFonts w:hint="eastAsia"/>
                <w:color w:val="auto"/>
              </w:rPr>
              <w:t>分</w:t>
            </w:r>
          </w:p>
          <w:p w14:paraId="2E3DCC3B">
            <w:pPr>
              <w:pStyle w:val="44"/>
              <w:jc w:val="left"/>
              <w:rPr>
                <w:color w:val="auto"/>
              </w:rPr>
            </w:pPr>
            <w:r>
              <w:rPr>
                <w:color w:val="auto"/>
              </w:rPr>
              <w:t>3</w:t>
            </w:r>
            <w:r>
              <w:rPr>
                <w:rFonts w:hint="eastAsia"/>
                <w:color w:val="auto"/>
              </w:rPr>
              <w:t>）完工验收未形成记录，或未经责任人签字确认，扣</w:t>
            </w:r>
            <w:r>
              <w:rPr>
                <w:color w:val="auto"/>
              </w:rPr>
              <w:t>5</w:t>
            </w:r>
            <w:r>
              <w:rPr>
                <w:rFonts w:hint="eastAsia"/>
                <w:color w:val="auto"/>
              </w:rPr>
              <w:t>分</w:t>
            </w:r>
          </w:p>
          <w:p w14:paraId="5E8DE969">
            <w:pPr>
              <w:pStyle w:val="44"/>
              <w:jc w:val="left"/>
              <w:rPr>
                <w:color w:val="auto"/>
              </w:rPr>
            </w:pPr>
            <w:r>
              <w:rPr>
                <w:color w:val="auto"/>
              </w:rPr>
              <w:t>4</w:t>
            </w:r>
            <w:r>
              <w:rPr>
                <w:rFonts w:hint="eastAsia"/>
                <w:color w:val="auto"/>
              </w:rPr>
              <w:t>）各阶段检查验收内容和指标未按标准要求进行量化，扣</w:t>
            </w:r>
            <w:r>
              <w:rPr>
                <w:color w:val="auto"/>
              </w:rPr>
              <w:t>5</w:t>
            </w:r>
            <w:r>
              <w:rPr>
                <w:rFonts w:hint="eastAsia"/>
                <w:color w:val="auto"/>
              </w:rPr>
              <w:t>分</w:t>
            </w:r>
          </w:p>
          <w:p w14:paraId="19563411">
            <w:pPr>
              <w:pStyle w:val="44"/>
              <w:jc w:val="left"/>
              <w:rPr>
                <w:color w:val="auto"/>
              </w:rPr>
            </w:pPr>
            <w:r>
              <w:rPr>
                <w:color w:val="auto"/>
              </w:rPr>
              <w:t>5</w:t>
            </w:r>
            <w:r>
              <w:rPr>
                <w:rFonts w:hint="eastAsia"/>
                <w:color w:val="auto"/>
              </w:rPr>
              <w:t>）验收合格后未在明显位置悬挂验收合格牌，扣</w:t>
            </w:r>
            <w:r>
              <w:rPr>
                <w:color w:val="auto"/>
              </w:rPr>
              <w:t>3</w:t>
            </w:r>
            <w:r>
              <w:rPr>
                <w:rFonts w:hint="eastAsia"/>
                <w:color w:val="auto"/>
              </w:rPr>
              <w:t>分</w:t>
            </w:r>
          </w:p>
        </w:tc>
        <w:tc>
          <w:tcPr>
            <w:tcW w:w="720" w:type="dxa"/>
            <w:vAlign w:val="center"/>
          </w:tcPr>
          <w:p w14:paraId="4CBD1084">
            <w:pPr>
              <w:pStyle w:val="44"/>
              <w:rPr>
                <w:color w:val="auto"/>
              </w:rPr>
            </w:pPr>
            <w:r>
              <w:rPr>
                <w:color w:val="auto"/>
              </w:rPr>
              <w:t>10</w:t>
            </w:r>
          </w:p>
        </w:tc>
        <w:tc>
          <w:tcPr>
            <w:tcW w:w="720" w:type="dxa"/>
            <w:vAlign w:val="center"/>
          </w:tcPr>
          <w:p w14:paraId="49098055">
            <w:pPr>
              <w:pStyle w:val="44"/>
              <w:rPr>
                <w:color w:val="auto"/>
              </w:rPr>
            </w:pPr>
          </w:p>
        </w:tc>
        <w:tc>
          <w:tcPr>
            <w:tcW w:w="720" w:type="dxa"/>
            <w:vAlign w:val="center"/>
          </w:tcPr>
          <w:p w14:paraId="59FEF6E8">
            <w:pPr>
              <w:pStyle w:val="44"/>
              <w:rPr>
                <w:color w:val="auto"/>
              </w:rPr>
            </w:pPr>
          </w:p>
        </w:tc>
      </w:tr>
      <w:tr w14:paraId="3273D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18649AB">
            <w:pPr>
              <w:pStyle w:val="44"/>
              <w:rPr>
                <w:color w:val="auto"/>
              </w:rPr>
            </w:pPr>
          </w:p>
        </w:tc>
        <w:tc>
          <w:tcPr>
            <w:tcW w:w="543" w:type="dxa"/>
            <w:vMerge w:val="continue"/>
          </w:tcPr>
          <w:p w14:paraId="445E3CFD">
            <w:pPr>
              <w:pStyle w:val="44"/>
              <w:rPr>
                <w:color w:val="auto"/>
              </w:rPr>
            </w:pPr>
          </w:p>
        </w:tc>
        <w:tc>
          <w:tcPr>
            <w:tcW w:w="6478" w:type="dxa"/>
            <w:gridSpan w:val="2"/>
            <w:vAlign w:val="center"/>
          </w:tcPr>
          <w:p w14:paraId="0D71F0EE">
            <w:pPr>
              <w:pStyle w:val="44"/>
              <w:rPr>
                <w:b/>
                <w:bCs w:val="0"/>
                <w:color w:val="auto"/>
              </w:rPr>
            </w:pPr>
            <w:r>
              <w:rPr>
                <w:rFonts w:hint="eastAsia"/>
                <w:b/>
                <w:bCs w:val="0"/>
                <w:color w:val="auto"/>
              </w:rPr>
              <w:t>小</w:t>
            </w:r>
            <w:r>
              <w:rPr>
                <w:b/>
                <w:bCs w:val="0"/>
                <w:color w:val="auto"/>
              </w:rPr>
              <w:t xml:space="preserve">  </w:t>
            </w:r>
            <w:r>
              <w:rPr>
                <w:rFonts w:hint="eastAsia"/>
                <w:b/>
                <w:bCs w:val="0"/>
                <w:color w:val="auto"/>
              </w:rPr>
              <w:t>计</w:t>
            </w:r>
          </w:p>
        </w:tc>
        <w:tc>
          <w:tcPr>
            <w:tcW w:w="720" w:type="dxa"/>
            <w:vAlign w:val="center"/>
          </w:tcPr>
          <w:p w14:paraId="3892AB85">
            <w:pPr>
              <w:pStyle w:val="44"/>
              <w:rPr>
                <w:color w:val="auto"/>
              </w:rPr>
            </w:pPr>
            <w:r>
              <w:rPr>
                <w:color w:val="auto"/>
              </w:rPr>
              <w:t>70</w:t>
            </w:r>
          </w:p>
        </w:tc>
        <w:tc>
          <w:tcPr>
            <w:tcW w:w="720" w:type="dxa"/>
            <w:vAlign w:val="center"/>
          </w:tcPr>
          <w:p w14:paraId="602F349F">
            <w:pPr>
              <w:pStyle w:val="44"/>
              <w:rPr>
                <w:color w:val="auto"/>
              </w:rPr>
            </w:pPr>
          </w:p>
        </w:tc>
        <w:tc>
          <w:tcPr>
            <w:tcW w:w="720" w:type="dxa"/>
            <w:vAlign w:val="center"/>
          </w:tcPr>
          <w:p w14:paraId="1DCCC14D">
            <w:pPr>
              <w:pStyle w:val="44"/>
              <w:rPr>
                <w:color w:val="auto"/>
              </w:rPr>
            </w:pPr>
          </w:p>
        </w:tc>
      </w:tr>
      <w:tr w14:paraId="74D4A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6B0EE7CC">
            <w:pPr>
              <w:pStyle w:val="44"/>
              <w:rPr>
                <w:color w:val="auto"/>
              </w:rPr>
            </w:pPr>
            <w:r>
              <w:rPr>
                <w:color w:val="auto"/>
              </w:rPr>
              <w:t>1</w:t>
            </w:r>
          </w:p>
        </w:tc>
        <w:tc>
          <w:tcPr>
            <w:tcW w:w="543" w:type="dxa"/>
            <w:vMerge w:val="restart"/>
            <w:vAlign w:val="center"/>
          </w:tcPr>
          <w:p w14:paraId="00A00A81">
            <w:pPr>
              <w:pStyle w:val="44"/>
              <w:rPr>
                <w:color w:val="auto"/>
              </w:rPr>
            </w:pPr>
            <w:r>
              <w:rPr>
                <w:rFonts w:hint="eastAsia"/>
                <w:color w:val="auto"/>
              </w:rPr>
              <w:t>一</w:t>
            </w:r>
          </w:p>
          <w:p w14:paraId="3FB20C53">
            <w:pPr>
              <w:pStyle w:val="44"/>
              <w:rPr>
                <w:color w:val="auto"/>
              </w:rPr>
            </w:pPr>
            <w:r>
              <w:rPr>
                <w:rFonts w:hint="eastAsia"/>
                <w:color w:val="auto"/>
              </w:rPr>
              <w:t>般</w:t>
            </w:r>
          </w:p>
          <w:p w14:paraId="7A0AB26A">
            <w:pPr>
              <w:pStyle w:val="44"/>
              <w:rPr>
                <w:color w:val="auto"/>
              </w:rPr>
            </w:pPr>
            <w:r>
              <w:rPr>
                <w:rFonts w:hint="eastAsia"/>
                <w:color w:val="auto"/>
              </w:rPr>
              <w:t>项</w:t>
            </w:r>
          </w:p>
          <w:p w14:paraId="193A0D99">
            <w:pPr>
              <w:pStyle w:val="44"/>
              <w:rPr>
                <w:color w:val="auto"/>
              </w:rPr>
            </w:pPr>
            <w:r>
              <w:rPr>
                <w:rFonts w:hint="eastAsia"/>
                <w:color w:val="auto"/>
              </w:rPr>
              <w:t>目</w:t>
            </w:r>
          </w:p>
        </w:tc>
        <w:tc>
          <w:tcPr>
            <w:tcW w:w="898" w:type="dxa"/>
            <w:vAlign w:val="center"/>
          </w:tcPr>
          <w:p w14:paraId="6FE2BD7D">
            <w:pPr>
              <w:pStyle w:val="44"/>
              <w:rPr>
                <w:color w:val="auto"/>
              </w:rPr>
            </w:pPr>
            <w:r>
              <w:rPr>
                <w:rFonts w:hint="eastAsia"/>
                <w:color w:val="auto"/>
              </w:rPr>
              <w:t>杆件连接</w:t>
            </w:r>
          </w:p>
        </w:tc>
        <w:tc>
          <w:tcPr>
            <w:tcW w:w="5580" w:type="dxa"/>
            <w:vAlign w:val="center"/>
          </w:tcPr>
          <w:p w14:paraId="1F5FDF2A">
            <w:pPr>
              <w:pStyle w:val="44"/>
              <w:jc w:val="left"/>
              <w:rPr>
                <w:color w:val="auto"/>
              </w:rPr>
            </w:pPr>
            <w:r>
              <w:rPr>
                <w:color w:val="auto"/>
              </w:rPr>
              <w:t>1</w:t>
            </w:r>
            <w:r>
              <w:rPr>
                <w:rFonts w:hint="eastAsia"/>
                <w:color w:val="auto"/>
              </w:rPr>
              <w:t>）节点组装时，扣件的扭紧力矩小于</w:t>
            </w:r>
            <w:r>
              <w:rPr>
                <w:color w:val="auto"/>
              </w:rPr>
              <w:t>40</w:t>
            </w:r>
            <w:r>
              <w:rPr>
                <w:rFonts w:eastAsia="仿宋_GB2312"/>
                <w:color w:val="auto"/>
                <w:position w:val="-6"/>
              </w:rPr>
              <w:object>
                <v:shape id="_x0000_i1025" o:spt="75" type="#_x0000_t75" style="height:11.2pt;width:20.55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r>
              <w:rPr>
                <w:rFonts w:hint="eastAsia"/>
                <w:color w:val="auto"/>
              </w:rPr>
              <w:t>，碗扣节点未通过上碗扣和限位销锁紧水平杆，承插型盘扣式节点的插销未楔紧，每处扣</w:t>
            </w:r>
            <w:r>
              <w:rPr>
                <w:color w:val="auto"/>
              </w:rPr>
              <w:t>2</w:t>
            </w:r>
            <w:r>
              <w:rPr>
                <w:rFonts w:hint="eastAsia"/>
                <w:color w:val="auto"/>
              </w:rPr>
              <w:t>分</w:t>
            </w:r>
          </w:p>
          <w:p w14:paraId="2058F54E">
            <w:pPr>
              <w:pStyle w:val="44"/>
              <w:jc w:val="left"/>
              <w:rPr>
                <w:color w:val="auto"/>
              </w:rPr>
            </w:pPr>
            <w:r>
              <w:rPr>
                <w:color w:val="auto"/>
              </w:rPr>
              <w:t>2</w:t>
            </w:r>
            <w:r>
              <w:rPr>
                <w:rFonts w:hint="eastAsia"/>
                <w:color w:val="auto"/>
              </w:rPr>
              <w:t>）相邻立杆接头在同一步距内，每处扣</w:t>
            </w:r>
            <w:r>
              <w:rPr>
                <w:color w:val="auto"/>
              </w:rPr>
              <w:t>2</w:t>
            </w:r>
            <w:r>
              <w:rPr>
                <w:rFonts w:hint="eastAsia"/>
                <w:color w:val="auto"/>
              </w:rPr>
              <w:t>分</w:t>
            </w:r>
          </w:p>
          <w:p w14:paraId="0F38A79D">
            <w:pPr>
              <w:pStyle w:val="44"/>
              <w:jc w:val="left"/>
              <w:rPr>
                <w:color w:val="auto"/>
              </w:rPr>
            </w:pPr>
            <w:r>
              <w:rPr>
                <w:color w:val="auto"/>
              </w:rPr>
              <w:t>3</w:t>
            </w:r>
            <w:r>
              <w:rPr>
                <w:rFonts w:hint="eastAsia"/>
                <w:color w:val="auto"/>
              </w:rPr>
              <w:t>）扣件式钢管脚手架的纵向水平杆搭接长度小于</w:t>
            </w:r>
            <w:r>
              <w:rPr>
                <w:color w:val="auto"/>
              </w:rPr>
              <w:t>1m</w:t>
            </w:r>
            <w:r>
              <w:rPr>
                <w:rFonts w:hint="eastAsia"/>
                <w:color w:val="auto"/>
              </w:rPr>
              <w:t>或固定不符合标准要求，每处扣</w:t>
            </w:r>
            <w:r>
              <w:rPr>
                <w:color w:val="auto"/>
              </w:rPr>
              <w:t>2</w:t>
            </w:r>
            <w:r>
              <w:rPr>
                <w:rFonts w:hint="eastAsia"/>
                <w:color w:val="auto"/>
              </w:rPr>
              <w:t>分</w:t>
            </w:r>
          </w:p>
          <w:p w14:paraId="3F358031">
            <w:pPr>
              <w:pStyle w:val="44"/>
              <w:jc w:val="left"/>
              <w:rPr>
                <w:color w:val="auto"/>
              </w:rPr>
            </w:pPr>
            <w:r>
              <w:rPr>
                <w:color w:val="auto"/>
              </w:rPr>
              <w:t>4</w:t>
            </w:r>
            <w:r>
              <w:rPr>
                <w:rFonts w:hint="eastAsia"/>
                <w:color w:val="auto"/>
              </w:rPr>
              <w:t>）扣件式钢管脚手架立杆除顶层顶步外采用搭接接长，每处扣</w:t>
            </w:r>
            <w:r>
              <w:rPr>
                <w:color w:val="auto"/>
              </w:rPr>
              <w:t>4</w:t>
            </w:r>
            <w:r>
              <w:rPr>
                <w:rFonts w:hint="eastAsia"/>
                <w:color w:val="auto"/>
              </w:rPr>
              <w:t>分</w:t>
            </w:r>
          </w:p>
          <w:p w14:paraId="6B89EECA">
            <w:pPr>
              <w:pStyle w:val="44"/>
              <w:jc w:val="left"/>
              <w:rPr>
                <w:color w:val="auto"/>
              </w:rPr>
            </w:pPr>
            <w:r>
              <w:rPr>
                <w:color w:val="auto"/>
              </w:rPr>
              <w:t>5</w:t>
            </w:r>
            <w:r>
              <w:rPr>
                <w:rFonts w:hint="eastAsia"/>
                <w:color w:val="auto"/>
              </w:rPr>
              <w:t>）剪刀撑杆件的接长不符合标准要求，每处扣</w:t>
            </w:r>
            <w:r>
              <w:rPr>
                <w:color w:val="auto"/>
              </w:rPr>
              <w:t>2</w:t>
            </w:r>
            <w:r>
              <w:rPr>
                <w:rFonts w:hint="eastAsia"/>
                <w:color w:val="auto"/>
              </w:rPr>
              <w:t>分</w:t>
            </w:r>
          </w:p>
          <w:p w14:paraId="115DA09C">
            <w:pPr>
              <w:pStyle w:val="44"/>
              <w:jc w:val="left"/>
              <w:rPr>
                <w:color w:val="auto"/>
              </w:rPr>
            </w:pPr>
            <w:r>
              <w:rPr>
                <w:color w:val="auto"/>
              </w:rPr>
              <w:t>6</w:t>
            </w:r>
            <w:r>
              <w:rPr>
                <w:rFonts w:hint="eastAsia"/>
                <w:color w:val="auto"/>
              </w:rPr>
              <w:t>）专用斜撑杆的两端未固定在纵、横向水平杆与立杆交汇的节点处，每处扣</w:t>
            </w:r>
            <w:r>
              <w:rPr>
                <w:color w:val="auto"/>
              </w:rPr>
              <w:t>2</w:t>
            </w:r>
            <w:r>
              <w:rPr>
                <w:rFonts w:hint="eastAsia"/>
                <w:color w:val="auto"/>
              </w:rPr>
              <w:t>分</w:t>
            </w:r>
          </w:p>
          <w:p w14:paraId="3D167E79">
            <w:pPr>
              <w:pStyle w:val="44"/>
              <w:jc w:val="left"/>
              <w:rPr>
                <w:color w:val="auto"/>
              </w:rPr>
            </w:pPr>
            <w:r>
              <w:rPr>
                <w:color w:val="auto"/>
              </w:rPr>
              <w:t>7</w:t>
            </w:r>
            <w:r>
              <w:rPr>
                <w:rFonts w:hint="eastAsia"/>
                <w:color w:val="auto"/>
              </w:rPr>
              <w:t>）钢管扣件剪刀撑杆件的连接点距离架体主节点大于</w:t>
            </w:r>
            <w:r>
              <w:rPr>
                <w:color w:val="auto"/>
              </w:rPr>
              <w:t>150mm</w:t>
            </w:r>
            <w:r>
              <w:rPr>
                <w:rFonts w:hint="eastAsia"/>
                <w:color w:val="auto"/>
              </w:rPr>
              <w:t>，每处扣</w:t>
            </w:r>
            <w:r>
              <w:rPr>
                <w:color w:val="auto"/>
              </w:rPr>
              <w:t>1</w:t>
            </w:r>
            <w:r>
              <w:rPr>
                <w:rFonts w:hint="eastAsia"/>
                <w:color w:val="auto"/>
              </w:rPr>
              <w:t>分</w:t>
            </w:r>
          </w:p>
          <w:p w14:paraId="1D9CA887">
            <w:pPr>
              <w:pStyle w:val="44"/>
              <w:jc w:val="left"/>
              <w:rPr>
                <w:color w:val="auto"/>
              </w:rPr>
            </w:pPr>
            <w:r>
              <w:rPr>
                <w:color w:val="auto"/>
              </w:rPr>
              <w:t>8</w:t>
            </w:r>
            <w:r>
              <w:rPr>
                <w:rFonts w:hint="eastAsia"/>
                <w:color w:val="auto"/>
              </w:rPr>
              <w:t>）架体与连墙件的连接点距离架体主节点大于</w:t>
            </w:r>
            <w:r>
              <w:rPr>
                <w:color w:val="auto"/>
              </w:rPr>
              <w:t>300mm</w:t>
            </w:r>
            <w:r>
              <w:rPr>
                <w:rFonts w:hint="eastAsia"/>
                <w:color w:val="auto"/>
              </w:rPr>
              <w:t>，每处扣</w:t>
            </w:r>
            <w:r>
              <w:rPr>
                <w:color w:val="auto"/>
              </w:rPr>
              <w:t>2</w:t>
            </w:r>
            <w:r>
              <w:rPr>
                <w:rFonts w:hint="eastAsia"/>
                <w:color w:val="auto"/>
              </w:rPr>
              <w:t>分</w:t>
            </w:r>
          </w:p>
        </w:tc>
        <w:tc>
          <w:tcPr>
            <w:tcW w:w="720" w:type="dxa"/>
            <w:vAlign w:val="center"/>
          </w:tcPr>
          <w:p w14:paraId="52A943CA">
            <w:pPr>
              <w:pStyle w:val="44"/>
              <w:rPr>
                <w:color w:val="auto"/>
              </w:rPr>
            </w:pPr>
            <w:r>
              <w:rPr>
                <w:color w:val="auto"/>
              </w:rPr>
              <w:t>10</w:t>
            </w:r>
          </w:p>
        </w:tc>
        <w:tc>
          <w:tcPr>
            <w:tcW w:w="720" w:type="dxa"/>
            <w:vAlign w:val="center"/>
          </w:tcPr>
          <w:p w14:paraId="28FC7A34">
            <w:pPr>
              <w:pStyle w:val="44"/>
              <w:rPr>
                <w:color w:val="auto"/>
              </w:rPr>
            </w:pPr>
          </w:p>
        </w:tc>
        <w:tc>
          <w:tcPr>
            <w:tcW w:w="720" w:type="dxa"/>
            <w:vAlign w:val="center"/>
          </w:tcPr>
          <w:p w14:paraId="359B5424">
            <w:pPr>
              <w:pStyle w:val="44"/>
              <w:rPr>
                <w:color w:val="auto"/>
              </w:rPr>
            </w:pPr>
          </w:p>
        </w:tc>
      </w:tr>
      <w:tr w14:paraId="49891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AE15531">
            <w:pPr>
              <w:pStyle w:val="44"/>
              <w:rPr>
                <w:color w:val="auto"/>
              </w:rPr>
            </w:pPr>
            <w:r>
              <w:rPr>
                <w:color w:val="auto"/>
              </w:rPr>
              <w:t>2</w:t>
            </w:r>
          </w:p>
        </w:tc>
        <w:tc>
          <w:tcPr>
            <w:tcW w:w="543" w:type="dxa"/>
            <w:vMerge w:val="continue"/>
          </w:tcPr>
          <w:p w14:paraId="3CAB3538">
            <w:pPr>
              <w:pStyle w:val="44"/>
              <w:rPr>
                <w:color w:val="auto"/>
              </w:rPr>
            </w:pPr>
          </w:p>
        </w:tc>
        <w:tc>
          <w:tcPr>
            <w:tcW w:w="898" w:type="dxa"/>
            <w:vAlign w:val="center"/>
          </w:tcPr>
          <w:p w14:paraId="1344B90C">
            <w:pPr>
              <w:pStyle w:val="44"/>
              <w:rPr>
                <w:color w:val="auto"/>
              </w:rPr>
            </w:pPr>
            <w:r>
              <w:rPr>
                <w:rFonts w:hint="eastAsia"/>
                <w:color w:val="auto"/>
              </w:rPr>
              <w:t>安全防护</w:t>
            </w:r>
          </w:p>
        </w:tc>
        <w:tc>
          <w:tcPr>
            <w:tcW w:w="5580" w:type="dxa"/>
            <w:vAlign w:val="center"/>
          </w:tcPr>
          <w:p w14:paraId="19728399">
            <w:pPr>
              <w:pStyle w:val="44"/>
              <w:jc w:val="left"/>
              <w:rPr>
                <w:color w:val="auto"/>
              </w:rPr>
            </w:pPr>
            <w:r>
              <w:rPr>
                <w:color w:val="auto"/>
              </w:rPr>
              <w:t>1</w:t>
            </w:r>
            <w:r>
              <w:rPr>
                <w:rFonts w:hint="eastAsia"/>
                <w:color w:val="auto"/>
              </w:rPr>
              <w:t>）架体作业层栏杆设置不符合标准要求，扣</w:t>
            </w:r>
            <w:r>
              <w:rPr>
                <w:color w:val="auto"/>
              </w:rPr>
              <w:t>5</w:t>
            </w:r>
            <w:r>
              <w:rPr>
                <w:rFonts w:hint="eastAsia"/>
                <w:color w:val="auto"/>
              </w:rPr>
              <w:t>分</w:t>
            </w:r>
          </w:p>
          <w:p w14:paraId="13D9525F">
            <w:pPr>
              <w:pStyle w:val="44"/>
              <w:jc w:val="left"/>
              <w:rPr>
                <w:color w:val="auto"/>
              </w:rPr>
            </w:pPr>
            <w:r>
              <w:rPr>
                <w:color w:val="auto"/>
              </w:rPr>
              <w:t>2</w:t>
            </w:r>
            <w:r>
              <w:rPr>
                <w:rFonts w:hint="eastAsia"/>
                <w:color w:val="auto"/>
              </w:rPr>
              <w:t>）作业层未在外立杆内侧设置高度不低于</w:t>
            </w:r>
            <w:r>
              <w:rPr>
                <w:color w:val="auto"/>
              </w:rPr>
              <w:t>180mm</w:t>
            </w:r>
            <w:r>
              <w:rPr>
                <w:rFonts w:hint="eastAsia"/>
                <w:color w:val="auto"/>
              </w:rPr>
              <w:t>的挡脚板，扣</w:t>
            </w:r>
            <w:r>
              <w:rPr>
                <w:color w:val="auto"/>
              </w:rPr>
              <w:t>3</w:t>
            </w:r>
            <w:r>
              <w:rPr>
                <w:rFonts w:hint="eastAsia"/>
                <w:color w:val="auto"/>
              </w:rPr>
              <w:t>分</w:t>
            </w:r>
          </w:p>
          <w:p w14:paraId="1E9411FF">
            <w:pPr>
              <w:pStyle w:val="44"/>
              <w:jc w:val="left"/>
              <w:rPr>
                <w:color w:val="auto"/>
              </w:rPr>
            </w:pPr>
            <w:r>
              <w:rPr>
                <w:color w:val="auto"/>
              </w:rPr>
              <w:t>3</w:t>
            </w:r>
            <w:r>
              <w:rPr>
                <w:rFonts w:hint="eastAsia"/>
                <w:color w:val="auto"/>
              </w:rPr>
              <w:t>）作业层脚手板下未采用安全平网兜底，或作业层以下每隔</w:t>
            </w:r>
            <w:r>
              <w:rPr>
                <w:color w:val="auto"/>
              </w:rPr>
              <w:t>10m</w:t>
            </w:r>
            <w:r>
              <w:rPr>
                <w:rFonts w:hint="eastAsia"/>
                <w:color w:val="auto"/>
              </w:rPr>
              <w:t>未采用安全平网封闭，扣</w:t>
            </w:r>
            <w:r>
              <w:rPr>
                <w:color w:val="auto"/>
              </w:rPr>
              <w:t>5</w:t>
            </w:r>
            <w:r>
              <w:rPr>
                <w:rFonts w:hint="eastAsia"/>
                <w:color w:val="auto"/>
              </w:rPr>
              <w:t>分</w:t>
            </w:r>
          </w:p>
          <w:p w14:paraId="0AA2048B">
            <w:pPr>
              <w:pStyle w:val="44"/>
              <w:jc w:val="left"/>
              <w:rPr>
                <w:color w:val="auto"/>
              </w:rPr>
            </w:pPr>
            <w:r>
              <w:rPr>
                <w:color w:val="auto"/>
              </w:rPr>
              <w:t>4</w:t>
            </w:r>
            <w:r>
              <w:rPr>
                <w:rFonts w:hint="eastAsia"/>
                <w:color w:val="auto"/>
              </w:rPr>
              <w:t>）作业层外侧未采用阻燃密目安全网进行封闭或网间连接不严密，扣</w:t>
            </w:r>
            <w:r>
              <w:rPr>
                <w:color w:val="auto"/>
              </w:rPr>
              <w:t>5-10</w:t>
            </w:r>
            <w:r>
              <w:rPr>
                <w:rFonts w:hint="eastAsia"/>
                <w:color w:val="auto"/>
              </w:rPr>
              <w:t>分</w:t>
            </w:r>
          </w:p>
          <w:p w14:paraId="6EDF21BD">
            <w:pPr>
              <w:pStyle w:val="44"/>
              <w:jc w:val="left"/>
              <w:rPr>
                <w:color w:val="auto"/>
              </w:rPr>
            </w:pPr>
            <w:r>
              <w:rPr>
                <w:color w:val="auto"/>
              </w:rPr>
              <w:t>5</w:t>
            </w:r>
            <w:r>
              <w:rPr>
                <w:rFonts w:hint="eastAsia"/>
                <w:color w:val="auto"/>
              </w:rPr>
              <w:t>）当内立杆与建筑物距离大于</w:t>
            </w:r>
            <w:r>
              <w:rPr>
                <w:color w:val="auto"/>
              </w:rPr>
              <w:t>150mm</w:t>
            </w:r>
            <w:r>
              <w:rPr>
                <w:rFonts w:hint="eastAsia"/>
                <w:color w:val="auto"/>
              </w:rPr>
              <w:t>时，未采用脚手板或安全平网封闭，扣</w:t>
            </w:r>
            <w:r>
              <w:rPr>
                <w:color w:val="auto"/>
              </w:rPr>
              <w:t>5</w:t>
            </w:r>
            <w:r>
              <w:rPr>
                <w:rFonts w:hint="eastAsia"/>
                <w:color w:val="auto"/>
              </w:rPr>
              <w:t>分</w:t>
            </w:r>
          </w:p>
          <w:p w14:paraId="7AC8AC04">
            <w:pPr>
              <w:pStyle w:val="44"/>
              <w:keepNext/>
              <w:keepLines/>
              <w:spacing w:before="260" w:after="260"/>
              <w:jc w:val="left"/>
              <w:outlineLvl w:val="2"/>
              <w:rPr>
                <w:color w:val="auto"/>
              </w:rPr>
            </w:pPr>
            <w:r>
              <w:rPr>
                <w:color w:val="auto"/>
              </w:rPr>
              <w:t>6</w:t>
            </w:r>
            <w:r>
              <w:rPr>
                <w:rFonts w:hint="eastAsia"/>
                <w:color w:val="auto"/>
              </w:rPr>
              <w:t>）架体未按标准要求设置供人员上下专用梯道或坡道，扣</w:t>
            </w:r>
            <w:r>
              <w:rPr>
                <w:color w:val="auto"/>
              </w:rPr>
              <w:t>5</w:t>
            </w:r>
            <w:r>
              <w:rPr>
                <w:rFonts w:hint="eastAsia"/>
                <w:color w:val="auto"/>
              </w:rPr>
              <w:t>分</w:t>
            </w:r>
          </w:p>
        </w:tc>
        <w:tc>
          <w:tcPr>
            <w:tcW w:w="720" w:type="dxa"/>
            <w:vAlign w:val="center"/>
          </w:tcPr>
          <w:p w14:paraId="3D328142">
            <w:pPr>
              <w:pStyle w:val="44"/>
              <w:keepNext/>
              <w:keepLines/>
              <w:spacing w:before="260" w:after="260"/>
              <w:outlineLvl w:val="2"/>
              <w:rPr>
                <w:color w:val="auto"/>
              </w:rPr>
            </w:pPr>
            <w:r>
              <w:rPr>
                <w:color w:val="auto"/>
              </w:rPr>
              <w:t>10</w:t>
            </w:r>
          </w:p>
        </w:tc>
        <w:tc>
          <w:tcPr>
            <w:tcW w:w="720" w:type="dxa"/>
            <w:vAlign w:val="center"/>
          </w:tcPr>
          <w:p w14:paraId="58484617">
            <w:pPr>
              <w:pStyle w:val="44"/>
              <w:rPr>
                <w:color w:val="auto"/>
              </w:rPr>
            </w:pPr>
          </w:p>
        </w:tc>
        <w:tc>
          <w:tcPr>
            <w:tcW w:w="720" w:type="dxa"/>
            <w:vAlign w:val="center"/>
          </w:tcPr>
          <w:p w14:paraId="36270F0D">
            <w:pPr>
              <w:pStyle w:val="44"/>
              <w:rPr>
                <w:color w:val="auto"/>
              </w:rPr>
            </w:pPr>
          </w:p>
        </w:tc>
      </w:tr>
      <w:tr w14:paraId="217B0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B6C890B">
            <w:pPr>
              <w:pStyle w:val="44"/>
              <w:rPr>
                <w:color w:val="auto"/>
              </w:rPr>
            </w:pPr>
            <w:r>
              <w:rPr>
                <w:color w:val="auto"/>
              </w:rPr>
              <w:t>3</w:t>
            </w:r>
          </w:p>
        </w:tc>
        <w:tc>
          <w:tcPr>
            <w:tcW w:w="543" w:type="dxa"/>
            <w:vMerge w:val="continue"/>
          </w:tcPr>
          <w:p w14:paraId="21C40DAB">
            <w:pPr>
              <w:pStyle w:val="44"/>
              <w:rPr>
                <w:color w:val="auto"/>
              </w:rPr>
            </w:pPr>
          </w:p>
        </w:tc>
        <w:tc>
          <w:tcPr>
            <w:tcW w:w="898" w:type="dxa"/>
            <w:vAlign w:val="center"/>
          </w:tcPr>
          <w:p w14:paraId="1BA80B9B">
            <w:pPr>
              <w:pStyle w:val="44"/>
              <w:rPr>
                <w:color w:val="auto"/>
              </w:rPr>
            </w:pPr>
            <w:r>
              <w:rPr>
                <w:rFonts w:hint="eastAsia"/>
                <w:color w:val="auto"/>
              </w:rPr>
              <w:t>使用与监测</w:t>
            </w:r>
          </w:p>
        </w:tc>
        <w:tc>
          <w:tcPr>
            <w:tcW w:w="5580" w:type="dxa"/>
            <w:vAlign w:val="center"/>
          </w:tcPr>
          <w:p w14:paraId="2C677D63">
            <w:pPr>
              <w:pStyle w:val="44"/>
              <w:jc w:val="left"/>
              <w:rPr>
                <w:color w:val="auto"/>
              </w:rPr>
            </w:pPr>
            <w:r>
              <w:rPr>
                <w:color w:val="auto"/>
              </w:rPr>
              <w:t>1</w:t>
            </w:r>
            <w:r>
              <w:rPr>
                <w:rFonts w:hint="eastAsia"/>
                <w:color w:val="auto"/>
              </w:rPr>
              <w:t>）作业层施工均布荷载或集中荷载超过设计允许范围，</w:t>
            </w:r>
            <w:r>
              <w:rPr>
                <w:color w:val="auto"/>
              </w:rPr>
              <w:t>10</w:t>
            </w:r>
            <w:r>
              <w:rPr>
                <w:rFonts w:hint="eastAsia"/>
                <w:color w:val="auto"/>
              </w:rPr>
              <w:t>分</w:t>
            </w:r>
          </w:p>
          <w:p w14:paraId="38028D57">
            <w:pPr>
              <w:pStyle w:val="44"/>
              <w:jc w:val="left"/>
              <w:rPr>
                <w:color w:val="auto"/>
              </w:rPr>
            </w:pPr>
            <w:r>
              <w:rPr>
                <w:color w:val="auto"/>
              </w:rPr>
              <w:t>2</w:t>
            </w:r>
            <w:r>
              <w:rPr>
                <w:rFonts w:hint="eastAsia"/>
                <w:color w:val="auto"/>
              </w:rPr>
              <w:t>）荷载堆放不均匀，每处扣</w:t>
            </w:r>
            <w:r>
              <w:rPr>
                <w:color w:val="auto"/>
              </w:rPr>
              <w:t>5</w:t>
            </w:r>
            <w:r>
              <w:rPr>
                <w:rFonts w:hint="eastAsia"/>
                <w:color w:val="auto"/>
              </w:rPr>
              <w:t>分</w:t>
            </w:r>
          </w:p>
          <w:p w14:paraId="28E09E05">
            <w:pPr>
              <w:pStyle w:val="44"/>
              <w:jc w:val="left"/>
              <w:rPr>
                <w:color w:val="auto"/>
              </w:rPr>
            </w:pPr>
            <w:r>
              <w:rPr>
                <w:color w:val="auto"/>
              </w:rPr>
              <w:t>3</w:t>
            </w:r>
            <w:r>
              <w:rPr>
                <w:rFonts w:hint="eastAsia"/>
                <w:color w:val="auto"/>
              </w:rPr>
              <w:t>）使用过程中，未经采取加固措施拆除构配件，扣</w:t>
            </w:r>
            <w:r>
              <w:rPr>
                <w:color w:val="auto"/>
              </w:rPr>
              <w:t>5-10</w:t>
            </w:r>
            <w:r>
              <w:rPr>
                <w:rFonts w:hint="eastAsia"/>
                <w:color w:val="auto"/>
              </w:rPr>
              <w:t>分</w:t>
            </w:r>
          </w:p>
          <w:p w14:paraId="1735A123">
            <w:pPr>
              <w:pStyle w:val="44"/>
              <w:jc w:val="left"/>
              <w:rPr>
                <w:color w:val="auto"/>
              </w:rPr>
            </w:pPr>
            <w:r>
              <w:rPr>
                <w:color w:val="auto"/>
              </w:rPr>
              <w:t>4</w:t>
            </w:r>
            <w:r>
              <w:rPr>
                <w:rFonts w:hint="eastAsia"/>
                <w:color w:val="auto"/>
              </w:rPr>
              <w:t>）使用过程中，未对地基排水性能、架体结构的完整性和连接牢固性、基础沉降、立杆垂直度和使用工况进行定期巡视检查与监测，或未形成记录，扣</w:t>
            </w:r>
            <w:r>
              <w:rPr>
                <w:color w:val="auto"/>
              </w:rPr>
              <w:t>10</w:t>
            </w:r>
            <w:r>
              <w:rPr>
                <w:rFonts w:hint="eastAsia"/>
                <w:color w:val="auto"/>
              </w:rPr>
              <w:t>分</w:t>
            </w:r>
          </w:p>
        </w:tc>
        <w:tc>
          <w:tcPr>
            <w:tcW w:w="720" w:type="dxa"/>
            <w:vAlign w:val="center"/>
          </w:tcPr>
          <w:p w14:paraId="2C06A432">
            <w:pPr>
              <w:pStyle w:val="44"/>
              <w:rPr>
                <w:color w:val="auto"/>
              </w:rPr>
            </w:pPr>
            <w:r>
              <w:rPr>
                <w:color w:val="auto"/>
              </w:rPr>
              <w:t>10</w:t>
            </w:r>
          </w:p>
        </w:tc>
        <w:tc>
          <w:tcPr>
            <w:tcW w:w="720" w:type="dxa"/>
            <w:vAlign w:val="center"/>
          </w:tcPr>
          <w:p w14:paraId="03DB8117">
            <w:pPr>
              <w:pStyle w:val="44"/>
              <w:rPr>
                <w:color w:val="auto"/>
              </w:rPr>
            </w:pPr>
          </w:p>
        </w:tc>
        <w:tc>
          <w:tcPr>
            <w:tcW w:w="720" w:type="dxa"/>
            <w:vAlign w:val="center"/>
          </w:tcPr>
          <w:p w14:paraId="668579F3">
            <w:pPr>
              <w:pStyle w:val="44"/>
              <w:rPr>
                <w:color w:val="auto"/>
              </w:rPr>
            </w:pPr>
          </w:p>
        </w:tc>
      </w:tr>
      <w:tr w14:paraId="70D49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62B3EF4">
            <w:pPr>
              <w:pStyle w:val="44"/>
              <w:rPr>
                <w:color w:val="auto"/>
              </w:rPr>
            </w:pPr>
          </w:p>
        </w:tc>
        <w:tc>
          <w:tcPr>
            <w:tcW w:w="543" w:type="dxa"/>
            <w:vMerge w:val="continue"/>
          </w:tcPr>
          <w:p w14:paraId="4902CCDC">
            <w:pPr>
              <w:pStyle w:val="44"/>
              <w:rPr>
                <w:color w:val="auto"/>
              </w:rPr>
            </w:pPr>
          </w:p>
        </w:tc>
        <w:tc>
          <w:tcPr>
            <w:tcW w:w="6478" w:type="dxa"/>
            <w:gridSpan w:val="2"/>
            <w:vAlign w:val="center"/>
          </w:tcPr>
          <w:p w14:paraId="7245B080">
            <w:pPr>
              <w:pStyle w:val="44"/>
              <w:rPr>
                <w:b/>
                <w:bCs w:val="0"/>
                <w:color w:val="auto"/>
              </w:rPr>
            </w:pPr>
            <w:r>
              <w:rPr>
                <w:rFonts w:hint="eastAsia"/>
                <w:b/>
                <w:bCs w:val="0"/>
                <w:color w:val="auto"/>
              </w:rPr>
              <w:t xml:space="preserve">小 </w:t>
            </w:r>
            <w:r>
              <w:rPr>
                <w:b/>
                <w:bCs w:val="0"/>
                <w:color w:val="auto"/>
              </w:rPr>
              <w:t xml:space="preserve"> </w:t>
            </w:r>
            <w:r>
              <w:rPr>
                <w:rFonts w:hint="eastAsia"/>
                <w:b/>
                <w:bCs w:val="0"/>
                <w:color w:val="auto"/>
              </w:rPr>
              <w:t>计</w:t>
            </w:r>
          </w:p>
        </w:tc>
        <w:tc>
          <w:tcPr>
            <w:tcW w:w="720" w:type="dxa"/>
            <w:vAlign w:val="center"/>
          </w:tcPr>
          <w:p w14:paraId="27497595">
            <w:pPr>
              <w:pStyle w:val="44"/>
              <w:rPr>
                <w:color w:val="auto"/>
              </w:rPr>
            </w:pPr>
            <w:r>
              <w:rPr>
                <w:color w:val="auto"/>
              </w:rPr>
              <w:t>30</w:t>
            </w:r>
          </w:p>
        </w:tc>
        <w:tc>
          <w:tcPr>
            <w:tcW w:w="720" w:type="dxa"/>
            <w:vAlign w:val="center"/>
          </w:tcPr>
          <w:p w14:paraId="105DDF8D">
            <w:pPr>
              <w:pStyle w:val="44"/>
              <w:rPr>
                <w:color w:val="auto"/>
              </w:rPr>
            </w:pPr>
          </w:p>
        </w:tc>
        <w:tc>
          <w:tcPr>
            <w:tcW w:w="720" w:type="dxa"/>
            <w:vAlign w:val="center"/>
          </w:tcPr>
          <w:p w14:paraId="60E8A855">
            <w:pPr>
              <w:pStyle w:val="44"/>
              <w:rPr>
                <w:color w:val="auto"/>
              </w:rPr>
            </w:pPr>
          </w:p>
        </w:tc>
      </w:tr>
      <w:tr w14:paraId="5CEBA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560" w:type="dxa"/>
            <w:gridSpan w:val="4"/>
            <w:vAlign w:val="center"/>
          </w:tcPr>
          <w:p w14:paraId="12DD8AA5">
            <w:pPr>
              <w:pStyle w:val="44"/>
              <w:rPr>
                <w:b/>
                <w:bCs w:val="0"/>
                <w:color w:val="auto"/>
              </w:rPr>
            </w:pPr>
            <w:r>
              <w:rPr>
                <w:rFonts w:hint="eastAsia"/>
                <w:b/>
                <w:bCs w:val="0"/>
                <w:color w:val="auto"/>
              </w:rPr>
              <w:t>检查项目合计</w:t>
            </w:r>
          </w:p>
        </w:tc>
        <w:tc>
          <w:tcPr>
            <w:tcW w:w="720" w:type="dxa"/>
            <w:vAlign w:val="center"/>
          </w:tcPr>
          <w:p w14:paraId="33B2F249">
            <w:pPr>
              <w:pStyle w:val="44"/>
              <w:rPr>
                <w:color w:val="auto"/>
              </w:rPr>
            </w:pPr>
            <w:r>
              <w:rPr>
                <w:color w:val="auto"/>
              </w:rPr>
              <w:t>100</w:t>
            </w:r>
          </w:p>
        </w:tc>
        <w:tc>
          <w:tcPr>
            <w:tcW w:w="720" w:type="dxa"/>
            <w:vAlign w:val="center"/>
          </w:tcPr>
          <w:p w14:paraId="6E27F0CA">
            <w:pPr>
              <w:pStyle w:val="44"/>
              <w:rPr>
                <w:color w:val="auto"/>
              </w:rPr>
            </w:pPr>
          </w:p>
        </w:tc>
        <w:tc>
          <w:tcPr>
            <w:tcW w:w="720" w:type="dxa"/>
            <w:vAlign w:val="center"/>
          </w:tcPr>
          <w:p w14:paraId="4B27EDAD">
            <w:pPr>
              <w:pStyle w:val="44"/>
              <w:rPr>
                <w:color w:val="auto"/>
              </w:rPr>
            </w:pPr>
          </w:p>
        </w:tc>
      </w:tr>
    </w:tbl>
    <w:p w14:paraId="75629A86"/>
    <w:p w14:paraId="1844908B">
      <w:pPr>
        <w:pStyle w:val="5"/>
      </w:pPr>
      <w:r>
        <w:rPr>
          <w:rFonts w:hint="eastAsia"/>
        </w:rPr>
        <w:br w:type="page"/>
      </w:r>
      <w:bookmarkStart w:id="43" w:name="_Toc28401"/>
      <w:bookmarkStart w:id="44" w:name="_Toc25822"/>
      <w:bookmarkStart w:id="45" w:name="_Toc13157"/>
      <w:r>
        <w:rPr>
          <w:rFonts w:hint="eastAsia"/>
        </w:rPr>
        <w:t>表B.1</w:t>
      </w:r>
      <w:r>
        <w:t>2</w:t>
      </w:r>
      <w:r>
        <w:rPr>
          <w:rFonts w:hint="eastAsia"/>
        </w:rPr>
        <w:t xml:space="preserve">  钢管满堂脚手架检查</w:t>
      </w:r>
      <w:r>
        <w:t>评分表</w:t>
      </w:r>
      <w:bookmarkEnd w:id="43"/>
      <w:bookmarkEnd w:id="44"/>
      <w:bookmarkEnd w:id="45"/>
    </w:p>
    <w:tbl>
      <w:tblPr>
        <w:tblStyle w:val="19"/>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2E7DB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jc w:val="center"/>
        </w:trPr>
        <w:tc>
          <w:tcPr>
            <w:tcW w:w="539" w:type="dxa"/>
            <w:vAlign w:val="center"/>
          </w:tcPr>
          <w:p w14:paraId="4D38429F">
            <w:pPr>
              <w:pStyle w:val="44"/>
              <w:rPr>
                <w:color w:val="auto"/>
              </w:rPr>
            </w:pPr>
            <w:r>
              <w:rPr>
                <w:rFonts w:hint="eastAsia"/>
                <w:color w:val="auto"/>
              </w:rPr>
              <w:t>序号</w:t>
            </w:r>
          </w:p>
        </w:tc>
        <w:tc>
          <w:tcPr>
            <w:tcW w:w="1441" w:type="dxa"/>
            <w:gridSpan w:val="2"/>
            <w:vAlign w:val="center"/>
          </w:tcPr>
          <w:p w14:paraId="053E2F40">
            <w:pPr>
              <w:pStyle w:val="44"/>
              <w:rPr>
                <w:color w:val="auto"/>
              </w:rPr>
            </w:pPr>
            <w:r>
              <w:rPr>
                <w:rFonts w:hint="eastAsia"/>
                <w:color w:val="auto"/>
              </w:rPr>
              <w:t>检查项目</w:t>
            </w:r>
          </w:p>
        </w:tc>
        <w:tc>
          <w:tcPr>
            <w:tcW w:w="5580" w:type="dxa"/>
            <w:vAlign w:val="center"/>
          </w:tcPr>
          <w:p w14:paraId="3ABDAF28">
            <w:pPr>
              <w:pStyle w:val="44"/>
              <w:rPr>
                <w:color w:val="auto"/>
              </w:rPr>
            </w:pPr>
            <w:r>
              <w:rPr>
                <w:rFonts w:hint="eastAsia"/>
                <w:color w:val="auto"/>
              </w:rPr>
              <w:t>扣 分 标 准</w:t>
            </w:r>
          </w:p>
        </w:tc>
        <w:tc>
          <w:tcPr>
            <w:tcW w:w="720" w:type="dxa"/>
            <w:vAlign w:val="center"/>
          </w:tcPr>
          <w:p w14:paraId="2DE47492">
            <w:pPr>
              <w:pStyle w:val="44"/>
              <w:rPr>
                <w:color w:val="auto"/>
              </w:rPr>
            </w:pPr>
            <w:r>
              <w:rPr>
                <w:rFonts w:hint="eastAsia"/>
                <w:color w:val="auto"/>
              </w:rPr>
              <w:t>应得</w:t>
            </w:r>
          </w:p>
          <w:p w14:paraId="391121D6">
            <w:pPr>
              <w:pStyle w:val="44"/>
              <w:rPr>
                <w:color w:val="auto"/>
              </w:rPr>
            </w:pPr>
            <w:r>
              <w:rPr>
                <w:rFonts w:hint="eastAsia"/>
                <w:color w:val="auto"/>
              </w:rPr>
              <w:t>分数</w:t>
            </w:r>
          </w:p>
        </w:tc>
        <w:tc>
          <w:tcPr>
            <w:tcW w:w="720" w:type="dxa"/>
            <w:vAlign w:val="center"/>
          </w:tcPr>
          <w:p w14:paraId="63D9F207">
            <w:pPr>
              <w:pStyle w:val="44"/>
              <w:rPr>
                <w:color w:val="auto"/>
              </w:rPr>
            </w:pPr>
            <w:r>
              <w:rPr>
                <w:rFonts w:hint="eastAsia"/>
                <w:color w:val="auto"/>
              </w:rPr>
              <w:t>扣减</w:t>
            </w:r>
          </w:p>
          <w:p w14:paraId="0E879AA6">
            <w:pPr>
              <w:pStyle w:val="44"/>
              <w:rPr>
                <w:color w:val="auto"/>
              </w:rPr>
            </w:pPr>
            <w:r>
              <w:rPr>
                <w:rFonts w:hint="eastAsia"/>
                <w:color w:val="auto"/>
              </w:rPr>
              <w:t>分数</w:t>
            </w:r>
          </w:p>
        </w:tc>
        <w:tc>
          <w:tcPr>
            <w:tcW w:w="720" w:type="dxa"/>
            <w:vAlign w:val="center"/>
          </w:tcPr>
          <w:p w14:paraId="433CE25F">
            <w:pPr>
              <w:pStyle w:val="44"/>
              <w:rPr>
                <w:color w:val="auto"/>
              </w:rPr>
            </w:pPr>
            <w:r>
              <w:rPr>
                <w:rFonts w:hint="eastAsia"/>
                <w:color w:val="auto"/>
              </w:rPr>
              <w:t>实得</w:t>
            </w:r>
          </w:p>
          <w:p w14:paraId="2EBA762F">
            <w:pPr>
              <w:pStyle w:val="44"/>
              <w:rPr>
                <w:color w:val="auto"/>
              </w:rPr>
            </w:pPr>
            <w:r>
              <w:rPr>
                <w:rFonts w:hint="eastAsia"/>
                <w:color w:val="auto"/>
              </w:rPr>
              <w:t>分数</w:t>
            </w:r>
          </w:p>
        </w:tc>
      </w:tr>
      <w:tr w14:paraId="57D90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5D64C228">
            <w:pPr>
              <w:pStyle w:val="44"/>
              <w:rPr>
                <w:color w:val="auto"/>
              </w:rPr>
            </w:pPr>
            <w:r>
              <w:rPr>
                <w:rFonts w:hint="eastAsia"/>
                <w:color w:val="auto"/>
              </w:rPr>
              <w:t>1</w:t>
            </w:r>
          </w:p>
        </w:tc>
        <w:tc>
          <w:tcPr>
            <w:tcW w:w="543" w:type="dxa"/>
            <w:vMerge w:val="restart"/>
            <w:vAlign w:val="center"/>
          </w:tcPr>
          <w:p w14:paraId="5E75FA4D">
            <w:pPr>
              <w:pStyle w:val="44"/>
              <w:rPr>
                <w:color w:val="auto"/>
              </w:rPr>
            </w:pPr>
            <w:r>
              <w:rPr>
                <w:rFonts w:hint="eastAsia"/>
                <w:color w:val="auto"/>
              </w:rPr>
              <w:t>保</w:t>
            </w:r>
          </w:p>
          <w:p w14:paraId="6DFEE844">
            <w:pPr>
              <w:pStyle w:val="44"/>
              <w:rPr>
                <w:color w:val="auto"/>
              </w:rPr>
            </w:pPr>
            <w:r>
              <w:rPr>
                <w:rFonts w:hint="eastAsia"/>
                <w:color w:val="auto"/>
              </w:rPr>
              <w:t>证</w:t>
            </w:r>
          </w:p>
          <w:p w14:paraId="39676B95">
            <w:pPr>
              <w:pStyle w:val="44"/>
              <w:rPr>
                <w:color w:val="auto"/>
              </w:rPr>
            </w:pPr>
            <w:r>
              <w:rPr>
                <w:rFonts w:hint="eastAsia"/>
                <w:color w:val="auto"/>
              </w:rPr>
              <w:t>项</w:t>
            </w:r>
          </w:p>
          <w:p w14:paraId="6A759C87">
            <w:pPr>
              <w:pStyle w:val="44"/>
              <w:rPr>
                <w:color w:val="auto"/>
              </w:rPr>
            </w:pPr>
            <w:r>
              <w:rPr>
                <w:rFonts w:hint="eastAsia"/>
                <w:color w:val="auto"/>
              </w:rPr>
              <w:t>目</w:t>
            </w:r>
          </w:p>
        </w:tc>
        <w:tc>
          <w:tcPr>
            <w:tcW w:w="898" w:type="dxa"/>
            <w:vAlign w:val="center"/>
          </w:tcPr>
          <w:p w14:paraId="3D7D5A29">
            <w:pPr>
              <w:pStyle w:val="44"/>
              <w:rPr>
                <w:color w:val="auto"/>
              </w:rPr>
            </w:pPr>
            <w:r>
              <w:rPr>
                <w:rFonts w:hint="eastAsia"/>
                <w:color w:val="auto"/>
              </w:rPr>
              <w:t>方案与交底</w:t>
            </w:r>
          </w:p>
        </w:tc>
        <w:tc>
          <w:tcPr>
            <w:tcW w:w="5580" w:type="dxa"/>
            <w:vAlign w:val="center"/>
          </w:tcPr>
          <w:p w14:paraId="3C11F1BC">
            <w:pPr>
              <w:pStyle w:val="44"/>
              <w:jc w:val="left"/>
              <w:rPr>
                <w:color w:val="auto"/>
              </w:rPr>
            </w:pPr>
            <w:r>
              <w:rPr>
                <w:color w:val="auto"/>
              </w:rPr>
              <w:t>1）未按规定编制专项施工方案，或架体结构</w:t>
            </w:r>
            <w:r>
              <w:rPr>
                <w:rFonts w:hint="eastAsia"/>
                <w:color w:val="auto"/>
              </w:rPr>
              <w:t>和</w:t>
            </w:r>
            <w:r>
              <w:rPr>
                <w:color w:val="auto"/>
              </w:rPr>
              <w:t>立杆地基承载力未经设计计算，扣10分；方案编制内容不全或无针对性，扣2-5分</w:t>
            </w:r>
          </w:p>
          <w:p w14:paraId="1A2C9F2B">
            <w:pPr>
              <w:pStyle w:val="44"/>
              <w:jc w:val="left"/>
              <w:rPr>
                <w:color w:val="auto"/>
              </w:rPr>
            </w:pPr>
            <w:r>
              <w:rPr>
                <w:color w:val="auto"/>
              </w:rPr>
              <w:t>2）专项施工方案未按规定进行审核、审批，扣10分</w:t>
            </w:r>
          </w:p>
          <w:p w14:paraId="4658EF7F">
            <w:pPr>
              <w:pStyle w:val="44"/>
              <w:jc w:val="left"/>
              <w:rPr>
                <w:color w:val="auto"/>
              </w:rPr>
            </w:pPr>
            <w:r>
              <w:rPr>
                <w:color w:val="auto"/>
              </w:rPr>
              <w:t>3）专项施工方案实施前，未进行安全技术交底，扣10分；交底无针对性或无文字记录，扣2-5分</w:t>
            </w:r>
          </w:p>
        </w:tc>
        <w:tc>
          <w:tcPr>
            <w:tcW w:w="720" w:type="dxa"/>
            <w:vAlign w:val="center"/>
          </w:tcPr>
          <w:p w14:paraId="29961FBA">
            <w:pPr>
              <w:pStyle w:val="44"/>
              <w:rPr>
                <w:color w:val="auto"/>
              </w:rPr>
            </w:pPr>
            <w:r>
              <w:rPr>
                <w:rFonts w:hint="eastAsia"/>
                <w:color w:val="auto"/>
              </w:rPr>
              <w:t>10</w:t>
            </w:r>
          </w:p>
        </w:tc>
        <w:tc>
          <w:tcPr>
            <w:tcW w:w="720" w:type="dxa"/>
            <w:vAlign w:val="center"/>
          </w:tcPr>
          <w:p w14:paraId="04302DE1">
            <w:pPr>
              <w:pStyle w:val="44"/>
              <w:rPr>
                <w:color w:val="auto"/>
              </w:rPr>
            </w:pPr>
          </w:p>
        </w:tc>
        <w:tc>
          <w:tcPr>
            <w:tcW w:w="720" w:type="dxa"/>
            <w:vAlign w:val="center"/>
          </w:tcPr>
          <w:p w14:paraId="5C46BC51">
            <w:pPr>
              <w:pStyle w:val="44"/>
              <w:rPr>
                <w:color w:val="auto"/>
              </w:rPr>
            </w:pPr>
          </w:p>
        </w:tc>
      </w:tr>
      <w:tr w14:paraId="595B4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3A664F08">
            <w:pPr>
              <w:pStyle w:val="44"/>
              <w:rPr>
                <w:color w:val="auto"/>
              </w:rPr>
            </w:pPr>
            <w:r>
              <w:rPr>
                <w:rFonts w:hint="eastAsia"/>
                <w:color w:val="auto"/>
              </w:rPr>
              <w:t>2</w:t>
            </w:r>
          </w:p>
        </w:tc>
        <w:tc>
          <w:tcPr>
            <w:tcW w:w="543" w:type="dxa"/>
            <w:vMerge w:val="continue"/>
          </w:tcPr>
          <w:p w14:paraId="4A17FA5A">
            <w:pPr>
              <w:pStyle w:val="44"/>
              <w:rPr>
                <w:color w:val="auto"/>
              </w:rPr>
            </w:pPr>
          </w:p>
        </w:tc>
        <w:tc>
          <w:tcPr>
            <w:tcW w:w="898" w:type="dxa"/>
            <w:vAlign w:val="center"/>
          </w:tcPr>
          <w:p w14:paraId="3D9D7AA4">
            <w:pPr>
              <w:pStyle w:val="44"/>
              <w:rPr>
                <w:color w:val="auto"/>
              </w:rPr>
            </w:pPr>
            <w:r>
              <w:rPr>
                <w:color w:val="auto"/>
              </w:rPr>
              <w:t>构配件材质</w:t>
            </w:r>
          </w:p>
        </w:tc>
        <w:tc>
          <w:tcPr>
            <w:tcW w:w="5580" w:type="dxa"/>
            <w:vAlign w:val="center"/>
          </w:tcPr>
          <w:p w14:paraId="0B024469">
            <w:pPr>
              <w:pStyle w:val="44"/>
              <w:jc w:val="left"/>
              <w:rPr>
                <w:color w:val="auto"/>
              </w:rPr>
            </w:pPr>
            <w:r>
              <w:rPr>
                <w:color w:val="auto"/>
              </w:rPr>
              <w:t>1）进场的钢管及构配件无质量合格证、产品性能检验报告，扣10分</w:t>
            </w:r>
          </w:p>
          <w:p w14:paraId="3C454DF5">
            <w:pPr>
              <w:pStyle w:val="44"/>
              <w:jc w:val="left"/>
              <w:rPr>
                <w:color w:val="auto"/>
              </w:rPr>
            </w:pPr>
            <w:r>
              <w:rPr>
                <w:color w:val="auto"/>
              </w:rPr>
              <w:t>2）钢管及构配件的规格、型号、材质或产品质量不符合标准要求，扣5-10分</w:t>
            </w:r>
          </w:p>
          <w:p w14:paraId="0E439DC5">
            <w:pPr>
              <w:pStyle w:val="44"/>
              <w:jc w:val="left"/>
              <w:rPr>
                <w:color w:val="auto"/>
              </w:rPr>
            </w:pPr>
            <w:r>
              <w:rPr>
                <w:color w:val="auto"/>
              </w:rPr>
              <w:t>3）钢管弯曲、变形、锈蚀严重，扣10分</w:t>
            </w:r>
          </w:p>
          <w:p w14:paraId="6485D182">
            <w:pPr>
              <w:pStyle w:val="44"/>
              <w:jc w:val="left"/>
              <w:rPr>
                <w:color w:val="auto"/>
              </w:rPr>
            </w:pPr>
            <w:r>
              <w:rPr>
                <w:color w:val="auto"/>
              </w:rPr>
              <w:t>4）焊缝不饱满或存在开焊，扣5分</w:t>
            </w:r>
          </w:p>
          <w:p w14:paraId="5AF27642">
            <w:pPr>
              <w:pStyle w:val="44"/>
              <w:jc w:val="left"/>
              <w:rPr>
                <w:color w:val="auto"/>
              </w:rPr>
            </w:pPr>
            <w:r>
              <w:rPr>
                <w:color w:val="auto"/>
              </w:rPr>
              <w:t>5）</w:t>
            </w:r>
            <w:r>
              <w:rPr>
                <w:rFonts w:hint="eastAsia"/>
                <w:color w:val="auto"/>
              </w:rPr>
              <w:t>所采用的</w:t>
            </w:r>
            <w:r>
              <w:rPr>
                <w:color w:val="auto"/>
              </w:rPr>
              <w:t>扣件未进行复试或技术性能不符合标准要求，扣5分</w:t>
            </w:r>
          </w:p>
        </w:tc>
        <w:tc>
          <w:tcPr>
            <w:tcW w:w="720" w:type="dxa"/>
            <w:vAlign w:val="center"/>
          </w:tcPr>
          <w:p w14:paraId="71F50DD5">
            <w:pPr>
              <w:pStyle w:val="44"/>
              <w:rPr>
                <w:color w:val="auto"/>
              </w:rPr>
            </w:pPr>
            <w:r>
              <w:rPr>
                <w:rFonts w:hint="eastAsia"/>
                <w:color w:val="auto"/>
              </w:rPr>
              <w:t>10</w:t>
            </w:r>
          </w:p>
        </w:tc>
        <w:tc>
          <w:tcPr>
            <w:tcW w:w="720" w:type="dxa"/>
            <w:vAlign w:val="center"/>
          </w:tcPr>
          <w:p w14:paraId="47A8675E">
            <w:pPr>
              <w:pStyle w:val="44"/>
              <w:rPr>
                <w:color w:val="auto"/>
              </w:rPr>
            </w:pPr>
          </w:p>
        </w:tc>
        <w:tc>
          <w:tcPr>
            <w:tcW w:w="720" w:type="dxa"/>
            <w:vAlign w:val="center"/>
          </w:tcPr>
          <w:p w14:paraId="2419E8BF">
            <w:pPr>
              <w:pStyle w:val="44"/>
              <w:rPr>
                <w:color w:val="auto"/>
              </w:rPr>
            </w:pPr>
          </w:p>
        </w:tc>
      </w:tr>
      <w:tr w14:paraId="56913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726063C">
            <w:pPr>
              <w:pStyle w:val="44"/>
              <w:rPr>
                <w:color w:val="auto"/>
              </w:rPr>
            </w:pPr>
            <w:r>
              <w:rPr>
                <w:rFonts w:hint="eastAsia"/>
                <w:color w:val="auto"/>
              </w:rPr>
              <w:t>3</w:t>
            </w:r>
          </w:p>
        </w:tc>
        <w:tc>
          <w:tcPr>
            <w:tcW w:w="543" w:type="dxa"/>
            <w:vMerge w:val="continue"/>
          </w:tcPr>
          <w:p w14:paraId="1A0021AE">
            <w:pPr>
              <w:pStyle w:val="44"/>
              <w:rPr>
                <w:color w:val="auto"/>
              </w:rPr>
            </w:pPr>
          </w:p>
        </w:tc>
        <w:tc>
          <w:tcPr>
            <w:tcW w:w="898" w:type="dxa"/>
            <w:vAlign w:val="center"/>
          </w:tcPr>
          <w:p w14:paraId="150818ED">
            <w:pPr>
              <w:pStyle w:val="44"/>
              <w:rPr>
                <w:color w:val="auto"/>
              </w:rPr>
            </w:pPr>
            <w:r>
              <w:rPr>
                <w:color w:val="auto"/>
              </w:rPr>
              <w:t>地基基础</w:t>
            </w:r>
          </w:p>
        </w:tc>
        <w:tc>
          <w:tcPr>
            <w:tcW w:w="5580" w:type="dxa"/>
            <w:vAlign w:val="center"/>
          </w:tcPr>
          <w:p w14:paraId="609E644D">
            <w:pPr>
              <w:pStyle w:val="44"/>
              <w:jc w:val="left"/>
              <w:rPr>
                <w:color w:val="auto"/>
              </w:rPr>
            </w:pPr>
            <w:r>
              <w:rPr>
                <w:color w:val="auto"/>
              </w:rPr>
              <w:t>1）立杆基础不平、不实，或不符合专项施工方案要求，扣5-10分</w:t>
            </w:r>
          </w:p>
          <w:p w14:paraId="332BEE57">
            <w:pPr>
              <w:pStyle w:val="44"/>
              <w:jc w:val="left"/>
              <w:rPr>
                <w:color w:val="auto"/>
              </w:rPr>
            </w:pPr>
            <w:r>
              <w:rPr>
                <w:color w:val="auto"/>
              </w:rPr>
              <w:t>2）未采取排水措施，或排水设施不完善，排水不畅通，扣5-10分</w:t>
            </w:r>
          </w:p>
          <w:p w14:paraId="3A45C329">
            <w:pPr>
              <w:pStyle w:val="44"/>
              <w:jc w:val="left"/>
              <w:rPr>
                <w:color w:val="auto"/>
              </w:rPr>
            </w:pPr>
            <w:r>
              <w:rPr>
                <w:color w:val="auto"/>
              </w:rPr>
              <w:t>3）立杆底部未设置底座、垫板，或垫板的规格不符合标准要求，每处扣2分</w:t>
            </w:r>
          </w:p>
          <w:p w14:paraId="24E490AC">
            <w:pPr>
              <w:pStyle w:val="44"/>
              <w:jc w:val="left"/>
              <w:rPr>
                <w:color w:val="auto"/>
              </w:rPr>
            </w:pPr>
            <w:r>
              <w:rPr>
                <w:color w:val="auto"/>
              </w:rPr>
              <w:t>4</w:t>
            </w:r>
            <w:r>
              <w:rPr>
                <w:rFonts w:hint="eastAsia"/>
                <w:color w:val="auto"/>
              </w:rPr>
              <w:t>）底座松动或立杆悬空，每处扣</w:t>
            </w:r>
            <w:r>
              <w:rPr>
                <w:color w:val="auto"/>
              </w:rPr>
              <w:t>2</w:t>
            </w:r>
            <w:r>
              <w:rPr>
                <w:rFonts w:hint="eastAsia"/>
                <w:color w:val="auto"/>
              </w:rPr>
              <w:t>分</w:t>
            </w:r>
          </w:p>
          <w:p w14:paraId="60CA3310">
            <w:pPr>
              <w:pStyle w:val="44"/>
              <w:jc w:val="left"/>
              <w:rPr>
                <w:color w:val="auto"/>
              </w:rPr>
            </w:pPr>
            <w:r>
              <w:rPr>
                <w:color w:val="auto"/>
              </w:rPr>
              <w:t>5</w:t>
            </w:r>
            <w:r>
              <w:rPr>
                <w:rFonts w:hint="eastAsia"/>
                <w:color w:val="auto"/>
              </w:rPr>
              <w:t>）当脚手架搭设在既有结构上时，未对既有结构的承载力进行验算，或未采取加固措施，扣</w:t>
            </w:r>
            <w:r>
              <w:rPr>
                <w:color w:val="auto"/>
              </w:rPr>
              <w:t>10</w:t>
            </w:r>
            <w:r>
              <w:rPr>
                <w:rFonts w:hint="eastAsia"/>
                <w:color w:val="auto"/>
              </w:rPr>
              <w:t>分</w:t>
            </w:r>
          </w:p>
        </w:tc>
        <w:tc>
          <w:tcPr>
            <w:tcW w:w="720" w:type="dxa"/>
            <w:vAlign w:val="center"/>
          </w:tcPr>
          <w:p w14:paraId="4255C66F">
            <w:pPr>
              <w:pStyle w:val="44"/>
              <w:rPr>
                <w:color w:val="auto"/>
              </w:rPr>
            </w:pPr>
            <w:r>
              <w:rPr>
                <w:rFonts w:hint="eastAsia"/>
                <w:color w:val="auto"/>
              </w:rPr>
              <w:t>10</w:t>
            </w:r>
          </w:p>
        </w:tc>
        <w:tc>
          <w:tcPr>
            <w:tcW w:w="720" w:type="dxa"/>
            <w:vAlign w:val="center"/>
          </w:tcPr>
          <w:p w14:paraId="20FA4618">
            <w:pPr>
              <w:pStyle w:val="44"/>
              <w:rPr>
                <w:color w:val="auto"/>
              </w:rPr>
            </w:pPr>
          </w:p>
        </w:tc>
        <w:tc>
          <w:tcPr>
            <w:tcW w:w="720" w:type="dxa"/>
            <w:vAlign w:val="center"/>
          </w:tcPr>
          <w:p w14:paraId="0264AAE5">
            <w:pPr>
              <w:pStyle w:val="44"/>
              <w:rPr>
                <w:color w:val="auto"/>
              </w:rPr>
            </w:pPr>
          </w:p>
        </w:tc>
      </w:tr>
      <w:tr w14:paraId="3103A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ADDAD6E">
            <w:pPr>
              <w:pStyle w:val="44"/>
              <w:rPr>
                <w:color w:val="auto"/>
              </w:rPr>
            </w:pPr>
            <w:r>
              <w:rPr>
                <w:rFonts w:hint="eastAsia"/>
                <w:color w:val="auto"/>
              </w:rPr>
              <w:t>4</w:t>
            </w:r>
          </w:p>
        </w:tc>
        <w:tc>
          <w:tcPr>
            <w:tcW w:w="543" w:type="dxa"/>
            <w:vMerge w:val="continue"/>
          </w:tcPr>
          <w:p w14:paraId="21A446E7">
            <w:pPr>
              <w:pStyle w:val="44"/>
              <w:rPr>
                <w:color w:val="auto"/>
              </w:rPr>
            </w:pPr>
          </w:p>
        </w:tc>
        <w:tc>
          <w:tcPr>
            <w:tcW w:w="898" w:type="dxa"/>
            <w:vAlign w:val="center"/>
          </w:tcPr>
          <w:p w14:paraId="517FBDE6">
            <w:pPr>
              <w:pStyle w:val="44"/>
              <w:rPr>
                <w:color w:val="auto"/>
              </w:rPr>
            </w:pPr>
            <w:r>
              <w:rPr>
                <w:color w:val="auto"/>
              </w:rPr>
              <w:t>架体</w:t>
            </w:r>
            <w:r>
              <w:rPr>
                <w:rFonts w:hint="eastAsia"/>
                <w:color w:val="auto"/>
              </w:rPr>
              <w:t>稳定</w:t>
            </w:r>
          </w:p>
        </w:tc>
        <w:tc>
          <w:tcPr>
            <w:tcW w:w="5580" w:type="dxa"/>
            <w:vAlign w:val="center"/>
          </w:tcPr>
          <w:p w14:paraId="0FED9E84">
            <w:pPr>
              <w:pStyle w:val="44"/>
              <w:jc w:val="left"/>
              <w:rPr>
                <w:color w:val="auto"/>
              </w:rPr>
            </w:pPr>
            <w:r>
              <w:rPr>
                <w:color w:val="auto"/>
              </w:rPr>
              <w:t>1）脚手架底部扫地杆离地间距超过标准要求，扣5分</w:t>
            </w:r>
          </w:p>
          <w:p w14:paraId="63E0D8C4">
            <w:pPr>
              <w:pStyle w:val="44"/>
              <w:jc w:val="left"/>
              <w:rPr>
                <w:color w:val="auto"/>
              </w:rPr>
            </w:pPr>
            <w:r>
              <w:rPr>
                <w:color w:val="auto"/>
              </w:rPr>
              <w:t>2</w:t>
            </w:r>
            <w:r>
              <w:rPr>
                <w:rFonts w:hint="eastAsia"/>
                <w:color w:val="auto"/>
              </w:rPr>
              <w:t>）架体四周与中间未按标准要求设置竖向剪刀撑或专用斜撑杆，扣10分</w:t>
            </w:r>
          </w:p>
          <w:p w14:paraId="4EB5E606">
            <w:pPr>
              <w:pStyle w:val="44"/>
              <w:jc w:val="left"/>
              <w:rPr>
                <w:color w:val="auto"/>
              </w:rPr>
            </w:pPr>
            <w:r>
              <w:rPr>
                <w:color w:val="auto"/>
              </w:rPr>
              <w:t>3</w:t>
            </w:r>
            <w:r>
              <w:rPr>
                <w:rFonts w:hint="eastAsia"/>
                <w:color w:val="auto"/>
              </w:rPr>
              <w:t>）未按标准要求设置水平剪刀撑或水平斜撑杆，扣10分</w:t>
            </w:r>
          </w:p>
          <w:p w14:paraId="43BD530B">
            <w:pPr>
              <w:pStyle w:val="44"/>
              <w:jc w:val="left"/>
              <w:rPr>
                <w:color w:val="auto"/>
              </w:rPr>
            </w:pPr>
            <w:r>
              <w:rPr>
                <w:color w:val="auto"/>
              </w:rPr>
              <w:t>4</w:t>
            </w:r>
            <w:r>
              <w:rPr>
                <w:rFonts w:hint="eastAsia"/>
                <w:color w:val="auto"/>
              </w:rPr>
              <w:t>）架体高宽比超过标准要求时未采取与结构拉结或其他可靠的稳定措施，扣10分</w:t>
            </w:r>
          </w:p>
        </w:tc>
        <w:tc>
          <w:tcPr>
            <w:tcW w:w="720" w:type="dxa"/>
            <w:vAlign w:val="center"/>
          </w:tcPr>
          <w:p w14:paraId="5F8434C0">
            <w:pPr>
              <w:pStyle w:val="44"/>
              <w:rPr>
                <w:color w:val="auto"/>
              </w:rPr>
            </w:pPr>
            <w:r>
              <w:rPr>
                <w:rFonts w:hint="eastAsia"/>
                <w:color w:val="auto"/>
              </w:rPr>
              <w:t>10</w:t>
            </w:r>
          </w:p>
        </w:tc>
        <w:tc>
          <w:tcPr>
            <w:tcW w:w="720" w:type="dxa"/>
            <w:vAlign w:val="center"/>
          </w:tcPr>
          <w:p w14:paraId="6CA473DB">
            <w:pPr>
              <w:pStyle w:val="44"/>
              <w:rPr>
                <w:color w:val="auto"/>
              </w:rPr>
            </w:pPr>
          </w:p>
        </w:tc>
        <w:tc>
          <w:tcPr>
            <w:tcW w:w="720" w:type="dxa"/>
            <w:vAlign w:val="center"/>
          </w:tcPr>
          <w:p w14:paraId="0C02482A">
            <w:pPr>
              <w:pStyle w:val="44"/>
              <w:rPr>
                <w:color w:val="auto"/>
              </w:rPr>
            </w:pPr>
          </w:p>
        </w:tc>
      </w:tr>
      <w:tr w14:paraId="05276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778BD78C">
            <w:pPr>
              <w:pStyle w:val="44"/>
              <w:rPr>
                <w:color w:val="auto"/>
              </w:rPr>
            </w:pPr>
            <w:r>
              <w:rPr>
                <w:rFonts w:hint="eastAsia"/>
                <w:color w:val="auto"/>
              </w:rPr>
              <w:t>5</w:t>
            </w:r>
          </w:p>
        </w:tc>
        <w:tc>
          <w:tcPr>
            <w:tcW w:w="543" w:type="dxa"/>
            <w:vMerge w:val="continue"/>
          </w:tcPr>
          <w:p w14:paraId="7FB33145">
            <w:pPr>
              <w:pStyle w:val="44"/>
              <w:rPr>
                <w:color w:val="auto"/>
              </w:rPr>
            </w:pPr>
          </w:p>
        </w:tc>
        <w:tc>
          <w:tcPr>
            <w:tcW w:w="898" w:type="dxa"/>
            <w:vAlign w:val="center"/>
          </w:tcPr>
          <w:p w14:paraId="085E882A">
            <w:pPr>
              <w:pStyle w:val="44"/>
              <w:rPr>
                <w:color w:val="auto"/>
              </w:rPr>
            </w:pPr>
            <w:r>
              <w:rPr>
                <w:rFonts w:hint="eastAsia"/>
                <w:color w:val="auto"/>
              </w:rPr>
              <w:t>杆件锁定</w:t>
            </w:r>
          </w:p>
        </w:tc>
        <w:tc>
          <w:tcPr>
            <w:tcW w:w="5580" w:type="dxa"/>
            <w:vAlign w:val="center"/>
          </w:tcPr>
          <w:p w14:paraId="3C718524">
            <w:pPr>
              <w:pStyle w:val="44"/>
              <w:jc w:val="left"/>
              <w:rPr>
                <w:color w:val="auto"/>
              </w:rPr>
            </w:pPr>
            <w:r>
              <w:rPr>
                <w:rFonts w:hint="eastAsia"/>
                <w:color w:val="auto"/>
              </w:rPr>
              <w:t>1）架体立杆间距、水平杆步距超过标准及</w:t>
            </w:r>
            <w:r>
              <w:rPr>
                <w:color w:val="auto"/>
              </w:rPr>
              <w:t>专项施工方案</w:t>
            </w:r>
            <w:r>
              <w:rPr>
                <w:rFonts w:hint="eastAsia"/>
                <w:color w:val="auto"/>
              </w:rPr>
              <w:t>要求，每处扣2分</w:t>
            </w:r>
          </w:p>
          <w:p w14:paraId="50AFC583">
            <w:pPr>
              <w:pStyle w:val="44"/>
              <w:jc w:val="left"/>
              <w:rPr>
                <w:color w:val="auto"/>
              </w:rPr>
            </w:pPr>
            <w:r>
              <w:rPr>
                <w:color w:val="auto"/>
              </w:rPr>
              <w:t>2）水平杆</w:t>
            </w:r>
            <w:r>
              <w:rPr>
                <w:rFonts w:hint="eastAsia"/>
                <w:color w:val="auto"/>
              </w:rPr>
              <w:t>和</w:t>
            </w:r>
            <w:r>
              <w:rPr>
                <w:color w:val="auto"/>
              </w:rPr>
              <w:t>扫地杆未连续贯通设置，每</w:t>
            </w:r>
            <w:r>
              <w:rPr>
                <w:rFonts w:hint="eastAsia"/>
                <w:color w:val="auto"/>
              </w:rPr>
              <w:t>漏设一处</w:t>
            </w:r>
            <w:r>
              <w:rPr>
                <w:color w:val="auto"/>
              </w:rPr>
              <w:t>扣2分</w:t>
            </w:r>
          </w:p>
          <w:p w14:paraId="6F5F0799">
            <w:pPr>
              <w:pStyle w:val="44"/>
              <w:jc w:val="left"/>
              <w:rPr>
                <w:color w:val="auto"/>
              </w:rPr>
            </w:pPr>
            <w:r>
              <w:rPr>
                <w:color w:val="auto"/>
              </w:rPr>
              <w:t>3</w:t>
            </w:r>
            <w:r>
              <w:rPr>
                <w:rFonts w:hint="eastAsia"/>
                <w:color w:val="auto"/>
              </w:rPr>
              <w:t>）杆件接长不符合要求，每处扣2分</w:t>
            </w:r>
          </w:p>
          <w:p w14:paraId="68A3D389">
            <w:pPr>
              <w:pStyle w:val="44"/>
              <w:jc w:val="left"/>
              <w:rPr>
                <w:color w:val="auto"/>
              </w:rPr>
            </w:pPr>
            <w:r>
              <w:rPr>
                <w:color w:val="auto"/>
              </w:rPr>
              <w:t>4</w:t>
            </w:r>
            <w:r>
              <w:rPr>
                <w:rFonts w:hint="eastAsia"/>
                <w:color w:val="auto"/>
              </w:rPr>
              <w:t>）架体搭设不牢或杆件节点紧固不符合要求，每处扣2分</w:t>
            </w:r>
          </w:p>
        </w:tc>
        <w:tc>
          <w:tcPr>
            <w:tcW w:w="720" w:type="dxa"/>
            <w:vAlign w:val="center"/>
          </w:tcPr>
          <w:p w14:paraId="1B94B496">
            <w:pPr>
              <w:pStyle w:val="44"/>
              <w:rPr>
                <w:color w:val="auto"/>
              </w:rPr>
            </w:pPr>
            <w:r>
              <w:rPr>
                <w:rFonts w:hint="eastAsia"/>
                <w:color w:val="auto"/>
              </w:rPr>
              <w:t>10</w:t>
            </w:r>
          </w:p>
        </w:tc>
        <w:tc>
          <w:tcPr>
            <w:tcW w:w="720" w:type="dxa"/>
            <w:vAlign w:val="center"/>
          </w:tcPr>
          <w:p w14:paraId="0C4F1E78">
            <w:pPr>
              <w:pStyle w:val="44"/>
              <w:rPr>
                <w:color w:val="auto"/>
              </w:rPr>
            </w:pPr>
          </w:p>
        </w:tc>
        <w:tc>
          <w:tcPr>
            <w:tcW w:w="720" w:type="dxa"/>
            <w:vAlign w:val="center"/>
          </w:tcPr>
          <w:p w14:paraId="79329400">
            <w:pPr>
              <w:pStyle w:val="44"/>
              <w:rPr>
                <w:color w:val="auto"/>
              </w:rPr>
            </w:pPr>
          </w:p>
        </w:tc>
      </w:tr>
      <w:tr w14:paraId="15D7D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62C6B62">
            <w:pPr>
              <w:pStyle w:val="44"/>
              <w:rPr>
                <w:color w:val="auto"/>
              </w:rPr>
            </w:pPr>
            <w:r>
              <w:rPr>
                <w:rFonts w:hint="eastAsia"/>
                <w:color w:val="auto"/>
              </w:rPr>
              <w:t>6</w:t>
            </w:r>
          </w:p>
        </w:tc>
        <w:tc>
          <w:tcPr>
            <w:tcW w:w="543" w:type="dxa"/>
            <w:vMerge w:val="continue"/>
            <w:vAlign w:val="center"/>
          </w:tcPr>
          <w:p w14:paraId="6176D76C">
            <w:pPr>
              <w:pStyle w:val="44"/>
              <w:rPr>
                <w:color w:val="auto"/>
              </w:rPr>
            </w:pPr>
          </w:p>
        </w:tc>
        <w:tc>
          <w:tcPr>
            <w:tcW w:w="898" w:type="dxa"/>
            <w:vAlign w:val="center"/>
          </w:tcPr>
          <w:p w14:paraId="795BC6DE">
            <w:pPr>
              <w:pStyle w:val="44"/>
              <w:rPr>
                <w:color w:val="auto"/>
              </w:rPr>
            </w:pPr>
            <w:r>
              <w:rPr>
                <w:color w:val="auto"/>
              </w:rPr>
              <w:t>脚手板</w:t>
            </w:r>
          </w:p>
        </w:tc>
        <w:tc>
          <w:tcPr>
            <w:tcW w:w="5580" w:type="dxa"/>
            <w:vAlign w:val="center"/>
          </w:tcPr>
          <w:p w14:paraId="09A3BBC9">
            <w:pPr>
              <w:pStyle w:val="44"/>
              <w:jc w:val="left"/>
              <w:rPr>
                <w:color w:val="auto"/>
              </w:rPr>
            </w:pPr>
            <w:r>
              <w:rPr>
                <w:color w:val="auto"/>
              </w:rPr>
              <w:t>1）脚手板材质、规格不符合标准要求，扣5-10分</w:t>
            </w:r>
          </w:p>
          <w:p w14:paraId="76EF4750">
            <w:pPr>
              <w:pStyle w:val="44"/>
              <w:jc w:val="left"/>
              <w:rPr>
                <w:color w:val="auto"/>
              </w:rPr>
            </w:pPr>
            <w:r>
              <w:rPr>
                <w:color w:val="auto"/>
              </w:rPr>
              <w:t>2）作业层脚手板未铺满或铺设不牢、不稳，扣5-10分</w:t>
            </w:r>
          </w:p>
          <w:p w14:paraId="62AA4720">
            <w:pPr>
              <w:pStyle w:val="44"/>
              <w:jc w:val="left"/>
              <w:rPr>
                <w:color w:val="auto"/>
              </w:rPr>
            </w:pPr>
            <w:r>
              <w:rPr>
                <w:color w:val="auto"/>
              </w:rPr>
              <w:t>3）采用工具式钢脚手板时，脚手板两端挂钩未通过自锁装置与作业层横向水平杆锁紧，每处扣2分</w:t>
            </w:r>
          </w:p>
          <w:p w14:paraId="22BD10AC">
            <w:pPr>
              <w:pStyle w:val="44"/>
              <w:jc w:val="left"/>
              <w:rPr>
                <w:color w:val="auto"/>
              </w:rPr>
            </w:pPr>
            <w:r>
              <w:rPr>
                <w:color w:val="auto"/>
              </w:rPr>
              <w:t>4）采用木脚手板、竹串片脚手板、竹笆脚手板时，脚手板两端未与水平杆绑牢，或脚手板探头长度大于150mm，每处扣2分</w:t>
            </w:r>
          </w:p>
        </w:tc>
        <w:tc>
          <w:tcPr>
            <w:tcW w:w="720" w:type="dxa"/>
            <w:vAlign w:val="center"/>
          </w:tcPr>
          <w:p w14:paraId="0FB5DFEE">
            <w:pPr>
              <w:pStyle w:val="44"/>
              <w:rPr>
                <w:color w:val="auto"/>
              </w:rPr>
            </w:pPr>
            <w:r>
              <w:rPr>
                <w:rFonts w:hint="eastAsia"/>
                <w:color w:val="auto"/>
              </w:rPr>
              <w:t>10</w:t>
            </w:r>
          </w:p>
        </w:tc>
        <w:tc>
          <w:tcPr>
            <w:tcW w:w="720" w:type="dxa"/>
            <w:vAlign w:val="center"/>
          </w:tcPr>
          <w:p w14:paraId="31ACF41D">
            <w:pPr>
              <w:pStyle w:val="44"/>
              <w:rPr>
                <w:color w:val="auto"/>
              </w:rPr>
            </w:pPr>
          </w:p>
        </w:tc>
        <w:tc>
          <w:tcPr>
            <w:tcW w:w="720" w:type="dxa"/>
            <w:vAlign w:val="center"/>
          </w:tcPr>
          <w:p w14:paraId="68D597A9">
            <w:pPr>
              <w:pStyle w:val="44"/>
              <w:rPr>
                <w:color w:val="auto"/>
              </w:rPr>
            </w:pPr>
          </w:p>
        </w:tc>
      </w:tr>
      <w:tr w14:paraId="6040B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69D7B68">
            <w:pPr>
              <w:pStyle w:val="44"/>
              <w:rPr>
                <w:color w:val="auto"/>
              </w:rPr>
            </w:pPr>
            <w:r>
              <w:rPr>
                <w:rFonts w:hint="eastAsia"/>
                <w:color w:val="auto"/>
              </w:rPr>
              <w:t>7</w:t>
            </w:r>
          </w:p>
        </w:tc>
        <w:tc>
          <w:tcPr>
            <w:tcW w:w="543" w:type="dxa"/>
            <w:vMerge w:val="continue"/>
            <w:vAlign w:val="center"/>
          </w:tcPr>
          <w:p w14:paraId="0ECD6883">
            <w:pPr>
              <w:pStyle w:val="44"/>
              <w:rPr>
                <w:color w:val="auto"/>
              </w:rPr>
            </w:pPr>
          </w:p>
        </w:tc>
        <w:tc>
          <w:tcPr>
            <w:tcW w:w="898" w:type="dxa"/>
            <w:vAlign w:val="center"/>
          </w:tcPr>
          <w:p w14:paraId="6903DCC7">
            <w:pPr>
              <w:pStyle w:val="44"/>
              <w:rPr>
                <w:color w:val="auto"/>
              </w:rPr>
            </w:pPr>
            <w:r>
              <w:rPr>
                <w:color w:val="auto"/>
              </w:rPr>
              <w:t>检查验收</w:t>
            </w:r>
          </w:p>
        </w:tc>
        <w:tc>
          <w:tcPr>
            <w:tcW w:w="5580" w:type="dxa"/>
            <w:vAlign w:val="center"/>
          </w:tcPr>
          <w:p w14:paraId="1B2F8FE0">
            <w:pPr>
              <w:pStyle w:val="44"/>
              <w:jc w:val="left"/>
              <w:rPr>
                <w:color w:val="auto"/>
              </w:rPr>
            </w:pPr>
            <w:r>
              <w:rPr>
                <w:color w:val="auto"/>
              </w:rPr>
              <w:t>1）在原材料进场、基础完工、分段搭设、分段使用时未进行</w:t>
            </w:r>
            <w:r>
              <w:rPr>
                <w:rFonts w:hint="eastAsia"/>
                <w:color w:val="auto"/>
              </w:rPr>
              <w:t>分阶段</w:t>
            </w:r>
            <w:r>
              <w:rPr>
                <w:color w:val="auto"/>
              </w:rPr>
              <w:t>验收，</w:t>
            </w:r>
            <w:r>
              <w:rPr>
                <w:rFonts w:hint="eastAsia"/>
                <w:color w:val="auto"/>
              </w:rPr>
              <w:t>或未形成记录，</w:t>
            </w:r>
            <w:r>
              <w:rPr>
                <w:color w:val="auto"/>
              </w:rPr>
              <w:t>扣6分</w:t>
            </w:r>
          </w:p>
          <w:p w14:paraId="58D7FE18">
            <w:pPr>
              <w:pStyle w:val="44"/>
              <w:jc w:val="left"/>
              <w:rPr>
                <w:color w:val="auto"/>
              </w:rPr>
            </w:pPr>
            <w:r>
              <w:rPr>
                <w:color w:val="auto"/>
              </w:rPr>
              <w:t>2）在脚手架搭设完毕、投入使用前，未办理完工验收手续，扣10分</w:t>
            </w:r>
          </w:p>
          <w:p w14:paraId="31B013A6">
            <w:pPr>
              <w:pStyle w:val="44"/>
              <w:jc w:val="left"/>
              <w:rPr>
                <w:color w:val="auto"/>
              </w:rPr>
            </w:pPr>
            <w:r>
              <w:rPr>
                <w:color w:val="auto"/>
              </w:rPr>
              <w:t>3）完工验收未形成记录，或未经责任人签字确认，扣5分</w:t>
            </w:r>
          </w:p>
          <w:p w14:paraId="1659B405">
            <w:pPr>
              <w:pStyle w:val="44"/>
              <w:jc w:val="left"/>
              <w:rPr>
                <w:color w:val="auto"/>
              </w:rPr>
            </w:pPr>
            <w:r>
              <w:rPr>
                <w:color w:val="auto"/>
              </w:rPr>
              <w:t>4）各阶段检查验收内容和指标未按标准要求进行量化，扣5分</w:t>
            </w:r>
          </w:p>
          <w:p w14:paraId="1C422186">
            <w:pPr>
              <w:pStyle w:val="44"/>
              <w:jc w:val="left"/>
              <w:rPr>
                <w:color w:val="auto"/>
              </w:rPr>
            </w:pPr>
            <w:r>
              <w:rPr>
                <w:color w:val="auto"/>
              </w:rPr>
              <w:t>5）验收合格后未在明显位置悬挂验收合格牌，扣3分</w:t>
            </w:r>
          </w:p>
        </w:tc>
        <w:tc>
          <w:tcPr>
            <w:tcW w:w="720" w:type="dxa"/>
            <w:vAlign w:val="center"/>
          </w:tcPr>
          <w:p w14:paraId="418F17CB">
            <w:pPr>
              <w:pStyle w:val="44"/>
              <w:rPr>
                <w:color w:val="auto"/>
              </w:rPr>
            </w:pPr>
            <w:r>
              <w:rPr>
                <w:rFonts w:hint="eastAsia"/>
                <w:color w:val="auto"/>
              </w:rPr>
              <w:t>10</w:t>
            </w:r>
          </w:p>
        </w:tc>
        <w:tc>
          <w:tcPr>
            <w:tcW w:w="720" w:type="dxa"/>
            <w:vAlign w:val="center"/>
          </w:tcPr>
          <w:p w14:paraId="70ED8F1A">
            <w:pPr>
              <w:pStyle w:val="44"/>
              <w:rPr>
                <w:color w:val="auto"/>
              </w:rPr>
            </w:pPr>
          </w:p>
        </w:tc>
        <w:tc>
          <w:tcPr>
            <w:tcW w:w="720" w:type="dxa"/>
            <w:vAlign w:val="center"/>
          </w:tcPr>
          <w:p w14:paraId="57AE401F">
            <w:pPr>
              <w:pStyle w:val="44"/>
              <w:rPr>
                <w:color w:val="auto"/>
              </w:rPr>
            </w:pPr>
          </w:p>
        </w:tc>
      </w:tr>
      <w:tr w14:paraId="6FB38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B84F3A8">
            <w:pPr>
              <w:pStyle w:val="44"/>
              <w:rPr>
                <w:color w:val="auto"/>
              </w:rPr>
            </w:pPr>
          </w:p>
        </w:tc>
        <w:tc>
          <w:tcPr>
            <w:tcW w:w="543" w:type="dxa"/>
            <w:vMerge w:val="continue"/>
          </w:tcPr>
          <w:p w14:paraId="4048729C">
            <w:pPr>
              <w:pStyle w:val="44"/>
              <w:rPr>
                <w:color w:val="auto"/>
              </w:rPr>
            </w:pPr>
          </w:p>
        </w:tc>
        <w:tc>
          <w:tcPr>
            <w:tcW w:w="6478" w:type="dxa"/>
            <w:gridSpan w:val="2"/>
            <w:vAlign w:val="center"/>
          </w:tcPr>
          <w:p w14:paraId="58EEEA6A">
            <w:pPr>
              <w:pStyle w:val="44"/>
              <w:rPr>
                <w:b/>
                <w:bCs w:val="0"/>
                <w:color w:val="auto"/>
              </w:rPr>
            </w:pPr>
            <w:r>
              <w:rPr>
                <w:rFonts w:hint="eastAsia"/>
                <w:b/>
                <w:bCs w:val="0"/>
                <w:color w:val="auto"/>
              </w:rPr>
              <w:t>小  计</w:t>
            </w:r>
          </w:p>
        </w:tc>
        <w:tc>
          <w:tcPr>
            <w:tcW w:w="720" w:type="dxa"/>
            <w:vAlign w:val="center"/>
          </w:tcPr>
          <w:p w14:paraId="73B6BA5C">
            <w:pPr>
              <w:pStyle w:val="44"/>
              <w:rPr>
                <w:color w:val="auto"/>
              </w:rPr>
            </w:pPr>
            <w:r>
              <w:rPr>
                <w:rFonts w:hint="eastAsia"/>
                <w:color w:val="auto"/>
              </w:rPr>
              <w:t>70</w:t>
            </w:r>
          </w:p>
        </w:tc>
        <w:tc>
          <w:tcPr>
            <w:tcW w:w="720" w:type="dxa"/>
            <w:vAlign w:val="center"/>
          </w:tcPr>
          <w:p w14:paraId="7E53DF24">
            <w:pPr>
              <w:pStyle w:val="44"/>
              <w:rPr>
                <w:color w:val="auto"/>
              </w:rPr>
            </w:pPr>
          </w:p>
        </w:tc>
        <w:tc>
          <w:tcPr>
            <w:tcW w:w="720" w:type="dxa"/>
            <w:vAlign w:val="center"/>
          </w:tcPr>
          <w:p w14:paraId="604BD8D8">
            <w:pPr>
              <w:pStyle w:val="44"/>
              <w:rPr>
                <w:color w:val="auto"/>
              </w:rPr>
            </w:pPr>
          </w:p>
        </w:tc>
      </w:tr>
      <w:tr w14:paraId="0E083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62B22A15">
            <w:pPr>
              <w:pStyle w:val="44"/>
              <w:rPr>
                <w:color w:val="auto"/>
              </w:rPr>
            </w:pPr>
            <w:r>
              <w:rPr>
                <w:rFonts w:hint="eastAsia"/>
                <w:color w:val="auto"/>
              </w:rPr>
              <w:t>1</w:t>
            </w:r>
          </w:p>
        </w:tc>
        <w:tc>
          <w:tcPr>
            <w:tcW w:w="543" w:type="dxa"/>
            <w:vMerge w:val="restart"/>
            <w:vAlign w:val="center"/>
          </w:tcPr>
          <w:p w14:paraId="1FDC806F">
            <w:pPr>
              <w:pStyle w:val="44"/>
              <w:rPr>
                <w:color w:val="auto"/>
              </w:rPr>
            </w:pPr>
            <w:r>
              <w:rPr>
                <w:rFonts w:hint="eastAsia"/>
                <w:color w:val="auto"/>
              </w:rPr>
              <w:t>一</w:t>
            </w:r>
          </w:p>
          <w:p w14:paraId="68CB57B1">
            <w:pPr>
              <w:pStyle w:val="44"/>
              <w:rPr>
                <w:color w:val="auto"/>
              </w:rPr>
            </w:pPr>
            <w:r>
              <w:rPr>
                <w:rFonts w:hint="eastAsia"/>
                <w:color w:val="auto"/>
              </w:rPr>
              <w:t>般</w:t>
            </w:r>
          </w:p>
          <w:p w14:paraId="3A75ABD9">
            <w:pPr>
              <w:pStyle w:val="44"/>
              <w:rPr>
                <w:color w:val="auto"/>
              </w:rPr>
            </w:pPr>
            <w:r>
              <w:rPr>
                <w:rFonts w:hint="eastAsia"/>
                <w:color w:val="auto"/>
              </w:rPr>
              <w:t>项</w:t>
            </w:r>
          </w:p>
          <w:p w14:paraId="22731F83">
            <w:pPr>
              <w:pStyle w:val="44"/>
              <w:rPr>
                <w:color w:val="auto"/>
              </w:rPr>
            </w:pPr>
            <w:r>
              <w:rPr>
                <w:rFonts w:hint="eastAsia"/>
                <w:color w:val="auto"/>
              </w:rPr>
              <w:t>目</w:t>
            </w:r>
          </w:p>
        </w:tc>
        <w:tc>
          <w:tcPr>
            <w:tcW w:w="898" w:type="dxa"/>
            <w:vAlign w:val="center"/>
          </w:tcPr>
          <w:p w14:paraId="02A7E9F3">
            <w:pPr>
              <w:pStyle w:val="44"/>
              <w:rPr>
                <w:color w:val="auto"/>
              </w:rPr>
            </w:pPr>
            <w:r>
              <w:rPr>
                <w:rFonts w:hint="eastAsia"/>
                <w:color w:val="auto"/>
              </w:rPr>
              <w:t>架体防护</w:t>
            </w:r>
          </w:p>
        </w:tc>
        <w:tc>
          <w:tcPr>
            <w:tcW w:w="5580" w:type="dxa"/>
            <w:vAlign w:val="center"/>
          </w:tcPr>
          <w:p w14:paraId="5789443F">
            <w:pPr>
              <w:pStyle w:val="44"/>
              <w:jc w:val="left"/>
              <w:rPr>
                <w:color w:val="auto"/>
              </w:rPr>
            </w:pPr>
            <w:r>
              <w:rPr>
                <w:color w:val="auto"/>
              </w:rPr>
              <w:t>1）架体作业层</w:t>
            </w:r>
            <w:r>
              <w:rPr>
                <w:rFonts w:hint="eastAsia"/>
                <w:color w:val="auto"/>
              </w:rPr>
              <w:t>栏杆设置不符合标准要求</w:t>
            </w:r>
            <w:r>
              <w:rPr>
                <w:color w:val="auto"/>
              </w:rPr>
              <w:t>，扣5分</w:t>
            </w:r>
          </w:p>
          <w:p w14:paraId="57CB3FA4">
            <w:pPr>
              <w:pStyle w:val="44"/>
              <w:jc w:val="left"/>
              <w:rPr>
                <w:color w:val="auto"/>
              </w:rPr>
            </w:pPr>
            <w:r>
              <w:rPr>
                <w:color w:val="auto"/>
              </w:rPr>
              <w:t>2）作业层未在外立杆内侧设置高度不低于180mm的挡脚板，扣3分</w:t>
            </w:r>
          </w:p>
          <w:p w14:paraId="60D3DF80">
            <w:pPr>
              <w:pStyle w:val="44"/>
              <w:jc w:val="left"/>
              <w:rPr>
                <w:color w:val="auto"/>
              </w:rPr>
            </w:pPr>
            <w:r>
              <w:rPr>
                <w:color w:val="auto"/>
              </w:rPr>
              <w:t>3）作业层脚手板下未采用安全平网兜底，或作业层以下每隔10m未采用安全平网封闭，扣5分</w:t>
            </w:r>
          </w:p>
          <w:p w14:paraId="3B312F77">
            <w:pPr>
              <w:pStyle w:val="44"/>
              <w:jc w:val="left"/>
              <w:rPr>
                <w:color w:val="auto"/>
              </w:rPr>
            </w:pPr>
            <w:r>
              <w:rPr>
                <w:color w:val="auto"/>
              </w:rPr>
              <w:t>4）作业层外侧未采用阻燃密目安全网进行封闭或网间连接不严密，扣5-10分</w:t>
            </w:r>
          </w:p>
        </w:tc>
        <w:tc>
          <w:tcPr>
            <w:tcW w:w="720" w:type="dxa"/>
            <w:vAlign w:val="center"/>
          </w:tcPr>
          <w:p w14:paraId="023D3852">
            <w:pPr>
              <w:pStyle w:val="44"/>
              <w:rPr>
                <w:color w:val="auto"/>
              </w:rPr>
            </w:pPr>
            <w:r>
              <w:rPr>
                <w:rFonts w:hint="eastAsia"/>
                <w:color w:val="auto"/>
              </w:rPr>
              <w:t>10</w:t>
            </w:r>
          </w:p>
        </w:tc>
        <w:tc>
          <w:tcPr>
            <w:tcW w:w="720" w:type="dxa"/>
            <w:vAlign w:val="center"/>
          </w:tcPr>
          <w:p w14:paraId="77D05641">
            <w:pPr>
              <w:pStyle w:val="44"/>
              <w:rPr>
                <w:color w:val="auto"/>
              </w:rPr>
            </w:pPr>
          </w:p>
        </w:tc>
        <w:tc>
          <w:tcPr>
            <w:tcW w:w="720" w:type="dxa"/>
            <w:vAlign w:val="center"/>
          </w:tcPr>
          <w:p w14:paraId="25C801AF">
            <w:pPr>
              <w:pStyle w:val="44"/>
              <w:rPr>
                <w:color w:val="auto"/>
              </w:rPr>
            </w:pPr>
          </w:p>
        </w:tc>
      </w:tr>
      <w:tr w14:paraId="43664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65EC962">
            <w:pPr>
              <w:pStyle w:val="44"/>
              <w:rPr>
                <w:color w:val="auto"/>
              </w:rPr>
            </w:pPr>
            <w:r>
              <w:rPr>
                <w:rFonts w:hint="eastAsia"/>
                <w:color w:val="auto"/>
              </w:rPr>
              <w:t>2</w:t>
            </w:r>
          </w:p>
        </w:tc>
        <w:tc>
          <w:tcPr>
            <w:tcW w:w="543" w:type="dxa"/>
            <w:vMerge w:val="continue"/>
          </w:tcPr>
          <w:p w14:paraId="5C9903D0">
            <w:pPr>
              <w:pStyle w:val="44"/>
              <w:rPr>
                <w:color w:val="auto"/>
              </w:rPr>
            </w:pPr>
          </w:p>
        </w:tc>
        <w:tc>
          <w:tcPr>
            <w:tcW w:w="898" w:type="dxa"/>
            <w:vAlign w:val="center"/>
          </w:tcPr>
          <w:p w14:paraId="14097A1B">
            <w:pPr>
              <w:pStyle w:val="44"/>
              <w:rPr>
                <w:color w:val="auto"/>
              </w:rPr>
            </w:pPr>
            <w:r>
              <w:rPr>
                <w:rFonts w:hint="eastAsia"/>
                <w:color w:val="auto"/>
              </w:rPr>
              <w:t>荷载</w:t>
            </w:r>
          </w:p>
        </w:tc>
        <w:tc>
          <w:tcPr>
            <w:tcW w:w="5580" w:type="dxa"/>
            <w:vAlign w:val="center"/>
          </w:tcPr>
          <w:p w14:paraId="5B29568D">
            <w:pPr>
              <w:pStyle w:val="44"/>
              <w:jc w:val="left"/>
              <w:rPr>
                <w:color w:val="auto"/>
              </w:rPr>
            </w:pPr>
            <w:r>
              <w:rPr>
                <w:color w:val="auto"/>
              </w:rPr>
              <w:t>1）作业层施工均布荷载超过设计允许范围，10分</w:t>
            </w:r>
          </w:p>
          <w:p w14:paraId="1F291C6C">
            <w:pPr>
              <w:pStyle w:val="44"/>
              <w:jc w:val="left"/>
              <w:rPr>
                <w:color w:val="auto"/>
              </w:rPr>
            </w:pPr>
            <w:r>
              <w:rPr>
                <w:rFonts w:hint="eastAsia"/>
                <w:color w:val="auto"/>
              </w:rPr>
              <w:t>2）荷载堆放不均匀，每处扣5分</w:t>
            </w:r>
          </w:p>
        </w:tc>
        <w:tc>
          <w:tcPr>
            <w:tcW w:w="720" w:type="dxa"/>
            <w:vAlign w:val="center"/>
          </w:tcPr>
          <w:p w14:paraId="30A1BAC7">
            <w:pPr>
              <w:pStyle w:val="44"/>
              <w:rPr>
                <w:color w:val="auto"/>
              </w:rPr>
            </w:pPr>
            <w:r>
              <w:rPr>
                <w:rFonts w:hint="eastAsia"/>
                <w:color w:val="auto"/>
              </w:rPr>
              <w:t>10</w:t>
            </w:r>
          </w:p>
        </w:tc>
        <w:tc>
          <w:tcPr>
            <w:tcW w:w="720" w:type="dxa"/>
            <w:vAlign w:val="center"/>
          </w:tcPr>
          <w:p w14:paraId="12572651">
            <w:pPr>
              <w:pStyle w:val="44"/>
              <w:rPr>
                <w:color w:val="auto"/>
              </w:rPr>
            </w:pPr>
          </w:p>
        </w:tc>
        <w:tc>
          <w:tcPr>
            <w:tcW w:w="720" w:type="dxa"/>
            <w:vAlign w:val="center"/>
          </w:tcPr>
          <w:p w14:paraId="4F0BC0BD">
            <w:pPr>
              <w:pStyle w:val="44"/>
              <w:rPr>
                <w:color w:val="auto"/>
              </w:rPr>
            </w:pPr>
          </w:p>
        </w:tc>
      </w:tr>
      <w:tr w14:paraId="308A9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418B0E2">
            <w:pPr>
              <w:pStyle w:val="44"/>
              <w:rPr>
                <w:color w:val="auto"/>
              </w:rPr>
            </w:pPr>
            <w:r>
              <w:rPr>
                <w:rFonts w:hint="eastAsia"/>
                <w:color w:val="auto"/>
              </w:rPr>
              <w:t>3</w:t>
            </w:r>
          </w:p>
        </w:tc>
        <w:tc>
          <w:tcPr>
            <w:tcW w:w="543" w:type="dxa"/>
            <w:vMerge w:val="continue"/>
          </w:tcPr>
          <w:p w14:paraId="09DAD17F">
            <w:pPr>
              <w:pStyle w:val="44"/>
              <w:rPr>
                <w:color w:val="auto"/>
              </w:rPr>
            </w:pPr>
          </w:p>
        </w:tc>
        <w:tc>
          <w:tcPr>
            <w:tcW w:w="898" w:type="dxa"/>
            <w:vAlign w:val="center"/>
          </w:tcPr>
          <w:p w14:paraId="5BF4FF7D">
            <w:pPr>
              <w:pStyle w:val="44"/>
              <w:rPr>
                <w:color w:val="auto"/>
              </w:rPr>
            </w:pPr>
            <w:r>
              <w:rPr>
                <w:rFonts w:hint="eastAsia"/>
                <w:color w:val="auto"/>
              </w:rPr>
              <w:t>通道</w:t>
            </w:r>
          </w:p>
        </w:tc>
        <w:tc>
          <w:tcPr>
            <w:tcW w:w="5580" w:type="dxa"/>
            <w:vAlign w:val="center"/>
          </w:tcPr>
          <w:p w14:paraId="6E8D9DB1">
            <w:pPr>
              <w:pStyle w:val="44"/>
              <w:jc w:val="left"/>
              <w:rPr>
                <w:color w:val="auto"/>
              </w:rPr>
            </w:pPr>
            <w:r>
              <w:rPr>
                <w:rFonts w:hint="eastAsia"/>
                <w:color w:val="auto"/>
              </w:rPr>
              <w:t>1）未设置人员上下专用通道，扣10分</w:t>
            </w:r>
          </w:p>
          <w:p w14:paraId="2AB8FFA8">
            <w:pPr>
              <w:pStyle w:val="44"/>
              <w:jc w:val="left"/>
              <w:rPr>
                <w:color w:val="auto"/>
              </w:rPr>
            </w:pPr>
            <w:r>
              <w:rPr>
                <w:rFonts w:hint="eastAsia"/>
                <w:color w:val="auto"/>
              </w:rPr>
              <w:t>2）通道设置不符合要求，扣5分</w:t>
            </w:r>
          </w:p>
        </w:tc>
        <w:tc>
          <w:tcPr>
            <w:tcW w:w="720" w:type="dxa"/>
            <w:vAlign w:val="center"/>
          </w:tcPr>
          <w:p w14:paraId="25357576">
            <w:pPr>
              <w:pStyle w:val="44"/>
              <w:rPr>
                <w:color w:val="auto"/>
              </w:rPr>
            </w:pPr>
            <w:r>
              <w:rPr>
                <w:rFonts w:hint="eastAsia"/>
                <w:color w:val="auto"/>
              </w:rPr>
              <w:t>10</w:t>
            </w:r>
          </w:p>
        </w:tc>
        <w:tc>
          <w:tcPr>
            <w:tcW w:w="720" w:type="dxa"/>
            <w:vAlign w:val="center"/>
          </w:tcPr>
          <w:p w14:paraId="0EA5E6F5">
            <w:pPr>
              <w:pStyle w:val="44"/>
              <w:rPr>
                <w:color w:val="auto"/>
              </w:rPr>
            </w:pPr>
          </w:p>
        </w:tc>
        <w:tc>
          <w:tcPr>
            <w:tcW w:w="720" w:type="dxa"/>
            <w:vAlign w:val="center"/>
          </w:tcPr>
          <w:p w14:paraId="78A46DA3">
            <w:pPr>
              <w:pStyle w:val="44"/>
              <w:rPr>
                <w:color w:val="auto"/>
              </w:rPr>
            </w:pPr>
          </w:p>
        </w:tc>
      </w:tr>
      <w:tr w14:paraId="118D0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46AA359">
            <w:pPr>
              <w:pStyle w:val="44"/>
              <w:rPr>
                <w:color w:val="auto"/>
              </w:rPr>
            </w:pPr>
          </w:p>
        </w:tc>
        <w:tc>
          <w:tcPr>
            <w:tcW w:w="543" w:type="dxa"/>
            <w:vMerge w:val="continue"/>
          </w:tcPr>
          <w:p w14:paraId="0921DF2B">
            <w:pPr>
              <w:pStyle w:val="44"/>
              <w:rPr>
                <w:color w:val="auto"/>
              </w:rPr>
            </w:pPr>
          </w:p>
        </w:tc>
        <w:tc>
          <w:tcPr>
            <w:tcW w:w="6478" w:type="dxa"/>
            <w:gridSpan w:val="2"/>
            <w:vAlign w:val="center"/>
          </w:tcPr>
          <w:p w14:paraId="2764CBC9">
            <w:pPr>
              <w:pStyle w:val="44"/>
              <w:rPr>
                <w:b/>
                <w:bCs w:val="0"/>
                <w:color w:val="auto"/>
              </w:rPr>
            </w:pPr>
            <w:r>
              <w:rPr>
                <w:rFonts w:hint="eastAsia"/>
                <w:b/>
                <w:bCs w:val="0"/>
                <w:color w:val="auto"/>
              </w:rPr>
              <w:t xml:space="preserve">小 </w:t>
            </w:r>
            <w:r>
              <w:rPr>
                <w:b/>
                <w:bCs w:val="0"/>
                <w:color w:val="auto"/>
              </w:rPr>
              <w:t xml:space="preserve"> </w:t>
            </w:r>
            <w:r>
              <w:rPr>
                <w:rFonts w:hint="eastAsia"/>
                <w:b/>
                <w:bCs w:val="0"/>
                <w:color w:val="auto"/>
              </w:rPr>
              <w:t>计</w:t>
            </w:r>
          </w:p>
        </w:tc>
        <w:tc>
          <w:tcPr>
            <w:tcW w:w="720" w:type="dxa"/>
            <w:vAlign w:val="center"/>
          </w:tcPr>
          <w:p w14:paraId="55F7F1B1">
            <w:pPr>
              <w:pStyle w:val="44"/>
              <w:rPr>
                <w:color w:val="auto"/>
              </w:rPr>
            </w:pPr>
            <w:r>
              <w:rPr>
                <w:rFonts w:hint="eastAsia"/>
                <w:color w:val="auto"/>
              </w:rPr>
              <w:t>30</w:t>
            </w:r>
          </w:p>
        </w:tc>
        <w:tc>
          <w:tcPr>
            <w:tcW w:w="720" w:type="dxa"/>
            <w:vAlign w:val="center"/>
          </w:tcPr>
          <w:p w14:paraId="412844FD">
            <w:pPr>
              <w:pStyle w:val="44"/>
              <w:rPr>
                <w:color w:val="auto"/>
              </w:rPr>
            </w:pPr>
          </w:p>
        </w:tc>
        <w:tc>
          <w:tcPr>
            <w:tcW w:w="720" w:type="dxa"/>
            <w:vAlign w:val="center"/>
          </w:tcPr>
          <w:p w14:paraId="798DB8D4">
            <w:pPr>
              <w:pStyle w:val="44"/>
              <w:rPr>
                <w:color w:val="auto"/>
              </w:rPr>
            </w:pPr>
          </w:p>
        </w:tc>
      </w:tr>
      <w:tr w14:paraId="0FAC0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560" w:type="dxa"/>
            <w:gridSpan w:val="4"/>
            <w:vAlign w:val="center"/>
          </w:tcPr>
          <w:p w14:paraId="637E86AA">
            <w:pPr>
              <w:pStyle w:val="44"/>
              <w:rPr>
                <w:b/>
                <w:bCs w:val="0"/>
                <w:color w:val="auto"/>
              </w:rPr>
            </w:pPr>
            <w:r>
              <w:rPr>
                <w:rFonts w:hint="eastAsia"/>
                <w:b/>
                <w:bCs w:val="0"/>
                <w:color w:val="auto"/>
              </w:rPr>
              <w:t>检查项目合计</w:t>
            </w:r>
          </w:p>
        </w:tc>
        <w:tc>
          <w:tcPr>
            <w:tcW w:w="720" w:type="dxa"/>
            <w:vAlign w:val="center"/>
          </w:tcPr>
          <w:p w14:paraId="201C2FD7">
            <w:pPr>
              <w:pStyle w:val="44"/>
              <w:rPr>
                <w:color w:val="auto"/>
              </w:rPr>
            </w:pPr>
            <w:r>
              <w:rPr>
                <w:rFonts w:hint="eastAsia"/>
                <w:color w:val="auto"/>
              </w:rPr>
              <w:t>100</w:t>
            </w:r>
          </w:p>
        </w:tc>
        <w:tc>
          <w:tcPr>
            <w:tcW w:w="720" w:type="dxa"/>
            <w:vAlign w:val="center"/>
          </w:tcPr>
          <w:p w14:paraId="249C26DA">
            <w:pPr>
              <w:pStyle w:val="44"/>
              <w:rPr>
                <w:color w:val="auto"/>
              </w:rPr>
            </w:pPr>
          </w:p>
        </w:tc>
        <w:tc>
          <w:tcPr>
            <w:tcW w:w="720" w:type="dxa"/>
            <w:vAlign w:val="center"/>
          </w:tcPr>
          <w:p w14:paraId="3B232728">
            <w:pPr>
              <w:pStyle w:val="44"/>
              <w:rPr>
                <w:color w:val="auto"/>
              </w:rPr>
            </w:pPr>
          </w:p>
        </w:tc>
      </w:tr>
    </w:tbl>
    <w:p w14:paraId="26386E7A"/>
    <w:p w14:paraId="62851430">
      <w:pPr>
        <w:pStyle w:val="5"/>
      </w:pPr>
      <w:r>
        <w:rPr>
          <w:rFonts w:hint="eastAsia"/>
        </w:rPr>
        <w:br w:type="page"/>
      </w:r>
      <w:bookmarkStart w:id="46" w:name="_Toc23616"/>
      <w:bookmarkStart w:id="47" w:name="_Toc6698"/>
      <w:bookmarkStart w:id="48" w:name="_Toc31445"/>
      <w:r>
        <w:rPr>
          <w:rFonts w:hint="eastAsia"/>
        </w:rPr>
        <w:t>表B.13  高处作业吊篮检查</w:t>
      </w:r>
      <w:r>
        <w:t>评分表</w:t>
      </w:r>
      <w:bookmarkEnd w:id="46"/>
      <w:bookmarkEnd w:id="47"/>
      <w:bookmarkEnd w:id="48"/>
    </w:p>
    <w:tbl>
      <w:tblPr>
        <w:tblStyle w:val="19"/>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53D64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jc w:val="center"/>
        </w:trPr>
        <w:tc>
          <w:tcPr>
            <w:tcW w:w="539" w:type="dxa"/>
            <w:vAlign w:val="center"/>
          </w:tcPr>
          <w:p w14:paraId="2C464041">
            <w:pPr>
              <w:pStyle w:val="44"/>
              <w:rPr>
                <w:color w:val="auto"/>
              </w:rPr>
            </w:pPr>
            <w:r>
              <w:rPr>
                <w:rFonts w:hint="eastAsia"/>
                <w:color w:val="auto"/>
              </w:rPr>
              <w:t>序号</w:t>
            </w:r>
          </w:p>
        </w:tc>
        <w:tc>
          <w:tcPr>
            <w:tcW w:w="1441" w:type="dxa"/>
            <w:gridSpan w:val="2"/>
            <w:vAlign w:val="center"/>
          </w:tcPr>
          <w:p w14:paraId="207B89C8">
            <w:pPr>
              <w:pStyle w:val="44"/>
              <w:rPr>
                <w:color w:val="auto"/>
              </w:rPr>
            </w:pPr>
            <w:r>
              <w:rPr>
                <w:rFonts w:hint="eastAsia"/>
                <w:color w:val="auto"/>
              </w:rPr>
              <w:t>检查项目</w:t>
            </w:r>
          </w:p>
        </w:tc>
        <w:tc>
          <w:tcPr>
            <w:tcW w:w="5580" w:type="dxa"/>
            <w:vAlign w:val="center"/>
          </w:tcPr>
          <w:p w14:paraId="3914DF02">
            <w:pPr>
              <w:pStyle w:val="44"/>
              <w:rPr>
                <w:color w:val="auto"/>
              </w:rPr>
            </w:pPr>
            <w:r>
              <w:rPr>
                <w:rFonts w:hint="eastAsia"/>
                <w:color w:val="auto"/>
              </w:rPr>
              <w:t>扣 分 标 准</w:t>
            </w:r>
          </w:p>
        </w:tc>
        <w:tc>
          <w:tcPr>
            <w:tcW w:w="720" w:type="dxa"/>
            <w:vAlign w:val="center"/>
          </w:tcPr>
          <w:p w14:paraId="61FB82F1">
            <w:pPr>
              <w:pStyle w:val="44"/>
              <w:rPr>
                <w:color w:val="auto"/>
              </w:rPr>
            </w:pPr>
            <w:r>
              <w:rPr>
                <w:rFonts w:hint="eastAsia"/>
                <w:color w:val="auto"/>
              </w:rPr>
              <w:t>应得</w:t>
            </w:r>
          </w:p>
          <w:p w14:paraId="5A1C0C26">
            <w:pPr>
              <w:pStyle w:val="44"/>
              <w:rPr>
                <w:color w:val="auto"/>
              </w:rPr>
            </w:pPr>
            <w:r>
              <w:rPr>
                <w:rFonts w:hint="eastAsia"/>
                <w:color w:val="auto"/>
              </w:rPr>
              <w:t>分数</w:t>
            </w:r>
          </w:p>
        </w:tc>
        <w:tc>
          <w:tcPr>
            <w:tcW w:w="720" w:type="dxa"/>
            <w:vAlign w:val="center"/>
          </w:tcPr>
          <w:p w14:paraId="6A7C346D">
            <w:pPr>
              <w:pStyle w:val="44"/>
              <w:rPr>
                <w:color w:val="auto"/>
              </w:rPr>
            </w:pPr>
            <w:r>
              <w:rPr>
                <w:rFonts w:hint="eastAsia"/>
                <w:color w:val="auto"/>
              </w:rPr>
              <w:t>扣减</w:t>
            </w:r>
          </w:p>
          <w:p w14:paraId="02F822E2">
            <w:pPr>
              <w:pStyle w:val="44"/>
              <w:rPr>
                <w:color w:val="auto"/>
              </w:rPr>
            </w:pPr>
            <w:r>
              <w:rPr>
                <w:rFonts w:hint="eastAsia"/>
                <w:color w:val="auto"/>
              </w:rPr>
              <w:t>分数</w:t>
            </w:r>
          </w:p>
        </w:tc>
        <w:tc>
          <w:tcPr>
            <w:tcW w:w="720" w:type="dxa"/>
            <w:vAlign w:val="center"/>
          </w:tcPr>
          <w:p w14:paraId="7F2F966B">
            <w:pPr>
              <w:pStyle w:val="44"/>
              <w:rPr>
                <w:color w:val="auto"/>
              </w:rPr>
            </w:pPr>
            <w:r>
              <w:rPr>
                <w:rFonts w:hint="eastAsia"/>
                <w:color w:val="auto"/>
              </w:rPr>
              <w:t>实得</w:t>
            </w:r>
          </w:p>
          <w:p w14:paraId="268F34E7">
            <w:pPr>
              <w:pStyle w:val="44"/>
              <w:rPr>
                <w:color w:val="auto"/>
              </w:rPr>
            </w:pPr>
            <w:r>
              <w:rPr>
                <w:rFonts w:hint="eastAsia"/>
                <w:color w:val="auto"/>
              </w:rPr>
              <w:t>分数</w:t>
            </w:r>
          </w:p>
        </w:tc>
      </w:tr>
      <w:tr w14:paraId="0DE27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1EF2A4E5">
            <w:pPr>
              <w:pStyle w:val="44"/>
              <w:rPr>
                <w:color w:val="auto"/>
              </w:rPr>
            </w:pPr>
            <w:r>
              <w:rPr>
                <w:rFonts w:hint="eastAsia"/>
                <w:color w:val="auto"/>
              </w:rPr>
              <w:t>1</w:t>
            </w:r>
          </w:p>
        </w:tc>
        <w:tc>
          <w:tcPr>
            <w:tcW w:w="543" w:type="dxa"/>
            <w:vMerge w:val="restart"/>
            <w:vAlign w:val="center"/>
          </w:tcPr>
          <w:p w14:paraId="17203540">
            <w:pPr>
              <w:pStyle w:val="44"/>
              <w:rPr>
                <w:color w:val="auto"/>
              </w:rPr>
            </w:pPr>
            <w:r>
              <w:rPr>
                <w:rFonts w:hint="eastAsia"/>
                <w:color w:val="auto"/>
              </w:rPr>
              <w:t>保</w:t>
            </w:r>
          </w:p>
          <w:p w14:paraId="3AAF887F">
            <w:pPr>
              <w:pStyle w:val="44"/>
              <w:rPr>
                <w:color w:val="auto"/>
              </w:rPr>
            </w:pPr>
            <w:r>
              <w:rPr>
                <w:rFonts w:hint="eastAsia"/>
                <w:color w:val="auto"/>
              </w:rPr>
              <w:t>证</w:t>
            </w:r>
          </w:p>
          <w:p w14:paraId="26FDABF4">
            <w:pPr>
              <w:pStyle w:val="44"/>
              <w:rPr>
                <w:color w:val="auto"/>
              </w:rPr>
            </w:pPr>
            <w:r>
              <w:rPr>
                <w:rFonts w:hint="eastAsia"/>
                <w:color w:val="auto"/>
              </w:rPr>
              <w:t>项</w:t>
            </w:r>
          </w:p>
          <w:p w14:paraId="2665119C">
            <w:pPr>
              <w:pStyle w:val="44"/>
              <w:rPr>
                <w:color w:val="auto"/>
              </w:rPr>
            </w:pPr>
            <w:r>
              <w:rPr>
                <w:rFonts w:hint="eastAsia"/>
                <w:color w:val="auto"/>
              </w:rPr>
              <w:t>目</w:t>
            </w:r>
          </w:p>
        </w:tc>
        <w:tc>
          <w:tcPr>
            <w:tcW w:w="898" w:type="dxa"/>
            <w:vAlign w:val="center"/>
          </w:tcPr>
          <w:p w14:paraId="01D77C28">
            <w:pPr>
              <w:pStyle w:val="44"/>
              <w:rPr>
                <w:color w:val="auto"/>
              </w:rPr>
            </w:pPr>
            <w:r>
              <w:rPr>
                <w:rFonts w:hint="eastAsia"/>
                <w:color w:val="auto"/>
              </w:rPr>
              <w:t>方案与交底</w:t>
            </w:r>
          </w:p>
        </w:tc>
        <w:tc>
          <w:tcPr>
            <w:tcW w:w="5580" w:type="dxa"/>
            <w:vAlign w:val="center"/>
          </w:tcPr>
          <w:p w14:paraId="2A02690F">
            <w:pPr>
              <w:pStyle w:val="44"/>
              <w:jc w:val="left"/>
              <w:rPr>
                <w:color w:val="auto"/>
              </w:rPr>
            </w:pPr>
            <w:r>
              <w:rPr>
                <w:rFonts w:hint="eastAsia"/>
                <w:color w:val="auto"/>
              </w:rPr>
              <w:t>1）未编制专项施工方案或未对吊篮支架支撑处结构的承载力进行验算，扣1</w:t>
            </w:r>
            <w:r>
              <w:rPr>
                <w:color w:val="auto"/>
              </w:rPr>
              <w:t>0</w:t>
            </w:r>
            <w:r>
              <w:rPr>
                <w:rFonts w:hint="eastAsia"/>
                <w:color w:val="auto"/>
              </w:rPr>
              <w:t>分</w:t>
            </w:r>
          </w:p>
          <w:p w14:paraId="3A203A17">
            <w:pPr>
              <w:pStyle w:val="44"/>
              <w:jc w:val="left"/>
              <w:rPr>
                <w:color w:val="auto"/>
              </w:rPr>
            </w:pPr>
            <w:r>
              <w:rPr>
                <w:rFonts w:hint="eastAsia"/>
                <w:color w:val="auto"/>
              </w:rPr>
              <w:t>2）专项施工方案未按规定审核、审批，扣</w:t>
            </w:r>
            <w:r>
              <w:rPr>
                <w:color w:val="auto"/>
              </w:rPr>
              <w:t>10</w:t>
            </w:r>
            <w:r>
              <w:rPr>
                <w:rFonts w:hint="eastAsia"/>
                <w:color w:val="auto"/>
              </w:rPr>
              <w:t>分</w:t>
            </w:r>
          </w:p>
          <w:p w14:paraId="70733682">
            <w:pPr>
              <w:pStyle w:val="44"/>
              <w:jc w:val="left"/>
              <w:rPr>
                <w:color w:val="auto"/>
              </w:rPr>
            </w:pPr>
            <w:r>
              <w:rPr>
                <w:color w:val="auto"/>
              </w:rPr>
              <w:t>3</w:t>
            </w:r>
            <w:r>
              <w:rPr>
                <w:rFonts w:hint="eastAsia"/>
                <w:color w:val="auto"/>
              </w:rPr>
              <w:t>）特殊结构施工的非标准吊篮未进行设计计算，扣</w:t>
            </w:r>
            <w:r>
              <w:rPr>
                <w:color w:val="auto"/>
              </w:rPr>
              <w:t>10</w:t>
            </w:r>
            <w:r>
              <w:rPr>
                <w:rFonts w:hint="eastAsia"/>
                <w:color w:val="auto"/>
              </w:rPr>
              <w:t>分</w:t>
            </w:r>
          </w:p>
          <w:p w14:paraId="22D26863">
            <w:pPr>
              <w:pStyle w:val="44"/>
              <w:jc w:val="left"/>
              <w:rPr>
                <w:color w:val="auto"/>
              </w:rPr>
            </w:pPr>
            <w:r>
              <w:rPr>
                <w:color w:val="auto"/>
              </w:rPr>
              <w:t>4</w:t>
            </w:r>
            <w:r>
              <w:rPr>
                <w:rFonts w:hint="eastAsia"/>
                <w:color w:val="auto"/>
              </w:rPr>
              <w:t>）专项施工方案实施前，未进行安全技术交底，扣</w:t>
            </w:r>
            <w:r>
              <w:rPr>
                <w:color w:val="auto"/>
              </w:rPr>
              <w:t>10</w:t>
            </w:r>
            <w:r>
              <w:rPr>
                <w:rFonts w:hint="eastAsia"/>
                <w:color w:val="auto"/>
              </w:rPr>
              <w:t>分；交底无针对性或无文字记录，扣</w:t>
            </w:r>
            <w:r>
              <w:rPr>
                <w:color w:val="auto"/>
              </w:rPr>
              <w:t>2-5</w:t>
            </w:r>
            <w:r>
              <w:rPr>
                <w:rFonts w:hint="eastAsia"/>
                <w:color w:val="auto"/>
              </w:rPr>
              <w:t>分</w:t>
            </w:r>
          </w:p>
        </w:tc>
        <w:tc>
          <w:tcPr>
            <w:tcW w:w="720" w:type="dxa"/>
            <w:vAlign w:val="center"/>
          </w:tcPr>
          <w:p w14:paraId="43D7A9AD">
            <w:pPr>
              <w:pStyle w:val="44"/>
              <w:rPr>
                <w:color w:val="auto"/>
              </w:rPr>
            </w:pPr>
            <w:r>
              <w:rPr>
                <w:rFonts w:hint="eastAsia"/>
                <w:color w:val="auto"/>
              </w:rPr>
              <w:t>10</w:t>
            </w:r>
          </w:p>
        </w:tc>
        <w:tc>
          <w:tcPr>
            <w:tcW w:w="720" w:type="dxa"/>
            <w:vAlign w:val="center"/>
          </w:tcPr>
          <w:p w14:paraId="1194BA70">
            <w:pPr>
              <w:pStyle w:val="44"/>
              <w:rPr>
                <w:color w:val="auto"/>
              </w:rPr>
            </w:pPr>
          </w:p>
        </w:tc>
        <w:tc>
          <w:tcPr>
            <w:tcW w:w="720" w:type="dxa"/>
            <w:vAlign w:val="center"/>
          </w:tcPr>
          <w:p w14:paraId="6279F4CE">
            <w:pPr>
              <w:pStyle w:val="44"/>
              <w:rPr>
                <w:color w:val="auto"/>
              </w:rPr>
            </w:pPr>
          </w:p>
        </w:tc>
      </w:tr>
      <w:tr w14:paraId="1D744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2D7A86DF">
            <w:pPr>
              <w:pStyle w:val="44"/>
              <w:rPr>
                <w:color w:val="auto"/>
              </w:rPr>
            </w:pPr>
            <w:r>
              <w:rPr>
                <w:rFonts w:hint="eastAsia"/>
                <w:color w:val="auto"/>
              </w:rPr>
              <w:t>2</w:t>
            </w:r>
          </w:p>
        </w:tc>
        <w:tc>
          <w:tcPr>
            <w:tcW w:w="543" w:type="dxa"/>
            <w:vMerge w:val="continue"/>
          </w:tcPr>
          <w:p w14:paraId="7248BF15">
            <w:pPr>
              <w:pStyle w:val="44"/>
              <w:rPr>
                <w:color w:val="auto"/>
              </w:rPr>
            </w:pPr>
          </w:p>
        </w:tc>
        <w:tc>
          <w:tcPr>
            <w:tcW w:w="898" w:type="dxa"/>
            <w:vAlign w:val="center"/>
          </w:tcPr>
          <w:p w14:paraId="09278163">
            <w:pPr>
              <w:pStyle w:val="44"/>
              <w:rPr>
                <w:color w:val="auto"/>
              </w:rPr>
            </w:pPr>
            <w:r>
              <w:rPr>
                <w:rFonts w:hint="eastAsia"/>
                <w:color w:val="auto"/>
              </w:rPr>
              <w:t>安全装置</w:t>
            </w:r>
          </w:p>
        </w:tc>
        <w:tc>
          <w:tcPr>
            <w:tcW w:w="5580" w:type="dxa"/>
            <w:vAlign w:val="center"/>
          </w:tcPr>
          <w:p w14:paraId="3AF41F04">
            <w:pPr>
              <w:pStyle w:val="44"/>
              <w:jc w:val="left"/>
              <w:rPr>
                <w:color w:val="auto"/>
              </w:rPr>
            </w:pPr>
            <w:r>
              <w:rPr>
                <w:rFonts w:hint="eastAsia"/>
                <w:color w:val="auto"/>
              </w:rPr>
              <w:t>1）未安装防坠安全锁或不</w:t>
            </w:r>
            <w:r>
              <w:rPr>
                <w:color w:val="auto"/>
              </w:rPr>
              <w:t>灵敏</w:t>
            </w:r>
            <w:r>
              <w:rPr>
                <w:rFonts w:hint="eastAsia"/>
                <w:color w:val="auto"/>
              </w:rPr>
              <w:t>，扣1</w:t>
            </w:r>
            <w:r>
              <w:rPr>
                <w:color w:val="auto"/>
              </w:rPr>
              <w:t>0</w:t>
            </w:r>
            <w:r>
              <w:rPr>
                <w:rFonts w:hint="eastAsia"/>
                <w:color w:val="auto"/>
              </w:rPr>
              <w:t>分</w:t>
            </w:r>
          </w:p>
          <w:p w14:paraId="3FE011CC">
            <w:pPr>
              <w:pStyle w:val="44"/>
              <w:jc w:val="left"/>
              <w:rPr>
                <w:color w:val="auto"/>
              </w:rPr>
            </w:pPr>
            <w:r>
              <w:rPr>
                <w:color w:val="auto"/>
              </w:rPr>
              <w:t>2</w:t>
            </w:r>
            <w:r>
              <w:rPr>
                <w:rFonts w:hint="eastAsia"/>
                <w:color w:val="auto"/>
              </w:rPr>
              <w:t>）使用</w:t>
            </w:r>
            <w:r>
              <w:rPr>
                <w:color w:val="auto"/>
              </w:rPr>
              <w:t>中</w:t>
            </w:r>
            <w:r>
              <w:rPr>
                <w:rFonts w:hint="eastAsia"/>
                <w:color w:val="auto"/>
              </w:rPr>
              <w:t>的防坠安全锁超过标定期限，扣1</w:t>
            </w:r>
            <w:r>
              <w:rPr>
                <w:color w:val="auto"/>
              </w:rPr>
              <w:t>0</w:t>
            </w:r>
            <w:r>
              <w:rPr>
                <w:rFonts w:hint="eastAsia"/>
                <w:color w:val="auto"/>
              </w:rPr>
              <w:t>分</w:t>
            </w:r>
          </w:p>
          <w:p w14:paraId="5346C857">
            <w:pPr>
              <w:pStyle w:val="44"/>
              <w:jc w:val="left"/>
              <w:rPr>
                <w:color w:val="auto"/>
              </w:rPr>
            </w:pPr>
            <w:r>
              <w:rPr>
                <w:color w:val="auto"/>
              </w:rPr>
              <w:t>3</w:t>
            </w:r>
            <w:r>
              <w:rPr>
                <w:rFonts w:hint="eastAsia"/>
                <w:color w:val="auto"/>
              </w:rPr>
              <w:t>）未设置挂设安全带专用安全绳及安全锁扣或安全绳未固定在结构物可靠位置，扣1</w:t>
            </w:r>
            <w:r>
              <w:rPr>
                <w:color w:val="auto"/>
              </w:rPr>
              <w:t>0</w:t>
            </w:r>
            <w:r>
              <w:rPr>
                <w:rFonts w:hint="eastAsia"/>
                <w:color w:val="auto"/>
              </w:rPr>
              <w:t>分</w:t>
            </w:r>
          </w:p>
          <w:p w14:paraId="7B800ECF">
            <w:pPr>
              <w:pStyle w:val="44"/>
              <w:jc w:val="left"/>
              <w:rPr>
                <w:color w:val="auto"/>
              </w:rPr>
            </w:pPr>
            <w:r>
              <w:rPr>
                <w:color w:val="auto"/>
              </w:rPr>
              <w:t>4</w:t>
            </w:r>
            <w:r>
              <w:rPr>
                <w:rFonts w:hint="eastAsia"/>
                <w:color w:val="auto"/>
              </w:rPr>
              <w:t>）未安装上限位装置或不灵敏，扣1</w:t>
            </w:r>
            <w:r>
              <w:rPr>
                <w:color w:val="auto"/>
              </w:rPr>
              <w:t>0</w:t>
            </w:r>
            <w:r>
              <w:rPr>
                <w:rFonts w:hint="eastAsia"/>
                <w:color w:val="auto"/>
              </w:rPr>
              <w:t>分</w:t>
            </w:r>
          </w:p>
        </w:tc>
        <w:tc>
          <w:tcPr>
            <w:tcW w:w="720" w:type="dxa"/>
            <w:vAlign w:val="center"/>
          </w:tcPr>
          <w:p w14:paraId="4102C23D">
            <w:pPr>
              <w:pStyle w:val="44"/>
              <w:rPr>
                <w:color w:val="auto"/>
              </w:rPr>
            </w:pPr>
            <w:r>
              <w:rPr>
                <w:rFonts w:hint="eastAsia"/>
                <w:color w:val="auto"/>
              </w:rPr>
              <w:t>10</w:t>
            </w:r>
          </w:p>
        </w:tc>
        <w:tc>
          <w:tcPr>
            <w:tcW w:w="720" w:type="dxa"/>
            <w:vAlign w:val="center"/>
          </w:tcPr>
          <w:p w14:paraId="76A4DFAE">
            <w:pPr>
              <w:pStyle w:val="44"/>
              <w:rPr>
                <w:color w:val="auto"/>
              </w:rPr>
            </w:pPr>
          </w:p>
        </w:tc>
        <w:tc>
          <w:tcPr>
            <w:tcW w:w="720" w:type="dxa"/>
            <w:vAlign w:val="center"/>
          </w:tcPr>
          <w:p w14:paraId="138BC60C">
            <w:pPr>
              <w:pStyle w:val="44"/>
              <w:rPr>
                <w:color w:val="auto"/>
              </w:rPr>
            </w:pPr>
          </w:p>
        </w:tc>
      </w:tr>
      <w:tr w14:paraId="1920B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F0CA27D">
            <w:pPr>
              <w:pStyle w:val="44"/>
              <w:rPr>
                <w:color w:val="auto"/>
              </w:rPr>
            </w:pPr>
            <w:r>
              <w:rPr>
                <w:rFonts w:hint="eastAsia"/>
                <w:color w:val="auto"/>
              </w:rPr>
              <w:t>3</w:t>
            </w:r>
          </w:p>
        </w:tc>
        <w:tc>
          <w:tcPr>
            <w:tcW w:w="543" w:type="dxa"/>
            <w:vMerge w:val="continue"/>
          </w:tcPr>
          <w:p w14:paraId="1262DC0A">
            <w:pPr>
              <w:pStyle w:val="44"/>
              <w:rPr>
                <w:color w:val="auto"/>
              </w:rPr>
            </w:pPr>
          </w:p>
        </w:tc>
        <w:tc>
          <w:tcPr>
            <w:tcW w:w="898" w:type="dxa"/>
            <w:vAlign w:val="center"/>
          </w:tcPr>
          <w:p w14:paraId="560821FD">
            <w:pPr>
              <w:pStyle w:val="44"/>
              <w:rPr>
                <w:color w:val="auto"/>
              </w:rPr>
            </w:pPr>
            <w:r>
              <w:rPr>
                <w:rFonts w:hint="eastAsia"/>
                <w:color w:val="auto"/>
              </w:rPr>
              <w:t>悬挂机构</w:t>
            </w:r>
          </w:p>
        </w:tc>
        <w:tc>
          <w:tcPr>
            <w:tcW w:w="5580" w:type="dxa"/>
            <w:vAlign w:val="center"/>
          </w:tcPr>
          <w:p w14:paraId="7ADF1B40">
            <w:pPr>
              <w:pStyle w:val="44"/>
              <w:jc w:val="left"/>
              <w:rPr>
                <w:color w:val="auto"/>
              </w:rPr>
            </w:pPr>
            <w:r>
              <w:rPr>
                <w:color w:val="auto"/>
              </w:rPr>
              <w:t>1</w:t>
            </w:r>
            <w:r>
              <w:rPr>
                <w:rFonts w:hint="eastAsia"/>
                <w:color w:val="auto"/>
              </w:rPr>
              <w:t>）悬挂机构前支架支撑在非承重结构上，扣</w:t>
            </w:r>
            <w:r>
              <w:rPr>
                <w:color w:val="auto"/>
              </w:rPr>
              <w:t>10</w:t>
            </w:r>
            <w:r>
              <w:rPr>
                <w:rFonts w:hint="eastAsia"/>
                <w:color w:val="auto"/>
              </w:rPr>
              <w:t>分</w:t>
            </w:r>
          </w:p>
          <w:p w14:paraId="6CD8F629">
            <w:pPr>
              <w:pStyle w:val="44"/>
              <w:jc w:val="left"/>
              <w:rPr>
                <w:color w:val="auto"/>
              </w:rPr>
            </w:pPr>
            <w:r>
              <w:rPr>
                <w:rFonts w:hint="eastAsia"/>
                <w:color w:val="auto"/>
              </w:rPr>
              <w:t>2）悬挂机构的荷载由预埋件承受时，预埋件的安全系数不小于3，</w:t>
            </w:r>
            <w:r>
              <w:rPr>
                <w:color w:val="auto"/>
              </w:rPr>
              <w:t>扣</w:t>
            </w:r>
            <w:r>
              <w:rPr>
                <w:rFonts w:hint="eastAsia"/>
                <w:color w:val="auto"/>
              </w:rPr>
              <w:t>10分</w:t>
            </w:r>
          </w:p>
          <w:p w14:paraId="1A122ADB">
            <w:pPr>
              <w:pStyle w:val="44"/>
              <w:jc w:val="left"/>
              <w:rPr>
                <w:color w:val="auto"/>
              </w:rPr>
            </w:pPr>
            <w:r>
              <w:rPr>
                <w:color w:val="auto"/>
              </w:rPr>
              <w:t>3)</w:t>
            </w:r>
            <w:r>
              <w:rPr>
                <w:rFonts w:hint="eastAsia"/>
                <w:color w:val="auto"/>
              </w:rPr>
              <w:t>前梁外伸长度和中梁长度配比、使用高度不符合产品说明书或吊篮设计要求，扣</w:t>
            </w:r>
            <w:r>
              <w:rPr>
                <w:color w:val="auto"/>
              </w:rPr>
              <w:t>10</w:t>
            </w:r>
            <w:r>
              <w:rPr>
                <w:rFonts w:hint="eastAsia"/>
                <w:color w:val="auto"/>
              </w:rPr>
              <w:t>分</w:t>
            </w:r>
          </w:p>
          <w:p w14:paraId="73A76316">
            <w:pPr>
              <w:pStyle w:val="44"/>
              <w:jc w:val="left"/>
              <w:rPr>
                <w:color w:val="auto"/>
              </w:rPr>
            </w:pPr>
            <w:r>
              <w:rPr>
                <w:color w:val="auto"/>
              </w:rPr>
              <w:t>4</w:t>
            </w:r>
            <w:r>
              <w:rPr>
                <w:rFonts w:hint="eastAsia"/>
                <w:color w:val="auto"/>
              </w:rPr>
              <w:t>)前支架与支撑面不垂直或脚轮受力，扣10分</w:t>
            </w:r>
          </w:p>
          <w:p w14:paraId="7E34B83D">
            <w:pPr>
              <w:pStyle w:val="44"/>
              <w:jc w:val="left"/>
              <w:rPr>
                <w:color w:val="auto"/>
              </w:rPr>
            </w:pPr>
            <w:r>
              <w:rPr>
                <w:color w:val="auto"/>
              </w:rPr>
              <w:t>5</w:t>
            </w:r>
            <w:r>
              <w:rPr>
                <w:rFonts w:hint="eastAsia"/>
                <w:color w:val="auto"/>
              </w:rPr>
              <w:t>)上支架未固定在前支架调节杆与悬挑梁连接的节点处，扣5分</w:t>
            </w:r>
          </w:p>
          <w:p w14:paraId="7F6ABB77">
            <w:pPr>
              <w:pStyle w:val="44"/>
              <w:jc w:val="left"/>
              <w:rPr>
                <w:color w:val="auto"/>
              </w:rPr>
            </w:pPr>
            <w:r>
              <w:rPr>
                <w:color w:val="auto"/>
              </w:rPr>
              <w:t>6</w:t>
            </w:r>
            <w:r>
              <w:rPr>
                <w:rFonts w:hint="eastAsia"/>
                <w:color w:val="auto"/>
              </w:rPr>
              <w:t>)使用破损的配重块或采用其他替代物，扣10分</w:t>
            </w:r>
          </w:p>
          <w:p w14:paraId="11A4782C">
            <w:pPr>
              <w:pStyle w:val="44"/>
              <w:jc w:val="left"/>
              <w:rPr>
                <w:color w:val="auto"/>
              </w:rPr>
            </w:pPr>
            <w:r>
              <w:rPr>
                <w:color w:val="auto"/>
              </w:rPr>
              <w:t>7</w:t>
            </w:r>
            <w:r>
              <w:rPr>
                <w:rFonts w:hint="eastAsia"/>
                <w:color w:val="auto"/>
              </w:rPr>
              <w:t>)配重块未固定，或重量不符合使用说明书</w:t>
            </w:r>
            <w:r>
              <w:rPr>
                <w:color w:val="auto"/>
              </w:rPr>
              <w:t>或吊篮</w:t>
            </w:r>
            <w:r>
              <w:rPr>
                <w:rFonts w:hint="eastAsia"/>
                <w:color w:val="auto"/>
              </w:rPr>
              <w:t>设计要求，扣10分</w:t>
            </w:r>
          </w:p>
        </w:tc>
        <w:tc>
          <w:tcPr>
            <w:tcW w:w="720" w:type="dxa"/>
            <w:vAlign w:val="center"/>
          </w:tcPr>
          <w:p w14:paraId="21A7DD4C">
            <w:pPr>
              <w:pStyle w:val="44"/>
              <w:rPr>
                <w:color w:val="auto"/>
              </w:rPr>
            </w:pPr>
            <w:r>
              <w:rPr>
                <w:rFonts w:hint="eastAsia"/>
                <w:color w:val="auto"/>
              </w:rPr>
              <w:t>10</w:t>
            </w:r>
          </w:p>
        </w:tc>
        <w:tc>
          <w:tcPr>
            <w:tcW w:w="720" w:type="dxa"/>
            <w:vAlign w:val="center"/>
          </w:tcPr>
          <w:p w14:paraId="6E3FE4C8">
            <w:pPr>
              <w:pStyle w:val="44"/>
              <w:rPr>
                <w:color w:val="auto"/>
              </w:rPr>
            </w:pPr>
          </w:p>
        </w:tc>
        <w:tc>
          <w:tcPr>
            <w:tcW w:w="720" w:type="dxa"/>
            <w:vAlign w:val="center"/>
          </w:tcPr>
          <w:p w14:paraId="6E326388">
            <w:pPr>
              <w:pStyle w:val="44"/>
              <w:rPr>
                <w:color w:val="auto"/>
              </w:rPr>
            </w:pPr>
          </w:p>
        </w:tc>
      </w:tr>
      <w:tr w14:paraId="6922A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0E93417">
            <w:pPr>
              <w:pStyle w:val="44"/>
              <w:rPr>
                <w:color w:val="auto"/>
              </w:rPr>
            </w:pPr>
            <w:r>
              <w:rPr>
                <w:rFonts w:hint="eastAsia"/>
                <w:color w:val="auto"/>
              </w:rPr>
              <w:t>4</w:t>
            </w:r>
          </w:p>
        </w:tc>
        <w:tc>
          <w:tcPr>
            <w:tcW w:w="543" w:type="dxa"/>
            <w:vMerge w:val="continue"/>
          </w:tcPr>
          <w:p w14:paraId="7DBDAAC9">
            <w:pPr>
              <w:pStyle w:val="44"/>
              <w:rPr>
                <w:color w:val="auto"/>
              </w:rPr>
            </w:pPr>
          </w:p>
        </w:tc>
        <w:tc>
          <w:tcPr>
            <w:tcW w:w="898" w:type="dxa"/>
            <w:vAlign w:val="center"/>
          </w:tcPr>
          <w:p w14:paraId="4029BEA0">
            <w:pPr>
              <w:pStyle w:val="44"/>
              <w:rPr>
                <w:color w:val="auto"/>
              </w:rPr>
            </w:pPr>
            <w:r>
              <w:rPr>
                <w:rFonts w:hint="eastAsia"/>
                <w:color w:val="auto"/>
              </w:rPr>
              <w:t>钢丝绳</w:t>
            </w:r>
          </w:p>
        </w:tc>
        <w:tc>
          <w:tcPr>
            <w:tcW w:w="5580" w:type="dxa"/>
            <w:vAlign w:val="center"/>
          </w:tcPr>
          <w:p w14:paraId="72F7F2A5">
            <w:pPr>
              <w:pStyle w:val="44"/>
              <w:jc w:val="left"/>
              <w:rPr>
                <w:color w:val="auto"/>
              </w:rPr>
            </w:pPr>
            <w:r>
              <w:rPr>
                <w:rFonts w:hint="eastAsia"/>
                <w:color w:val="auto"/>
              </w:rPr>
              <w:t>1</w:t>
            </w:r>
            <w:r>
              <w:rPr>
                <w:color w:val="auto"/>
              </w:rPr>
              <w:t>)</w:t>
            </w:r>
            <w:r>
              <w:rPr>
                <w:rFonts w:hint="eastAsia"/>
                <w:color w:val="auto"/>
              </w:rPr>
              <w:t>钢丝绳磨损、断丝、变形、锈蚀达到报废标准，扣10分</w:t>
            </w:r>
          </w:p>
          <w:p w14:paraId="345A4C58">
            <w:pPr>
              <w:pStyle w:val="44"/>
              <w:jc w:val="left"/>
              <w:rPr>
                <w:color w:val="auto"/>
              </w:rPr>
            </w:pPr>
            <w:r>
              <w:rPr>
                <w:rFonts w:hint="eastAsia"/>
                <w:color w:val="auto"/>
              </w:rPr>
              <w:t>2）安全钢丝绳未独立悬挂或其规格、型号与工作钢丝绳不相同，扣10分</w:t>
            </w:r>
          </w:p>
          <w:p w14:paraId="4C75FAA2">
            <w:pPr>
              <w:pStyle w:val="44"/>
              <w:jc w:val="left"/>
              <w:rPr>
                <w:color w:val="auto"/>
              </w:rPr>
            </w:pPr>
            <w:r>
              <w:rPr>
                <w:color w:val="auto"/>
              </w:rPr>
              <w:t>3)</w:t>
            </w:r>
            <w:r>
              <w:rPr>
                <w:rFonts w:hint="eastAsia"/>
                <w:color w:val="auto"/>
              </w:rPr>
              <w:t>钢丝绳端部绳夹设置不符合相关标准要求，扣</w:t>
            </w:r>
            <w:r>
              <w:rPr>
                <w:color w:val="auto"/>
              </w:rPr>
              <w:t>10</w:t>
            </w:r>
            <w:r>
              <w:rPr>
                <w:rFonts w:hint="eastAsia"/>
                <w:color w:val="auto"/>
              </w:rPr>
              <w:t>分</w:t>
            </w:r>
          </w:p>
          <w:p w14:paraId="68020A08">
            <w:pPr>
              <w:pStyle w:val="44"/>
              <w:jc w:val="left"/>
              <w:rPr>
                <w:color w:val="auto"/>
              </w:rPr>
            </w:pPr>
            <w:r>
              <w:rPr>
                <w:color w:val="auto"/>
              </w:rPr>
              <w:t>4</w:t>
            </w:r>
            <w:r>
              <w:rPr>
                <w:rFonts w:hint="eastAsia"/>
                <w:color w:val="auto"/>
              </w:rPr>
              <w:t>）安全绳未处于悬垂状态，扣5分</w:t>
            </w:r>
          </w:p>
          <w:p w14:paraId="11A63679">
            <w:pPr>
              <w:pStyle w:val="44"/>
              <w:jc w:val="left"/>
              <w:rPr>
                <w:color w:val="auto"/>
              </w:rPr>
            </w:pPr>
            <w:r>
              <w:rPr>
                <w:color w:val="auto"/>
              </w:rPr>
              <w:t>5)</w:t>
            </w:r>
            <w:r>
              <w:rPr>
                <w:rFonts w:hint="eastAsia"/>
                <w:color w:val="auto"/>
              </w:rPr>
              <w:t>电焊作业时未对钢丝绳采取保护措施，扣5分</w:t>
            </w:r>
          </w:p>
        </w:tc>
        <w:tc>
          <w:tcPr>
            <w:tcW w:w="720" w:type="dxa"/>
            <w:vAlign w:val="center"/>
          </w:tcPr>
          <w:p w14:paraId="2E7578FA">
            <w:pPr>
              <w:pStyle w:val="44"/>
              <w:rPr>
                <w:color w:val="auto"/>
              </w:rPr>
            </w:pPr>
            <w:r>
              <w:rPr>
                <w:rFonts w:hint="eastAsia"/>
                <w:color w:val="auto"/>
              </w:rPr>
              <w:t>10</w:t>
            </w:r>
          </w:p>
        </w:tc>
        <w:tc>
          <w:tcPr>
            <w:tcW w:w="720" w:type="dxa"/>
            <w:vAlign w:val="center"/>
          </w:tcPr>
          <w:p w14:paraId="7381C4EB">
            <w:pPr>
              <w:pStyle w:val="44"/>
              <w:rPr>
                <w:color w:val="auto"/>
              </w:rPr>
            </w:pPr>
          </w:p>
        </w:tc>
        <w:tc>
          <w:tcPr>
            <w:tcW w:w="720" w:type="dxa"/>
            <w:vAlign w:val="center"/>
          </w:tcPr>
          <w:p w14:paraId="578BAC3E">
            <w:pPr>
              <w:pStyle w:val="44"/>
              <w:rPr>
                <w:color w:val="auto"/>
              </w:rPr>
            </w:pPr>
          </w:p>
        </w:tc>
      </w:tr>
      <w:tr w14:paraId="3D9E2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72948AE2">
            <w:pPr>
              <w:pStyle w:val="44"/>
              <w:rPr>
                <w:color w:val="auto"/>
              </w:rPr>
            </w:pPr>
            <w:r>
              <w:rPr>
                <w:rFonts w:hint="eastAsia"/>
                <w:color w:val="auto"/>
              </w:rPr>
              <w:t>5</w:t>
            </w:r>
          </w:p>
        </w:tc>
        <w:tc>
          <w:tcPr>
            <w:tcW w:w="543" w:type="dxa"/>
            <w:vMerge w:val="continue"/>
          </w:tcPr>
          <w:p w14:paraId="5A9D9AE6">
            <w:pPr>
              <w:pStyle w:val="44"/>
              <w:rPr>
                <w:color w:val="auto"/>
              </w:rPr>
            </w:pPr>
          </w:p>
        </w:tc>
        <w:tc>
          <w:tcPr>
            <w:tcW w:w="898" w:type="dxa"/>
            <w:vAlign w:val="center"/>
          </w:tcPr>
          <w:p w14:paraId="582E68D6">
            <w:pPr>
              <w:pStyle w:val="44"/>
              <w:rPr>
                <w:color w:val="auto"/>
              </w:rPr>
            </w:pPr>
            <w:r>
              <w:rPr>
                <w:rFonts w:hint="eastAsia"/>
                <w:color w:val="auto"/>
              </w:rPr>
              <w:t>悬吊平台</w:t>
            </w:r>
          </w:p>
        </w:tc>
        <w:tc>
          <w:tcPr>
            <w:tcW w:w="5580" w:type="dxa"/>
            <w:vAlign w:val="center"/>
          </w:tcPr>
          <w:p w14:paraId="117B4A32">
            <w:pPr>
              <w:pStyle w:val="44"/>
              <w:jc w:val="left"/>
              <w:rPr>
                <w:color w:val="auto"/>
              </w:rPr>
            </w:pPr>
            <w:r>
              <w:rPr>
                <w:color w:val="auto"/>
              </w:rPr>
              <w:t>1</w:t>
            </w:r>
            <w:r>
              <w:rPr>
                <w:rFonts w:hint="eastAsia"/>
                <w:color w:val="auto"/>
              </w:rPr>
              <w:t>）悬吊平台出现焊缝开裂、螺栓铆钉松动、变形过大等现象，扣</w:t>
            </w:r>
            <w:r>
              <w:rPr>
                <w:color w:val="auto"/>
              </w:rPr>
              <w:t>10</w:t>
            </w:r>
            <w:r>
              <w:rPr>
                <w:rFonts w:hint="eastAsia"/>
                <w:color w:val="auto"/>
              </w:rPr>
              <w:t>分</w:t>
            </w:r>
          </w:p>
          <w:p w14:paraId="1F2B68E5">
            <w:pPr>
              <w:pStyle w:val="44"/>
              <w:jc w:val="left"/>
              <w:rPr>
                <w:color w:val="auto"/>
              </w:rPr>
            </w:pPr>
            <w:r>
              <w:rPr>
                <w:color w:val="auto"/>
              </w:rPr>
              <w:t>2</w:t>
            </w:r>
            <w:r>
              <w:rPr>
                <w:rFonts w:hint="eastAsia"/>
                <w:color w:val="auto"/>
              </w:rPr>
              <w:t>）悬吊平台的组装长度不符合产品说明书或吊篮设计要求，扣</w:t>
            </w:r>
            <w:r>
              <w:rPr>
                <w:color w:val="auto"/>
              </w:rPr>
              <w:t>10</w:t>
            </w:r>
            <w:r>
              <w:rPr>
                <w:rFonts w:hint="eastAsia"/>
                <w:color w:val="auto"/>
              </w:rPr>
              <w:t>分</w:t>
            </w:r>
          </w:p>
          <w:p w14:paraId="26D04474">
            <w:pPr>
              <w:pStyle w:val="44"/>
              <w:jc w:val="left"/>
              <w:rPr>
                <w:color w:val="auto"/>
              </w:rPr>
            </w:pPr>
            <w:r>
              <w:rPr>
                <w:color w:val="auto"/>
              </w:rPr>
              <w:t>3</w:t>
            </w:r>
            <w:r>
              <w:rPr>
                <w:rFonts w:hint="eastAsia"/>
                <w:color w:val="auto"/>
              </w:rPr>
              <w:t>）悬吊平台无导向装置或缓冲装置，扣</w:t>
            </w:r>
            <w:r>
              <w:rPr>
                <w:color w:val="auto"/>
              </w:rPr>
              <w:t>10</w:t>
            </w:r>
            <w:r>
              <w:rPr>
                <w:rFonts w:hint="eastAsia"/>
                <w:color w:val="auto"/>
              </w:rPr>
              <w:t>分。</w:t>
            </w:r>
          </w:p>
        </w:tc>
        <w:tc>
          <w:tcPr>
            <w:tcW w:w="720" w:type="dxa"/>
            <w:vAlign w:val="center"/>
          </w:tcPr>
          <w:p w14:paraId="759D9EC8">
            <w:pPr>
              <w:pStyle w:val="44"/>
              <w:rPr>
                <w:color w:val="auto"/>
              </w:rPr>
            </w:pPr>
            <w:r>
              <w:rPr>
                <w:rFonts w:hint="eastAsia"/>
                <w:color w:val="auto"/>
              </w:rPr>
              <w:t>10</w:t>
            </w:r>
          </w:p>
        </w:tc>
        <w:tc>
          <w:tcPr>
            <w:tcW w:w="720" w:type="dxa"/>
            <w:vAlign w:val="center"/>
          </w:tcPr>
          <w:p w14:paraId="40020522">
            <w:pPr>
              <w:pStyle w:val="44"/>
              <w:rPr>
                <w:color w:val="auto"/>
              </w:rPr>
            </w:pPr>
          </w:p>
        </w:tc>
        <w:tc>
          <w:tcPr>
            <w:tcW w:w="720" w:type="dxa"/>
            <w:vAlign w:val="center"/>
          </w:tcPr>
          <w:p w14:paraId="0988A3C1">
            <w:pPr>
              <w:pStyle w:val="44"/>
              <w:rPr>
                <w:color w:val="auto"/>
              </w:rPr>
            </w:pPr>
          </w:p>
        </w:tc>
      </w:tr>
      <w:tr w14:paraId="552B6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249B108">
            <w:pPr>
              <w:pStyle w:val="44"/>
              <w:rPr>
                <w:color w:val="auto"/>
              </w:rPr>
            </w:pPr>
            <w:r>
              <w:rPr>
                <w:rFonts w:hint="eastAsia"/>
                <w:color w:val="auto"/>
              </w:rPr>
              <w:t>6</w:t>
            </w:r>
          </w:p>
        </w:tc>
        <w:tc>
          <w:tcPr>
            <w:tcW w:w="543" w:type="dxa"/>
            <w:vMerge w:val="continue"/>
            <w:vAlign w:val="center"/>
          </w:tcPr>
          <w:p w14:paraId="4C731AC2">
            <w:pPr>
              <w:pStyle w:val="44"/>
              <w:rPr>
                <w:color w:val="auto"/>
              </w:rPr>
            </w:pPr>
          </w:p>
        </w:tc>
        <w:tc>
          <w:tcPr>
            <w:tcW w:w="898" w:type="dxa"/>
            <w:vAlign w:val="center"/>
          </w:tcPr>
          <w:p w14:paraId="5FB5BAC8">
            <w:pPr>
              <w:pStyle w:val="44"/>
              <w:rPr>
                <w:color w:val="auto"/>
              </w:rPr>
            </w:pPr>
            <w:r>
              <w:rPr>
                <w:rFonts w:hint="eastAsia"/>
                <w:color w:val="auto"/>
              </w:rPr>
              <w:t>安装、</w:t>
            </w:r>
            <w:r>
              <w:rPr>
                <w:color w:val="auto"/>
              </w:rPr>
              <w:t>拆卸</w:t>
            </w:r>
            <w:r>
              <w:rPr>
                <w:rFonts w:hint="eastAsia"/>
                <w:color w:val="auto"/>
              </w:rPr>
              <w:t>作业</w:t>
            </w:r>
          </w:p>
        </w:tc>
        <w:tc>
          <w:tcPr>
            <w:tcW w:w="5580" w:type="dxa"/>
            <w:vAlign w:val="center"/>
          </w:tcPr>
          <w:p w14:paraId="653E6BD9">
            <w:pPr>
              <w:pStyle w:val="44"/>
              <w:jc w:val="left"/>
              <w:rPr>
                <w:color w:val="auto"/>
              </w:rPr>
            </w:pPr>
            <w:r>
              <w:rPr>
                <w:color w:val="auto"/>
              </w:rPr>
              <w:t>1</w:t>
            </w:r>
            <w:r>
              <w:rPr>
                <w:rFonts w:hint="eastAsia"/>
                <w:color w:val="auto"/>
              </w:rPr>
              <w:t>）安装、拆卸人员未取得特种作业资格证书，扣</w:t>
            </w:r>
            <w:r>
              <w:rPr>
                <w:color w:val="auto"/>
              </w:rPr>
              <w:t>10</w:t>
            </w:r>
            <w:r>
              <w:rPr>
                <w:rFonts w:hint="eastAsia"/>
                <w:color w:val="auto"/>
              </w:rPr>
              <w:t>分</w:t>
            </w:r>
          </w:p>
          <w:p w14:paraId="12C350A8">
            <w:pPr>
              <w:pStyle w:val="44"/>
              <w:jc w:val="left"/>
              <w:rPr>
                <w:color w:val="auto"/>
              </w:rPr>
            </w:pPr>
            <w:r>
              <w:rPr>
                <w:color w:val="auto"/>
              </w:rPr>
              <w:t>2</w:t>
            </w:r>
            <w:r>
              <w:rPr>
                <w:rFonts w:hint="eastAsia"/>
                <w:color w:val="auto"/>
              </w:rPr>
              <w:t>）吊篮组装采用的构配件不是同一生产厂家的产品，扣10分</w:t>
            </w:r>
          </w:p>
          <w:p w14:paraId="2416996B">
            <w:pPr>
              <w:pStyle w:val="44"/>
              <w:jc w:val="left"/>
              <w:rPr>
                <w:color w:val="auto"/>
              </w:rPr>
            </w:pPr>
            <w:r>
              <w:rPr>
                <w:color w:val="auto"/>
              </w:rPr>
              <w:t>3</w:t>
            </w:r>
            <w:r>
              <w:rPr>
                <w:rFonts w:hint="eastAsia"/>
                <w:color w:val="auto"/>
              </w:rPr>
              <w:t>）吊篮拆卸分解后的构配件放置在结构物边缘，扣</w:t>
            </w:r>
            <w:r>
              <w:rPr>
                <w:color w:val="auto"/>
              </w:rPr>
              <w:t>5</w:t>
            </w:r>
            <w:r>
              <w:rPr>
                <w:rFonts w:hint="eastAsia"/>
                <w:color w:val="auto"/>
              </w:rPr>
              <w:t>分</w:t>
            </w:r>
          </w:p>
          <w:p w14:paraId="668BA3C6">
            <w:pPr>
              <w:pStyle w:val="44"/>
              <w:jc w:val="left"/>
              <w:rPr>
                <w:color w:val="auto"/>
              </w:rPr>
            </w:pPr>
            <w:r>
              <w:rPr>
                <w:color w:val="auto"/>
              </w:rPr>
              <w:t>4</w:t>
            </w:r>
            <w:r>
              <w:rPr>
                <w:rFonts w:hint="eastAsia"/>
                <w:color w:val="auto"/>
              </w:rPr>
              <w:t>）未对拆卸后构配件采取防止坠落的措施，或将其从高处抛下，扣</w:t>
            </w:r>
            <w:r>
              <w:rPr>
                <w:color w:val="auto"/>
              </w:rPr>
              <w:t>5</w:t>
            </w:r>
            <w:r>
              <w:rPr>
                <w:rFonts w:hint="eastAsia"/>
                <w:color w:val="auto"/>
              </w:rPr>
              <w:t>分</w:t>
            </w:r>
          </w:p>
          <w:p w14:paraId="34024633">
            <w:pPr>
              <w:pStyle w:val="44"/>
              <w:jc w:val="left"/>
              <w:rPr>
                <w:color w:val="auto"/>
              </w:rPr>
            </w:pPr>
            <w:r>
              <w:rPr>
                <w:color w:val="auto"/>
              </w:rPr>
              <w:t>5</w:t>
            </w:r>
            <w:r>
              <w:rPr>
                <w:rFonts w:hint="eastAsia"/>
                <w:color w:val="auto"/>
              </w:rPr>
              <w:t>）吊篮维修、拆卸作业时未设置警戒区及警示牌，扣</w:t>
            </w:r>
            <w:r>
              <w:rPr>
                <w:color w:val="auto"/>
              </w:rPr>
              <w:t>5</w:t>
            </w:r>
            <w:r>
              <w:rPr>
                <w:rFonts w:hint="eastAsia"/>
                <w:color w:val="auto"/>
              </w:rPr>
              <w:t>分</w:t>
            </w:r>
          </w:p>
        </w:tc>
        <w:tc>
          <w:tcPr>
            <w:tcW w:w="720" w:type="dxa"/>
            <w:vAlign w:val="center"/>
          </w:tcPr>
          <w:p w14:paraId="691C1EB0">
            <w:pPr>
              <w:pStyle w:val="44"/>
              <w:rPr>
                <w:color w:val="auto"/>
              </w:rPr>
            </w:pPr>
            <w:r>
              <w:rPr>
                <w:rFonts w:hint="eastAsia"/>
                <w:color w:val="auto"/>
              </w:rPr>
              <w:t>10</w:t>
            </w:r>
          </w:p>
        </w:tc>
        <w:tc>
          <w:tcPr>
            <w:tcW w:w="720" w:type="dxa"/>
            <w:vAlign w:val="center"/>
          </w:tcPr>
          <w:p w14:paraId="145B7AAC">
            <w:pPr>
              <w:pStyle w:val="44"/>
              <w:rPr>
                <w:color w:val="auto"/>
              </w:rPr>
            </w:pPr>
          </w:p>
        </w:tc>
        <w:tc>
          <w:tcPr>
            <w:tcW w:w="720" w:type="dxa"/>
            <w:vAlign w:val="center"/>
          </w:tcPr>
          <w:p w14:paraId="7C85970F">
            <w:pPr>
              <w:pStyle w:val="44"/>
              <w:rPr>
                <w:color w:val="auto"/>
              </w:rPr>
            </w:pPr>
          </w:p>
        </w:tc>
      </w:tr>
      <w:tr w14:paraId="33581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B9BF2F1">
            <w:pPr>
              <w:pStyle w:val="44"/>
              <w:rPr>
                <w:color w:val="auto"/>
              </w:rPr>
            </w:pPr>
            <w:r>
              <w:rPr>
                <w:rFonts w:hint="eastAsia"/>
                <w:color w:val="auto"/>
              </w:rPr>
              <w:t>7</w:t>
            </w:r>
          </w:p>
        </w:tc>
        <w:tc>
          <w:tcPr>
            <w:tcW w:w="543" w:type="dxa"/>
            <w:vMerge w:val="continue"/>
            <w:vAlign w:val="center"/>
          </w:tcPr>
          <w:p w14:paraId="12DCD88A">
            <w:pPr>
              <w:pStyle w:val="44"/>
              <w:rPr>
                <w:color w:val="auto"/>
              </w:rPr>
            </w:pPr>
          </w:p>
        </w:tc>
        <w:tc>
          <w:tcPr>
            <w:tcW w:w="898" w:type="dxa"/>
            <w:vAlign w:val="center"/>
          </w:tcPr>
          <w:p w14:paraId="154BA06E">
            <w:pPr>
              <w:pStyle w:val="44"/>
              <w:rPr>
                <w:color w:val="auto"/>
              </w:rPr>
            </w:pPr>
            <w:r>
              <w:rPr>
                <w:rFonts w:hint="eastAsia"/>
                <w:color w:val="auto"/>
              </w:rPr>
              <w:t>升降作业</w:t>
            </w:r>
          </w:p>
        </w:tc>
        <w:tc>
          <w:tcPr>
            <w:tcW w:w="5580" w:type="dxa"/>
            <w:vAlign w:val="center"/>
          </w:tcPr>
          <w:p w14:paraId="0BE3B317">
            <w:pPr>
              <w:pStyle w:val="44"/>
              <w:jc w:val="left"/>
              <w:rPr>
                <w:color w:val="auto"/>
              </w:rPr>
            </w:pPr>
            <w:r>
              <w:rPr>
                <w:rFonts w:hint="eastAsia"/>
                <w:color w:val="auto"/>
              </w:rPr>
              <w:t>1）操作升降人员未经培训合格，扣10分</w:t>
            </w:r>
          </w:p>
          <w:p w14:paraId="07806DD5">
            <w:pPr>
              <w:pStyle w:val="44"/>
              <w:jc w:val="left"/>
              <w:rPr>
                <w:color w:val="auto"/>
              </w:rPr>
            </w:pPr>
            <w:r>
              <w:rPr>
                <w:color w:val="auto"/>
              </w:rPr>
              <w:t>2</w:t>
            </w:r>
            <w:r>
              <w:rPr>
                <w:rFonts w:hint="eastAsia"/>
                <w:color w:val="auto"/>
              </w:rPr>
              <w:t>）吊篮内作业人员数量超过产品说明书或吊篮设计要求，扣</w:t>
            </w:r>
            <w:r>
              <w:rPr>
                <w:color w:val="auto"/>
              </w:rPr>
              <w:t>10</w:t>
            </w:r>
            <w:r>
              <w:rPr>
                <w:rFonts w:hint="eastAsia"/>
                <w:color w:val="auto"/>
              </w:rPr>
              <w:t>分</w:t>
            </w:r>
          </w:p>
          <w:p w14:paraId="30942122">
            <w:pPr>
              <w:pStyle w:val="44"/>
              <w:jc w:val="left"/>
              <w:rPr>
                <w:color w:val="auto"/>
              </w:rPr>
            </w:pPr>
            <w:r>
              <w:rPr>
                <w:rFonts w:hint="eastAsia"/>
                <w:color w:val="auto"/>
              </w:rPr>
              <w:t>3）吊篮内作业人员未将安全带用安全锁扣挂置在独立设置的专用安全绳上，扣10分</w:t>
            </w:r>
          </w:p>
          <w:p w14:paraId="03097E19">
            <w:pPr>
              <w:pStyle w:val="44"/>
              <w:jc w:val="left"/>
              <w:rPr>
                <w:color w:val="auto"/>
              </w:rPr>
            </w:pPr>
            <w:r>
              <w:rPr>
                <w:rFonts w:hint="eastAsia"/>
                <w:color w:val="auto"/>
              </w:rPr>
              <w:t>4）作业人员未从地面进出吊篮，扣5分</w:t>
            </w:r>
          </w:p>
          <w:p w14:paraId="48359135">
            <w:pPr>
              <w:pStyle w:val="44"/>
              <w:jc w:val="left"/>
              <w:rPr>
                <w:color w:val="auto"/>
              </w:rPr>
            </w:pPr>
            <w:r>
              <w:rPr>
                <w:color w:val="auto"/>
              </w:rPr>
              <w:t>5)</w:t>
            </w:r>
            <w:r>
              <w:rPr>
                <w:rFonts w:hint="eastAsia"/>
                <w:color w:val="auto"/>
              </w:rPr>
              <w:t>吊篮下方站人，扣</w:t>
            </w:r>
            <w:r>
              <w:rPr>
                <w:color w:val="auto"/>
              </w:rPr>
              <w:t>10</w:t>
            </w:r>
            <w:r>
              <w:rPr>
                <w:rFonts w:hint="eastAsia"/>
                <w:color w:val="auto"/>
              </w:rPr>
              <w:t>分</w:t>
            </w:r>
          </w:p>
        </w:tc>
        <w:tc>
          <w:tcPr>
            <w:tcW w:w="720" w:type="dxa"/>
            <w:vAlign w:val="center"/>
          </w:tcPr>
          <w:p w14:paraId="4274443B">
            <w:pPr>
              <w:pStyle w:val="44"/>
              <w:rPr>
                <w:color w:val="auto"/>
              </w:rPr>
            </w:pPr>
            <w:r>
              <w:rPr>
                <w:rFonts w:hint="eastAsia"/>
                <w:color w:val="auto"/>
              </w:rPr>
              <w:t>10</w:t>
            </w:r>
          </w:p>
        </w:tc>
        <w:tc>
          <w:tcPr>
            <w:tcW w:w="720" w:type="dxa"/>
            <w:vAlign w:val="center"/>
          </w:tcPr>
          <w:p w14:paraId="5CE816AF">
            <w:pPr>
              <w:pStyle w:val="44"/>
              <w:rPr>
                <w:color w:val="auto"/>
              </w:rPr>
            </w:pPr>
          </w:p>
        </w:tc>
        <w:tc>
          <w:tcPr>
            <w:tcW w:w="720" w:type="dxa"/>
            <w:vAlign w:val="center"/>
          </w:tcPr>
          <w:p w14:paraId="4C920065">
            <w:pPr>
              <w:pStyle w:val="44"/>
              <w:rPr>
                <w:color w:val="auto"/>
              </w:rPr>
            </w:pPr>
          </w:p>
        </w:tc>
      </w:tr>
      <w:tr w14:paraId="06418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D11E8B9">
            <w:pPr>
              <w:pStyle w:val="44"/>
              <w:rPr>
                <w:color w:val="auto"/>
              </w:rPr>
            </w:pPr>
          </w:p>
        </w:tc>
        <w:tc>
          <w:tcPr>
            <w:tcW w:w="543" w:type="dxa"/>
            <w:vMerge w:val="continue"/>
          </w:tcPr>
          <w:p w14:paraId="0C8E973A">
            <w:pPr>
              <w:pStyle w:val="44"/>
              <w:rPr>
                <w:color w:val="auto"/>
              </w:rPr>
            </w:pPr>
          </w:p>
        </w:tc>
        <w:tc>
          <w:tcPr>
            <w:tcW w:w="6478" w:type="dxa"/>
            <w:gridSpan w:val="2"/>
            <w:vAlign w:val="center"/>
          </w:tcPr>
          <w:p w14:paraId="69E02981">
            <w:pPr>
              <w:pStyle w:val="44"/>
              <w:rPr>
                <w:b/>
                <w:bCs w:val="0"/>
                <w:color w:val="auto"/>
              </w:rPr>
            </w:pPr>
            <w:r>
              <w:rPr>
                <w:rFonts w:hint="eastAsia"/>
                <w:b/>
                <w:bCs w:val="0"/>
                <w:color w:val="auto"/>
              </w:rPr>
              <w:t>小  计</w:t>
            </w:r>
          </w:p>
        </w:tc>
        <w:tc>
          <w:tcPr>
            <w:tcW w:w="720" w:type="dxa"/>
            <w:vAlign w:val="center"/>
          </w:tcPr>
          <w:p w14:paraId="22A4C153">
            <w:pPr>
              <w:pStyle w:val="44"/>
              <w:rPr>
                <w:color w:val="auto"/>
              </w:rPr>
            </w:pPr>
            <w:r>
              <w:rPr>
                <w:rFonts w:hint="eastAsia"/>
                <w:color w:val="auto"/>
              </w:rPr>
              <w:t>70</w:t>
            </w:r>
          </w:p>
        </w:tc>
        <w:tc>
          <w:tcPr>
            <w:tcW w:w="720" w:type="dxa"/>
            <w:vAlign w:val="center"/>
          </w:tcPr>
          <w:p w14:paraId="4589CA06">
            <w:pPr>
              <w:pStyle w:val="44"/>
              <w:rPr>
                <w:color w:val="auto"/>
              </w:rPr>
            </w:pPr>
          </w:p>
        </w:tc>
        <w:tc>
          <w:tcPr>
            <w:tcW w:w="720" w:type="dxa"/>
            <w:vAlign w:val="center"/>
          </w:tcPr>
          <w:p w14:paraId="54DD628B">
            <w:pPr>
              <w:pStyle w:val="44"/>
              <w:rPr>
                <w:color w:val="auto"/>
              </w:rPr>
            </w:pPr>
          </w:p>
        </w:tc>
      </w:tr>
      <w:tr w14:paraId="20BDA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20F9E567">
            <w:pPr>
              <w:pStyle w:val="44"/>
              <w:rPr>
                <w:color w:val="auto"/>
              </w:rPr>
            </w:pPr>
            <w:r>
              <w:rPr>
                <w:rFonts w:hint="eastAsia"/>
                <w:color w:val="auto"/>
              </w:rPr>
              <w:t>1</w:t>
            </w:r>
          </w:p>
        </w:tc>
        <w:tc>
          <w:tcPr>
            <w:tcW w:w="543" w:type="dxa"/>
            <w:vMerge w:val="restart"/>
            <w:vAlign w:val="center"/>
          </w:tcPr>
          <w:p w14:paraId="2C165280">
            <w:pPr>
              <w:pStyle w:val="44"/>
              <w:rPr>
                <w:color w:val="auto"/>
              </w:rPr>
            </w:pPr>
            <w:r>
              <w:rPr>
                <w:rFonts w:hint="eastAsia"/>
                <w:color w:val="auto"/>
              </w:rPr>
              <w:t>一</w:t>
            </w:r>
          </w:p>
          <w:p w14:paraId="2CD4ECBD">
            <w:pPr>
              <w:pStyle w:val="44"/>
              <w:rPr>
                <w:color w:val="auto"/>
              </w:rPr>
            </w:pPr>
            <w:r>
              <w:rPr>
                <w:rFonts w:hint="eastAsia"/>
                <w:color w:val="auto"/>
              </w:rPr>
              <w:t>般</w:t>
            </w:r>
          </w:p>
          <w:p w14:paraId="1A4DD636">
            <w:pPr>
              <w:pStyle w:val="44"/>
              <w:rPr>
                <w:color w:val="auto"/>
              </w:rPr>
            </w:pPr>
            <w:r>
              <w:rPr>
                <w:rFonts w:hint="eastAsia"/>
                <w:color w:val="auto"/>
              </w:rPr>
              <w:t>项</w:t>
            </w:r>
          </w:p>
          <w:p w14:paraId="2D84619B">
            <w:pPr>
              <w:pStyle w:val="44"/>
              <w:rPr>
                <w:color w:val="auto"/>
              </w:rPr>
            </w:pPr>
            <w:r>
              <w:rPr>
                <w:rFonts w:hint="eastAsia"/>
                <w:color w:val="auto"/>
              </w:rPr>
              <w:t>目</w:t>
            </w:r>
          </w:p>
        </w:tc>
        <w:tc>
          <w:tcPr>
            <w:tcW w:w="898" w:type="dxa"/>
            <w:vAlign w:val="center"/>
          </w:tcPr>
          <w:p w14:paraId="50FE0F21">
            <w:pPr>
              <w:pStyle w:val="44"/>
              <w:rPr>
                <w:color w:val="auto"/>
              </w:rPr>
            </w:pPr>
            <w:r>
              <w:rPr>
                <w:rFonts w:hint="eastAsia"/>
                <w:color w:val="auto"/>
              </w:rPr>
              <w:t>检查验收</w:t>
            </w:r>
          </w:p>
        </w:tc>
        <w:tc>
          <w:tcPr>
            <w:tcW w:w="5580" w:type="dxa"/>
            <w:vAlign w:val="center"/>
          </w:tcPr>
          <w:p w14:paraId="354AF04F">
            <w:pPr>
              <w:pStyle w:val="44"/>
              <w:jc w:val="left"/>
              <w:rPr>
                <w:color w:val="auto"/>
              </w:rPr>
            </w:pPr>
            <w:r>
              <w:rPr>
                <w:rFonts w:hint="eastAsia"/>
                <w:color w:val="auto"/>
              </w:rPr>
              <w:t>1)未履行验收程序或未经责任人签字确认，扣10分</w:t>
            </w:r>
          </w:p>
          <w:p w14:paraId="5219743B">
            <w:pPr>
              <w:pStyle w:val="44"/>
              <w:jc w:val="left"/>
              <w:rPr>
                <w:color w:val="auto"/>
              </w:rPr>
            </w:pPr>
            <w:r>
              <w:rPr>
                <w:rFonts w:hint="eastAsia"/>
                <w:color w:val="auto"/>
              </w:rPr>
              <w:t>2)验收内容未进行量化，扣5分</w:t>
            </w:r>
          </w:p>
          <w:p w14:paraId="77164212">
            <w:pPr>
              <w:pStyle w:val="44"/>
              <w:jc w:val="left"/>
              <w:rPr>
                <w:color w:val="auto"/>
              </w:rPr>
            </w:pPr>
            <w:r>
              <w:rPr>
                <w:rFonts w:hint="eastAsia"/>
                <w:color w:val="auto"/>
              </w:rPr>
              <w:t>3)每天班前班后未进行检查，扣5分</w:t>
            </w:r>
          </w:p>
        </w:tc>
        <w:tc>
          <w:tcPr>
            <w:tcW w:w="720" w:type="dxa"/>
            <w:vAlign w:val="center"/>
          </w:tcPr>
          <w:p w14:paraId="5E9AB910">
            <w:pPr>
              <w:pStyle w:val="44"/>
              <w:rPr>
                <w:color w:val="auto"/>
              </w:rPr>
            </w:pPr>
            <w:r>
              <w:rPr>
                <w:rFonts w:hint="eastAsia"/>
                <w:color w:val="auto"/>
              </w:rPr>
              <w:t>10</w:t>
            </w:r>
          </w:p>
        </w:tc>
        <w:tc>
          <w:tcPr>
            <w:tcW w:w="720" w:type="dxa"/>
            <w:vAlign w:val="center"/>
          </w:tcPr>
          <w:p w14:paraId="6DEA87E3">
            <w:pPr>
              <w:pStyle w:val="44"/>
              <w:rPr>
                <w:color w:val="auto"/>
              </w:rPr>
            </w:pPr>
          </w:p>
        </w:tc>
        <w:tc>
          <w:tcPr>
            <w:tcW w:w="720" w:type="dxa"/>
            <w:vAlign w:val="center"/>
          </w:tcPr>
          <w:p w14:paraId="182D6DE4">
            <w:pPr>
              <w:pStyle w:val="44"/>
              <w:rPr>
                <w:color w:val="auto"/>
              </w:rPr>
            </w:pPr>
          </w:p>
        </w:tc>
      </w:tr>
      <w:tr w14:paraId="571CF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F156312">
            <w:pPr>
              <w:pStyle w:val="44"/>
              <w:rPr>
                <w:color w:val="auto"/>
              </w:rPr>
            </w:pPr>
            <w:r>
              <w:rPr>
                <w:rFonts w:hint="eastAsia"/>
                <w:color w:val="auto"/>
              </w:rPr>
              <w:t>2</w:t>
            </w:r>
          </w:p>
        </w:tc>
        <w:tc>
          <w:tcPr>
            <w:tcW w:w="543" w:type="dxa"/>
            <w:vMerge w:val="continue"/>
          </w:tcPr>
          <w:p w14:paraId="2BA971D2">
            <w:pPr>
              <w:pStyle w:val="44"/>
              <w:rPr>
                <w:color w:val="auto"/>
              </w:rPr>
            </w:pPr>
          </w:p>
        </w:tc>
        <w:tc>
          <w:tcPr>
            <w:tcW w:w="898" w:type="dxa"/>
            <w:vAlign w:val="center"/>
          </w:tcPr>
          <w:p w14:paraId="1B37B8B1">
            <w:pPr>
              <w:pStyle w:val="44"/>
              <w:rPr>
                <w:color w:val="auto"/>
              </w:rPr>
            </w:pPr>
            <w:r>
              <w:rPr>
                <w:rFonts w:hint="eastAsia"/>
                <w:color w:val="auto"/>
              </w:rPr>
              <w:t>安全防护</w:t>
            </w:r>
          </w:p>
        </w:tc>
        <w:tc>
          <w:tcPr>
            <w:tcW w:w="5580" w:type="dxa"/>
            <w:vAlign w:val="center"/>
          </w:tcPr>
          <w:p w14:paraId="3419096F">
            <w:pPr>
              <w:pStyle w:val="44"/>
              <w:jc w:val="left"/>
              <w:rPr>
                <w:color w:val="auto"/>
              </w:rPr>
            </w:pPr>
            <w:r>
              <w:rPr>
                <w:color w:val="auto"/>
              </w:rPr>
              <w:t>1</w:t>
            </w:r>
            <w:r>
              <w:rPr>
                <w:rFonts w:hint="eastAsia"/>
                <w:color w:val="auto"/>
              </w:rPr>
              <w:t>）吊篮悬吊平台面未牢固满铺防滑板，扣</w:t>
            </w:r>
            <w:r>
              <w:rPr>
                <w:color w:val="auto"/>
              </w:rPr>
              <w:t>5-10</w:t>
            </w:r>
            <w:r>
              <w:rPr>
                <w:rFonts w:hint="eastAsia"/>
                <w:color w:val="auto"/>
              </w:rPr>
              <w:t>分</w:t>
            </w:r>
          </w:p>
          <w:p w14:paraId="0F33DF72">
            <w:pPr>
              <w:pStyle w:val="44"/>
              <w:jc w:val="left"/>
              <w:rPr>
                <w:color w:val="auto"/>
              </w:rPr>
            </w:pPr>
            <w:r>
              <w:rPr>
                <w:color w:val="auto"/>
              </w:rPr>
              <w:t>2</w:t>
            </w:r>
            <w:r>
              <w:rPr>
                <w:rFonts w:hint="eastAsia"/>
                <w:color w:val="auto"/>
              </w:rPr>
              <w:t>）操作人员穿拖鞋或易滑鞋作业，每人次扣</w:t>
            </w:r>
            <w:r>
              <w:rPr>
                <w:color w:val="auto"/>
              </w:rPr>
              <w:t>2</w:t>
            </w:r>
            <w:r>
              <w:rPr>
                <w:rFonts w:hint="eastAsia"/>
                <w:color w:val="auto"/>
              </w:rPr>
              <w:t>分</w:t>
            </w:r>
          </w:p>
          <w:p w14:paraId="0F46CD9A">
            <w:pPr>
              <w:pStyle w:val="44"/>
              <w:jc w:val="left"/>
              <w:rPr>
                <w:color w:val="auto"/>
              </w:rPr>
            </w:pPr>
            <w:r>
              <w:rPr>
                <w:rFonts w:hint="eastAsia"/>
                <w:color w:val="auto"/>
              </w:rPr>
              <w:t>3）吊篮平台周边未按临边作业要求设置防护栏杆、挡脚板，扣</w:t>
            </w:r>
            <w:r>
              <w:rPr>
                <w:color w:val="auto"/>
              </w:rPr>
              <w:t>5</w:t>
            </w:r>
            <w:r>
              <w:rPr>
                <w:rFonts w:hint="eastAsia"/>
                <w:color w:val="auto"/>
              </w:rPr>
              <w:t>～</w:t>
            </w:r>
            <w:r>
              <w:rPr>
                <w:color w:val="auto"/>
              </w:rPr>
              <w:t>10</w:t>
            </w:r>
            <w:r>
              <w:rPr>
                <w:rFonts w:hint="eastAsia"/>
                <w:color w:val="auto"/>
              </w:rPr>
              <w:t>分</w:t>
            </w:r>
          </w:p>
          <w:p w14:paraId="7F5EB73F">
            <w:pPr>
              <w:pStyle w:val="44"/>
              <w:jc w:val="left"/>
              <w:rPr>
                <w:color w:val="auto"/>
              </w:rPr>
            </w:pPr>
            <w:r>
              <w:rPr>
                <w:rFonts w:hint="eastAsia"/>
                <w:color w:val="auto"/>
              </w:rPr>
              <w:t>4）多层或立体交叉作业未设置防护顶板，扣</w:t>
            </w:r>
            <w:r>
              <w:rPr>
                <w:color w:val="auto"/>
              </w:rPr>
              <w:t>5</w:t>
            </w:r>
            <w:r>
              <w:rPr>
                <w:rFonts w:hint="eastAsia"/>
                <w:color w:val="auto"/>
              </w:rPr>
              <w:t>分</w:t>
            </w:r>
          </w:p>
        </w:tc>
        <w:tc>
          <w:tcPr>
            <w:tcW w:w="720" w:type="dxa"/>
            <w:vAlign w:val="center"/>
          </w:tcPr>
          <w:p w14:paraId="4A4E9B76">
            <w:pPr>
              <w:pStyle w:val="44"/>
              <w:rPr>
                <w:color w:val="auto"/>
              </w:rPr>
            </w:pPr>
            <w:r>
              <w:rPr>
                <w:rFonts w:hint="eastAsia"/>
                <w:color w:val="auto"/>
              </w:rPr>
              <w:t>10</w:t>
            </w:r>
          </w:p>
        </w:tc>
        <w:tc>
          <w:tcPr>
            <w:tcW w:w="720" w:type="dxa"/>
            <w:vAlign w:val="center"/>
          </w:tcPr>
          <w:p w14:paraId="38AE6768">
            <w:pPr>
              <w:pStyle w:val="44"/>
              <w:rPr>
                <w:color w:val="auto"/>
              </w:rPr>
            </w:pPr>
          </w:p>
        </w:tc>
        <w:tc>
          <w:tcPr>
            <w:tcW w:w="720" w:type="dxa"/>
            <w:vAlign w:val="center"/>
          </w:tcPr>
          <w:p w14:paraId="5C1E43BC">
            <w:pPr>
              <w:pStyle w:val="44"/>
              <w:rPr>
                <w:color w:val="auto"/>
              </w:rPr>
            </w:pPr>
          </w:p>
        </w:tc>
      </w:tr>
      <w:tr w14:paraId="01E96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FEE6F42">
            <w:pPr>
              <w:pStyle w:val="44"/>
              <w:rPr>
                <w:color w:val="auto"/>
              </w:rPr>
            </w:pPr>
            <w:r>
              <w:rPr>
                <w:rFonts w:hint="eastAsia"/>
                <w:color w:val="auto"/>
              </w:rPr>
              <w:t>3</w:t>
            </w:r>
          </w:p>
        </w:tc>
        <w:tc>
          <w:tcPr>
            <w:tcW w:w="543" w:type="dxa"/>
            <w:vMerge w:val="continue"/>
          </w:tcPr>
          <w:p w14:paraId="68598733">
            <w:pPr>
              <w:pStyle w:val="44"/>
              <w:rPr>
                <w:color w:val="auto"/>
              </w:rPr>
            </w:pPr>
          </w:p>
        </w:tc>
        <w:tc>
          <w:tcPr>
            <w:tcW w:w="898" w:type="dxa"/>
            <w:vAlign w:val="center"/>
          </w:tcPr>
          <w:p w14:paraId="6A265C18">
            <w:pPr>
              <w:pStyle w:val="44"/>
              <w:rPr>
                <w:color w:val="auto"/>
              </w:rPr>
            </w:pPr>
            <w:r>
              <w:rPr>
                <w:rFonts w:hint="eastAsia"/>
                <w:color w:val="auto"/>
              </w:rPr>
              <w:t>使用荷载</w:t>
            </w:r>
          </w:p>
        </w:tc>
        <w:tc>
          <w:tcPr>
            <w:tcW w:w="5580" w:type="dxa"/>
            <w:vAlign w:val="center"/>
          </w:tcPr>
          <w:p w14:paraId="57ABD7A9">
            <w:pPr>
              <w:pStyle w:val="44"/>
              <w:jc w:val="left"/>
              <w:rPr>
                <w:color w:val="auto"/>
              </w:rPr>
            </w:pPr>
            <w:r>
              <w:rPr>
                <w:rFonts w:hint="eastAsia"/>
                <w:color w:val="auto"/>
              </w:rPr>
              <w:t>1)施工荷载超过使用说明书</w:t>
            </w:r>
            <w:r>
              <w:rPr>
                <w:color w:val="auto"/>
              </w:rPr>
              <w:t>或吊篮</w:t>
            </w:r>
            <w:r>
              <w:rPr>
                <w:rFonts w:hint="eastAsia"/>
                <w:color w:val="auto"/>
              </w:rPr>
              <w:t>设计要求，扣</w:t>
            </w:r>
            <w:r>
              <w:rPr>
                <w:color w:val="auto"/>
              </w:rPr>
              <w:t>10</w:t>
            </w:r>
            <w:r>
              <w:rPr>
                <w:rFonts w:hint="eastAsia"/>
                <w:color w:val="auto"/>
              </w:rPr>
              <w:t>分</w:t>
            </w:r>
          </w:p>
          <w:p w14:paraId="0DEAA930">
            <w:pPr>
              <w:pStyle w:val="44"/>
              <w:jc w:val="left"/>
              <w:rPr>
                <w:color w:val="auto"/>
              </w:rPr>
            </w:pPr>
            <w:r>
              <w:rPr>
                <w:rFonts w:hint="eastAsia"/>
                <w:color w:val="auto"/>
              </w:rPr>
              <w:t>2)荷载堆放不均匀，扣</w:t>
            </w:r>
            <w:r>
              <w:rPr>
                <w:color w:val="auto"/>
              </w:rPr>
              <w:t>5</w:t>
            </w:r>
            <w:r>
              <w:rPr>
                <w:rFonts w:hint="eastAsia"/>
                <w:color w:val="auto"/>
              </w:rPr>
              <w:t>分</w:t>
            </w:r>
          </w:p>
          <w:p w14:paraId="274E5D50">
            <w:pPr>
              <w:pStyle w:val="44"/>
              <w:jc w:val="left"/>
              <w:rPr>
                <w:color w:val="auto"/>
              </w:rPr>
            </w:pPr>
            <w:r>
              <w:rPr>
                <w:color w:val="auto"/>
              </w:rPr>
              <w:t>3</w:t>
            </w:r>
            <w:r>
              <w:rPr>
                <w:rFonts w:hint="eastAsia"/>
                <w:color w:val="auto"/>
              </w:rPr>
              <w:t>）未设置重量限载的警示标志，扣</w:t>
            </w:r>
            <w:r>
              <w:rPr>
                <w:color w:val="auto"/>
              </w:rPr>
              <w:t>5</w:t>
            </w:r>
            <w:r>
              <w:rPr>
                <w:rFonts w:hint="eastAsia"/>
                <w:color w:val="auto"/>
              </w:rPr>
              <w:t>分</w:t>
            </w:r>
          </w:p>
        </w:tc>
        <w:tc>
          <w:tcPr>
            <w:tcW w:w="720" w:type="dxa"/>
            <w:vAlign w:val="center"/>
          </w:tcPr>
          <w:p w14:paraId="4D017E79">
            <w:pPr>
              <w:pStyle w:val="44"/>
              <w:rPr>
                <w:color w:val="auto"/>
              </w:rPr>
            </w:pPr>
            <w:r>
              <w:rPr>
                <w:rFonts w:hint="eastAsia"/>
                <w:color w:val="auto"/>
              </w:rPr>
              <w:t>10</w:t>
            </w:r>
          </w:p>
        </w:tc>
        <w:tc>
          <w:tcPr>
            <w:tcW w:w="720" w:type="dxa"/>
            <w:vAlign w:val="center"/>
          </w:tcPr>
          <w:p w14:paraId="0DA98A2C">
            <w:pPr>
              <w:pStyle w:val="44"/>
              <w:rPr>
                <w:color w:val="auto"/>
              </w:rPr>
            </w:pPr>
          </w:p>
        </w:tc>
        <w:tc>
          <w:tcPr>
            <w:tcW w:w="720" w:type="dxa"/>
            <w:vAlign w:val="center"/>
          </w:tcPr>
          <w:p w14:paraId="4049D5EB">
            <w:pPr>
              <w:pStyle w:val="44"/>
              <w:rPr>
                <w:color w:val="auto"/>
              </w:rPr>
            </w:pPr>
          </w:p>
        </w:tc>
      </w:tr>
      <w:tr w14:paraId="41357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7732504">
            <w:pPr>
              <w:pStyle w:val="44"/>
              <w:rPr>
                <w:color w:val="auto"/>
              </w:rPr>
            </w:pPr>
          </w:p>
        </w:tc>
        <w:tc>
          <w:tcPr>
            <w:tcW w:w="543" w:type="dxa"/>
            <w:vMerge w:val="continue"/>
          </w:tcPr>
          <w:p w14:paraId="4113C573">
            <w:pPr>
              <w:pStyle w:val="44"/>
              <w:rPr>
                <w:color w:val="auto"/>
              </w:rPr>
            </w:pPr>
          </w:p>
        </w:tc>
        <w:tc>
          <w:tcPr>
            <w:tcW w:w="6478" w:type="dxa"/>
            <w:gridSpan w:val="2"/>
            <w:vAlign w:val="center"/>
          </w:tcPr>
          <w:p w14:paraId="18A90157">
            <w:pPr>
              <w:pStyle w:val="44"/>
              <w:rPr>
                <w:b/>
                <w:bCs w:val="0"/>
                <w:color w:val="auto"/>
              </w:rPr>
            </w:pPr>
            <w:r>
              <w:rPr>
                <w:rFonts w:hint="eastAsia"/>
                <w:b/>
                <w:bCs w:val="0"/>
                <w:color w:val="auto"/>
              </w:rPr>
              <w:t xml:space="preserve">小 </w:t>
            </w:r>
            <w:r>
              <w:rPr>
                <w:b/>
                <w:bCs w:val="0"/>
                <w:color w:val="auto"/>
              </w:rPr>
              <w:t xml:space="preserve"> </w:t>
            </w:r>
            <w:r>
              <w:rPr>
                <w:rFonts w:hint="eastAsia"/>
                <w:b/>
                <w:bCs w:val="0"/>
                <w:color w:val="auto"/>
              </w:rPr>
              <w:t>计</w:t>
            </w:r>
          </w:p>
        </w:tc>
        <w:tc>
          <w:tcPr>
            <w:tcW w:w="720" w:type="dxa"/>
            <w:vAlign w:val="center"/>
          </w:tcPr>
          <w:p w14:paraId="3CA487F6">
            <w:pPr>
              <w:pStyle w:val="44"/>
              <w:rPr>
                <w:color w:val="auto"/>
              </w:rPr>
            </w:pPr>
            <w:r>
              <w:rPr>
                <w:rFonts w:hint="eastAsia"/>
                <w:color w:val="auto"/>
              </w:rPr>
              <w:t>30</w:t>
            </w:r>
          </w:p>
        </w:tc>
        <w:tc>
          <w:tcPr>
            <w:tcW w:w="720" w:type="dxa"/>
            <w:vAlign w:val="center"/>
          </w:tcPr>
          <w:p w14:paraId="25B9E4E4">
            <w:pPr>
              <w:pStyle w:val="44"/>
              <w:rPr>
                <w:color w:val="auto"/>
              </w:rPr>
            </w:pPr>
          </w:p>
        </w:tc>
        <w:tc>
          <w:tcPr>
            <w:tcW w:w="720" w:type="dxa"/>
            <w:vAlign w:val="center"/>
          </w:tcPr>
          <w:p w14:paraId="0A35C48A">
            <w:pPr>
              <w:pStyle w:val="44"/>
              <w:rPr>
                <w:color w:val="auto"/>
              </w:rPr>
            </w:pPr>
          </w:p>
        </w:tc>
      </w:tr>
      <w:tr w14:paraId="6C7EC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560" w:type="dxa"/>
            <w:gridSpan w:val="4"/>
            <w:vAlign w:val="center"/>
          </w:tcPr>
          <w:p w14:paraId="446F007D">
            <w:pPr>
              <w:pStyle w:val="44"/>
              <w:rPr>
                <w:b/>
                <w:bCs w:val="0"/>
                <w:color w:val="auto"/>
              </w:rPr>
            </w:pPr>
            <w:r>
              <w:rPr>
                <w:rFonts w:hint="eastAsia"/>
                <w:b/>
                <w:bCs w:val="0"/>
                <w:color w:val="auto"/>
              </w:rPr>
              <w:t>检查项目合计</w:t>
            </w:r>
          </w:p>
        </w:tc>
        <w:tc>
          <w:tcPr>
            <w:tcW w:w="720" w:type="dxa"/>
            <w:vAlign w:val="center"/>
          </w:tcPr>
          <w:p w14:paraId="260D9A72">
            <w:pPr>
              <w:pStyle w:val="44"/>
              <w:rPr>
                <w:color w:val="auto"/>
              </w:rPr>
            </w:pPr>
            <w:r>
              <w:rPr>
                <w:rFonts w:hint="eastAsia"/>
                <w:color w:val="auto"/>
              </w:rPr>
              <w:t>100</w:t>
            </w:r>
          </w:p>
        </w:tc>
        <w:tc>
          <w:tcPr>
            <w:tcW w:w="720" w:type="dxa"/>
            <w:vAlign w:val="center"/>
          </w:tcPr>
          <w:p w14:paraId="410ADEAE">
            <w:pPr>
              <w:pStyle w:val="44"/>
              <w:rPr>
                <w:color w:val="auto"/>
              </w:rPr>
            </w:pPr>
          </w:p>
        </w:tc>
        <w:tc>
          <w:tcPr>
            <w:tcW w:w="720" w:type="dxa"/>
            <w:vAlign w:val="center"/>
          </w:tcPr>
          <w:p w14:paraId="2EE5F4DD">
            <w:pPr>
              <w:pStyle w:val="44"/>
              <w:rPr>
                <w:color w:val="auto"/>
              </w:rPr>
            </w:pPr>
          </w:p>
        </w:tc>
      </w:tr>
    </w:tbl>
    <w:p w14:paraId="2E014C11"/>
    <w:p w14:paraId="2DFDB707">
      <w:pPr>
        <w:pStyle w:val="5"/>
      </w:pPr>
      <w:r>
        <w:rPr>
          <w:rFonts w:hint="eastAsia"/>
        </w:rPr>
        <w:br w:type="page"/>
      </w:r>
      <w:bookmarkStart w:id="49" w:name="_Toc5516"/>
      <w:bookmarkStart w:id="50" w:name="_Toc21150"/>
      <w:bookmarkStart w:id="51" w:name="_Toc171"/>
      <w:r>
        <w:rPr>
          <w:rFonts w:hint="eastAsia"/>
        </w:rPr>
        <w:t>表B.14  栈桥与</w:t>
      </w:r>
      <w:r>
        <w:t>作业平台</w:t>
      </w:r>
      <w:r>
        <w:rPr>
          <w:rFonts w:hint="eastAsia"/>
        </w:rPr>
        <w:t>检查</w:t>
      </w:r>
      <w:r>
        <w:t>评分表</w:t>
      </w:r>
      <w:bookmarkEnd w:id="49"/>
      <w:bookmarkEnd w:id="50"/>
      <w:bookmarkEnd w:id="51"/>
    </w:p>
    <w:tbl>
      <w:tblPr>
        <w:tblStyle w:val="19"/>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737A7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2" w:hRule="atLeast"/>
          <w:jc w:val="center"/>
        </w:trPr>
        <w:tc>
          <w:tcPr>
            <w:tcW w:w="539" w:type="dxa"/>
            <w:vAlign w:val="center"/>
          </w:tcPr>
          <w:p w14:paraId="7C9F2328">
            <w:pPr>
              <w:pStyle w:val="44"/>
              <w:rPr>
                <w:color w:val="auto"/>
              </w:rPr>
            </w:pPr>
            <w:r>
              <w:rPr>
                <w:rFonts w:hint="eastAsia"/>
                <w:color w:val="auto"/>
              </w:rPr>
              <w:t>序号</w:t>
            </w:r>
          </w:p>
        </w:tc>
        <w:tc>
          <w:tcPr>
            <w:tcW w:w="1441" w:type="dxa"/>
            <w:gridSpan w:val="2"/>
            <w:vAlign w:val="center"/>
          </w:tcPr>
          <w:p w14:paraId="6154AF0C">
            <w:pPr>
              <w:pStyle w:val="44"/>
              <w:rPr>
                <w:color w:val="auto"/>
              </w:rPr>
            </w:pPr>
            <w:r>
              <w:rPr>
                <w:rFonts w:hint="eastAsia"/>
                <w:color w:val="auto"/>
              </w:rPr>
              <w:t>检查项目</w:t>
            </w:r>
          </w:p>
        </w:tc>
        <w:tc>
          <w:tcPr>
            <w:tcW w:w="5580" w:type="dxa"/>
            <w:vAlign w:val="center"/>
          </w:tcPr>
          <w:p w14:paraId="6A1C2F95">
            <w:pPr>
              <w:pStyle w:val="44"/>
              <w:rPr>
                <w:color w:val="auto"/>
              </w:rPr>
            </w:pPr>
            <w:r>
              <w:rPr>
                <w:rFonts w:hint="eastAsia"/>
                <w:color w:val="auto"/>
              </w:rPr>
              <w:t>扣</w:t>
            </w:r>
            <w:r>
              <w:rPr>
                <w:color w:val="auto"/>
              </w:rPr>
              <w:t xml:space="preserve"> </w:t>
            </w:r>
            <w:r>
              <w:rPr>
                <w:rFonts w:hint="eastAsia"/>
                <w:color w:val="auto"/>
              </w:rPr>
              <w:t>分</w:t>
            </w:r>
            <w:r>
              <w:rPr>
                <w:color w:val="auto"/>
              </w:rPr>
              <w:t xml:space="preserve"> </w:t>
            </w:r>
            <w:r>
              <w:rPr>
                <w:rFonts w:hint="eastAsia"/>
                <w:color w:val="auto"/>
              </w:rPr>
              <w:t>标</w:t>
            </w:r>
            <w:r>
              <w:rPr>
                <w:color w:val="auto"/>
              </w:rPr>
              <w:t xml:space="preserve"> </w:t>
            </w:r>
            <w:r>
              <w:rPr>
                <w:rFonts w:hint="eastAsia"/>
                <w:color w:val="auto"/>
              </w:rPr>
              <w:t>准</w:t>
            </w:r>
          </w:p>
        </w:tc>
        <w:tc>
          <w:tcPr>
            <w:tcW w:w="720" w:type="dxa"/>
            <w:vAlign w:val="center"/>
          </w:tcPr>
          <w:p w14:paraId="5BC1F954">
            <w:pPr>
              <w:pStyle w:val="44"/>
              <w:rPr>
                <w:color w:val="auto"/>
              </w:rPr>
            </w:pPr>
            <w:r>
              <w:rPr>
                <w:rFonts w:hint="eastAsia"/>
                <w:color w:val="auto"/>
              </w:rPr>
              <w:t>应得</w:t>
            </w:r>
          </w:p>
          <w:p w14:paraId="140D58B7">
            <w:pPr>
              <w:pStyle w:val="44"/>
              <w:rPr>
                <w:color w:val="auto"/>
              </w:rPr>
            </w:pPr>
            <w:r>
              <w:rPr>
                <w:rFonts w:hint="eastAsia"/>
                <w:color w:val="auto"/>
              </w:rPr>
              <w:t>分数</w:t>
            </w:r>
          </w:p>
        </w:tc>
        <w:tc>
          <w:tcPr>
            <w:tcW w:w="720" w:type="dxa"/>
            <w:vAlign w:val="center"/>
          </w:tcPr>
          <w:p w14:paraId="6EB7AD75">
            <w:pPr>
              <w:pStyle w:val="44"/>
              <w:rPr>
                <w:color w:val="auto"/>
              </w:rPr>
            </w:pPr>
            <w:r>
              <w:rPr>
                <w:rFonts w:hint="eastAsia"/>
                <w:color w:val="auto"/>
              </w:rPr>
              <w:t>扣减</w:t>
            </w:r>
          </w:p>
          <w:p w14:paraId="66416E01">
            <w:pPr>
              <w:pStyle w:val="44"/>
              <w:rPr>
                <w:color w:val="auto"/>
              </w:rPr>
            </w:pPr>
            <w:r>
              <w:rPr>
                <w:rFonts w:hint="eastAsia"/>
                <w:color w:val="auto"/>
              </w:rPr>
              <w:t>分数</w:t>
            </w:r>
          </w:p>
        </w:tc>
        <w:tc>
          <w:tcPr>
            <w:tcW w:w="720" w:type="dxa"/>
            <w:vAlign w:val="center"/>
          </w:tcPr>
          <w:p w14:paraId="207504D4">
            <w:pPr>
              <w:pStyle w:val="44"/>
              <w:rPr>
                <w:color w:val="auto"/>
              </w:rPr>
            </w:pPr>
            <w:r>
              <w:rPr>
                <w:rFonts w:hint="eastAsia"/>
                <w:color w:val="auto"/>
              </w:rPr>
              <w:t>实得</w:t>
            </w:r>
          </w:p>
          <w:p w14:paraId="61DC62C0">
            <w:pPr>
              <w:pStyle w:val="44"/>
              <w:rPr>
                <w:color w:val="auto"/>
              </w:rPr>
            </w:pPr>
            <w:r>
              <w:rPr>
                <w:rFonts w:hint="eastAsia"/>
                <w:color w:val="auto"/>
              </w:rPr>
              <w:t>分数</w:t>
            </w:r>
          </w:p>
        </w:tc>
      </w:tr>
      <w:tr w14:paraId="4EBBC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41C7E2E4">
            <w:pPr>
              <w:pStyle w:val="44"/>
              <w:rPr>
                <w:color w:val="auto"/>
              </w:rPr>
            </w:pPr>
            <w:r>
              <w:rPr>
                <w:color w:val="auto"/>
              </w:rPr>
              <w:t>1</w:t>
            </w:r>
          </w:p>
        </w:tc>
        <w:tc>
          <w:tcPr>
            <w:tcW w:w="543" w:type="dxa"/>
            <w:vMerge w:val="restart"/>
            <w:vAlign w:val="center"/>
          </w:tcPr>
          <w:p w14:paraId="008F81A4">
            <w:pPr>
              <w:pStyle w:val="44"/>
              <w:rPr>
                <w:color w:val="auto"/>
              </w:rPr>
            </w:pPr>
            <w:r>
              <w:rPr>
                <w:rFonts w:hint="eastAsia"/>
                <w:color w:val="auto"/>
              </w:rPr>
              <w:t>保</w:t>
            </w:r>
          </w:p>
          <w:p w14:paraId="40AAD50B">
            <w:pPr>
              <w:pStyle w:val="44"/>
              <w:rPr>
                <w:color w:val="auto"/>
              </w:rPr>
            </w:pPr>
            <w:r>
              <w:rPr>
                <w:rFonts w:hint="eastAsia"/>
                <w:color w:val="auto"/>
              </w:rPr>
              <w:t>证</w:t>
            </w:r>
          </w:p>
          <w:p w14:paraId="1022D806">
            <w:pPr>
              <w:pStyle w:val="44"/>
              <w:rPr>
                <w:color w:val="auto"/>
              </w:rPr>
            </w:pPr>
            <w:r>
              <w:rPr>
                <w:rFonts w:hint="eastAsia"/>
                <w:color w:val="auto"/>
              </w:rPr>
              <w:t>项</w:t>
            </w:r>
          </w:p>
          <w:p w14:paraId="6DDB4477">
            <w:pPr>
              <w:pStyle w:val="44"/>
              <w:rPr>
                <w:color w:val="auto"/>
              </w:rPr>
            </w:pPr>
            <w:r>
              <w:rPr>
                <w:rFonts w:hint="eastAsia"/>
                <w:color w:val="auto"/>
              </w:rPr>
              <w:t>目</w:t>
            </w:r>
          </w:p>
        </w:tc>
        <w:tc>
          <w:tcPr>
            <w:tcW w:w="898" w:type="dxa"/>
            <w:vAlign w:val="center"/>
          </w:tcPr>
          <w:p w14:paraId="6D94D34A">
            <w:pPr>
              <w:pStyle w:val="44"/>
              <w:rPr>
                <w:color w:val="auto"/>
              </w:rPr>
            </w:pPr>
            <w:r>
              <w:rPr>
                <w:rFonts w:hint="eastAsia"/>
                <w:color w:val="auto"/>
              </w:rPr>
              <w:t>方案与交底</w:t>
            </w:r>
          </w:p>
        </w:tc>
        <w:tc>
          <w:tcPr>
            <w:tcW w:w="5580" w:type="dxa"/>
            <w:vAlign w:val="center"/>
          </w:tcPr>
          <w:p w14:paraId="09A0C2CE">
            <w:pPr>
              <w:pStyle w:val="44"/>
              <w:jc w:val="left"/>
              <w:rPr>
                <w:color w:val="auto"/>
              </w:rPr>
            </w:pPr>
            <w:r>
              <w:rPr>
                <w:color w:val="auto"/>
              </w:rPr>
              <w:t>1</w:t>
            </w:r>
            <w:r>
              <w:rPr>
                <w:rFonts w:hint="eastAsia"/>
                <w:color w:val="auto"/>
              </w:rPr>
              <w:t>）未按规定编制专项施工方案，扣</w:t>
            </w:r>
            <w:r>
              <w:rPr>
                <w:color w:val="auto"/>
              </w:rPr>
              <w:t>10</w:t>
            </w:r>
            <w:r>
              <w:rPr>
                <w:rFonts w:hint="eastAsia"/>
                <w:color w:val="auto"/>
              </w:rPr>
              <w:t>分</w:t>
            </w:r>
          </w:p>
          <w:p w14:paraId="7CA89A02">
            <w:pPr>
              <w:pStyle w:val="44"/>
              <w:jc w:val="left"/>
              <w:rPr>
                <w:color w:val="auto"/>
              </w:rPr>
            </w:pPr>
            <w:r>
              <w:rPr>
                <w:color w:val="auto"/>
              </w:rPr>
              <w:t>2</w:t>
            </w:r>
            <w:r>
              <w:rPr>
                <w:rFonts w:hint="eastAsia"/>
                <w:color w:val="auto"/>
              </w:rPr>
              <w:t>）未编制设计文件，扣</w:t>
            </w:r>
            <w:r>
              <w:rPr>
                <w:color w:val="auto"/>
              </w:rPr>
              <w:t>10</w:t>
            </w:r>
            <w:r>
              <w:rPr>
                <w:rFonts w:hint="eastAsia"/>
                <w:color w:val="auto"/>
              </w:rPr>
              <w:t>分</w:t>
            </w:r>
          </w:p>
          <w:p w14:paraId="5F05EE34">
            <w:pPr>
              <w:pStyle w:val="44"/>
              <w:jc w:val="left"/>
              <w:rPr>
                <w:color w:val="auto"/>
              </w:rPr>
            </w:pPr>
            <w:r>
              <w:rPr>
                <w:color w:val="auto"/>
              </w:rPr>
              <w:t>3</w:t>
            </w:r>
            <w:r>
              <w:rPr>
                <w:rFonts w:hint="eastAsia"/>
                <w:color w:val="auto"/>
              </w:rPr>
              <w:t>）未对栈桥和平台结构、构件、地基基础进行设计计算，扣</w:t>
            </w:r>
            <w:r>
              <w:rPr>
                <w:color w:val="auto"/>
              </w:rPr>
              <w:t>10</w:t>
            </w:r>
            <w:r>
              <w:rPr>
                <w:rFonts w:hint="eastAsia"/>
                <w:color w:val="auto"/>
              </w:rPr>
              <w:t>分</w:t>
            </w:r>
          </w:p>
          <w:p w14:paraId="5E4C8F48">
            <w:pPr>
              <w:pStyle w:val="44"/>
              <w:jc w:val="left"/>
              <w:rPr>
                <w:color w:val="auto"/>
              </w:rPr>
            </w:pPr>
            <w:r>
              <w:rPr>
                <w:color w:val="auto"/>
              </w:rPr>
              <w:t>4</w:t>
            </w:r>
            <w:r>
              <w:rPr>
                <w:rFonts w:hint="eastAsia"/>
                <w:color w:val="auto"/>
              </w:rPr>
              <w:t>）设计文件中图纸或计算书不齐全，扣</w:t>
            </w:r>
            <w:r>
              <w:rPr>
                <w:color w:val="auto"/>
              </w:rPr>
              <w:t>2-10</w:t>
            </w:r>
            <w:r>
              <w:rPr>
                <w:rFonts w:hint="eastAsia"/>
                <w:color w:val="auto"/>
              </w:rPr>
              <w:t>分</w:t>
            </w:r>
          </w:p>
          <w:p w14:paraId="519CA45D">
            <w:pPr>
              <w:pStyle w:val="44"/>
              <w:jc w:val="left"/>
              <w:rPr>
                <w:color w:val="auto"/>
              </w:rPr>
            </w:pPr>
            <w:r>
              <w:rPr>
                <w:color w:val="auto"/>
              </w:rPr>
              <w:t>5</w:t>
            </w:r>
            <w:r>
              <w:rPr>
                <w:rFonts w:hint="eastAsia"/>
                <w:color w:val="auto"/>
              </w:rPr>
              <w:t>）专项施工方案未进行审核、审批，扣</w:t>
            </w:r>
            <w:r>
              <w:rPr>
                <w:color w:val="auto"/>
              </w:rPr>
              <w:t>10</w:t>
            </w:r>
            <w:r>
              <w:rPr>
                <w:rFonts w:hint="eastAsia"/>
                <w:color w:val="auto"/>
              </w:rPr>
              <w:t>分</w:t>
            </w:r>
          </w:p>
          <w:p w14:paraId="0ABF5AD5">
            <w:pPr>
              <w:pStyle w:val="44"/>
              <w:jc w:val="left"/>
              <w:rPr>
                <w:color w:val="auto"/>
              </w:rPr>
            </w:pPr>
            <w:r>
              <w:rPr>
                <w:color w:val="auto"/>
              </w:rPr>
              <w:t>6</w:t>
            </w:r>
            <w:r>
              <w:rPr>
                <w:rFonts w:hint="eastAsia"/>
                <w:color w:val="auto"/>
              </w:rPr>
              <w:t>）当专项施工方案需要进行论证时，未按规定组织专家论证，扣</w:t>
            </w:r>
            <w:r>
              <w:rPr>
                <w:color w:val="auto"/>
              </w:rPr>
              <w:t>10</w:t>
            </w:r>
            <w:r>
              <w:rPr>
                <w:rFonts w:hint="eastAsia"/>
                <w:color w:val="auto"/>
              </w:rPr>
              <w:t>分</w:t>
            </w:r>
          </w:p>
          <w:p w14:paraId="0961E296">
            <w:pPr>
              <w:pStyle w:val="44"/>
              <w:jc w:val="left"/>
              <w:rPr>
                <w:color w:val="auto"/>
              </w:rPr>
            </w:pPr>
            <w:r>
              <w:rPr>
                <w:color w:val="auto"/>
              </w:rPr>
              <w:t>7</w:t>
            </w:r>
            <w:r>
              <w:rPr>
                <w:rFonts w:hint="eastAsia"/>
                <w:color w:val="auto"/>
              </w:rPr>
              <w:t>）专项施工方案实施前，未进行安全技术交底，扣</w:t>
            </w:r>
            <w:r>
              <w:rPr>
                <w:color w:val="auto"/>
              </w:rPr>
              <w:t>10</w:t>
            </w:r>
            <w:r>
              <w:rPr>
                <w:rFonts w:hint="eastAsia"/>
                <w:color w:val="auto"/>
              </w:rPr>
              <w:t>分；交底无针对性或无文字记录，扣</w:t>
            </w:r>
            <w:r>
              <w:rPr>
                <w:color w:val="auto"/>
              </w:rPr>
              <w:t>2-5</w:t>
            </w:r>
            <w:r>
              <w:rPr>
                <w:rFonts w:hint="eastAsia"/>
                <w:color w:val="auto"/>
              </w:rPr>
              <w:t>分</w:t>
            </w:r>
          </w:p>
        </w:tc>
        <w:tc>
          <w:tcPr>
            <w:tcW w:w="720" w:type="dxa"/>
            <w:vAlign w:val="center"/>
          </w:tcPr>
          <w:p w14:paraId="1061EEC7">
            <w:pPr>
              <w:pStyle w:val="44"/>
              <w:rPr>
                <w:color w:val="auto"/>
              </w:rPr>
            </w:pPr>
            <w:r>
              <w:rPr>
                <w:color w:val="auto"/>
              </w:rPr>
              <w:t>10</w:t>
            </w:r>
          </w:p>
        </w:tc>
        <w:tc>
          <w:tcPr>
            <w:tcW w:w="720" w:type="dxa"/>
            <w:vAlign w:val="center"/>
          </w:tcPr>
          <w:p w14:paraId="59AEED2D">
            <w:pPr>
              <w:pStyle w:val="44"/>
              <w:rPr>
                <w:color w:val="auto"/>
              </w:rPr>
            </w:pPr>
          </w:p>
        </w:tc>
        <w:tc>
          <w:tcPr>
            <w:tcW w:w="720" w:type="dxa"/>
            <w:vAlign w:val="center"/>
          </w:tcPr>
          <w:p w14:paraId="361E07FD">
            <w:pPr>
              <w:pStyle w:val="44"/>
              <w:rPr>
                <w:color w:val="auto"/>
              </w:rPr>
            </w:pPr>
          </w:p>
        </w:tc>
      </w:tr>
      <w:tr w14:paraId="21868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0786D538">
            <w:pPr>
              <w:pStyle w:val="44"/>
              <w:rPr>
                <w:color w:val="auto"/>
              </w:rPr>
            </w:pPr>
            <w:r>
              <w:rPr>
                <w:color w:val="auto"/>
              </w:rPr>
              <w:t>2</w:t>
            </w:r>
          </w:p>
        </w:tc>
        <w:tc>
          <w:tcPr>
            <w:tcW w:w="543" w:type="dxa"/>
            <w:vMerge w:val="continue"/>
          </w:tcPr>
          <w:p w14:paraId="77B9B220">
            <w:pPr>
              <w:pStyle w:val="44"/>
              <w:rPr>
                <w:color w:val="auto"/>
              </w:rPr>
            </w:pPr>
          </w:p>
        </w:tc>
        <w:tc>
          <w:tcPr>
            <w:tcW w:w="898" w:type="dxa"/>
            <w:vAlign w:val="center"/>
          </w:tcPr>
          <w:p w14:paraId="3FC5DA69">
            <w:pPr>
              <w:pStyle w:val="44"/>
              <w:rPr>
                <w:color w:val="auto"/>
              </w:rPr>
            </w:pPr>
            <w:r>
              <w:rPr>
                <w:rFonts w:hint="eastAsia"/>
                <w:color w:val="auto"/>
              </w:rPr>
              <w:t>构配件材质</w:t>
            </w:r>
          </w:p>
        </w:tc>
        <w:tc>
          <w:tcPr>
            <w:tcW w:w="5580" w:type="dxa"/>
            <w:vAlign w:val="center"/>
          </w:tcPr>
          <w:p w14:paraId="2D50D85B">
            <w:pPr>
              <w:pStyle w:val="44"/>
              <w:jc w:val="left"/>
              <w:rPr>
                <w:color w:val="auto"/>
              </w:rPr>
            </w:pPr>
            <w:r>
              <w:rPr>
                <w:color w:val="auto"/>
              </w:rPr>
              <w:t>1</w:t>
            </w:r>
            <w:r>
              <w:rPr>
                <w:rFonts w:hint="eastAsia"/>
                <w:color w:val="auto"/>
              </w:rPr>
              <w:t>）构配件无质量合格证、产品性能检验报告，扣</w:t>
            </w:r>
            <w:r>
              <w:rPr>
                <w:color w:val="auto"/>
              </w:rPr>
              <w:t>10</w:t>
            </w:r>
            <w:r>
              <w:rPr>
                <w:rFonts w:hint="eastAsia"/>
                <w:color w:val="auto"/>
              </w:rPr>
              <w:t>分</w:t>
            </w:r>
          </w:p>
          <w:p w14:paraId="36FFBF3B">
            <w:pPr>
              <w:pStyle w:val="44"/>
              <w:jc w:val="left"/>
              <w:rPr>
                <w:color w:val="auto"/>
              </w:rPr>
            </w:pPr>
            <w:r>
              <w:rPr>
                <w:color w:val="auto"/>
              </w:rPr>
              <w:t>2</w:t>
            </w:r>
            <w:r>
              <w:rPr>
                <w:rFonts w:hint="eastAsia"/>
                <w:color w:val="auto"/>
              </w:rPr>
              <w:t>）构配件品种、规格、型号、材质不符合专项施工方案和有关标准要求，扣</w:t>
            </w:r>
            <w:r>
              <w:rPr>
                <w:color w:val="auto"/>
              </w:rPr>
              <w:t>5-10</w:t>
            </w:r>
            <w:r>
              <w:rPr>
                <w:rFonts w:hint="eastAsia"/>
                <w:color w:val="auto"/>
              </w:rPr>
              <w:t>分</w:t>
            </w:r>
          </w:p>
          <w:p w14:paraId="2A21C7DF">
            <w:pPr>
              <w:pStyle w:val="44"/>
              <w:jc w:val="left"/>
              <w:rPr>
                <w:color w:val="auto"/>
              </w:rPr>
            </w:pPr>
            <w:r>
              <w:rPr>
                <w:color w:val="auto"/>
              </w:rPr>
              <w:t>3</w:t>
            </w:r>
            <w:r>
              <w:rPr>
                <w:rFonts w:hint="eastAsia"/>
                <w:color w:val="auto"/>
              </w:rPr>
              <w:t>）所采用的常备式定型钢构件的质量不符合相关使用手册的要求，扣</w:t>
            </w:r>
            <w:r>
              <w:rPr>
                <w:color w:val="auto"/>
              </w:rPr>
              <w:t>10</w:t>
            </w:r>
            <w:r>
              <w:rPr>
                <w:rFonts w:hint="eastAsia"/>
                <w:color w:val="auto"/>
              </w:rPr>
              <w:t>分</w:t>
            </w:r>
          </w:p>
          <w:p w14:paraId="198AFCD1">
            <w:pPr>
              <w:pStyle w:val="44"/>
              <w:jc w:val="left"/>
              <w:rPr>
                <w:color w:val="auto"/>
              </w:rPr>
            </w:pPr>
            <w:r>
              <w:rPr>
                <w:color w:val="auto"/>
              </w:rPr>
              <w:t>4</w:t>
            </w:r>
            <w:r>
              <w:rPr>
                <w:rFonts w:hint="eastAsia"/>
                <w:color w:val="auto"/>
              </w:rPr>
              <w:t>）常备式定型钢构件无使用说明书等技术文件，扣</w:t>
            </w:r>
            <w:r>
              <w:rPr>
                <w:color w:val="auto"/>
              </w:rPr>
              <w:t>5</w:t>
            </w:r>
            <w:r>
              <w:rPr>
                <w:rFonts w:hint="eastAsia"/>
                <w:color w:val="auto"/>
              </w:rPr>
              <w:t>分</w:t>
            </w:r>
          </w:p>
          <w:p w14:paraId="0B416711">
            <w:pPr>
              <w:pStyle w:val="44"/>
              <w:jc w:val="left"/>
              <w:rPr>
                <w:color w:val="auto"/>
              </w:rPr>
            </w:pPr>
            <w:r>
              <w:rPr>
                <w:color w:val="auto"/>
              </w:rPr>
              <w:t>5</w:t>
            </w:r>
            <w:r>
              <w:rPr>
                <w:rFonts w:hint="eastAsia"/>
                <w:color w:val="auto"/>
              </w:rPr>
              <w:t>）主体结构构件、连接件有显著的变形、超标的挠度或严重锈蚀剥皮，扣</w:t>
            </w:r>
            <w:r>
              <w:rPr>
                <w:color w:val="auto"/>
              </w:rPr>
              <w:t>10</w:t>
            </w:r>
            <w:r>
              <w:rPr>
                <w:rFonts w:hint="eastAsia"/>
                <w:color w:val="auto"/>
              </w:rPr>
              <w:t>分</w:t>
            </w:r>
          </w:p>
        </w:tc>
        <w:tc>
          <w:tcPr>
            <w:tcW w:w="720" w:type="dxa"/>
            <w:vAlign w:val="center"/>
          </w:tcPr>
          <w:p w14:paraId="57D89772">
            <w:pPr>
              <w:pStyle w:val="44"/>
              <w:rPr>
                <w:color w:val="auto"/>
              </w:rPr>
            </w:pPr>
            <w:r>
              <w:rPr>
                <w:color w:val="auto"/>
              </w:rPr>
              <w:t>10</w:t>
            </w:r>
          </w:p>
        </w:tc>
        <w:tc>
          <w:tcPr>
            <w:tcW w:w="720" w:type="dxa"/>
            <w:vAlign w:val="center"/>
          </w:tcPr>
          <w:p w14:paraId="40F46F6C">
            <w:pPr>
              <w:pStyle w:val="44"/>
              <w:rPr>
                <w:color w:val="auto"/>
              </w:rPr>
            </w:pPr>
          </w:p>
        </w:tc>
        <w:tc>
          <w:tcPr>
            <w:tcW w:w="720" w:type="dxa"/>
            <w:vAlign w:val="center"/>
          </w:tcPr>
          <w:p w14:paraId="6693D307">
            <w:pPr>
              <w:pStyle w:val="44"/>
              <w:rPr>
                <w:color w:val="auto"/>
              </w:rPr>
            </w:pPr>
          </w:p>
        </w:tc>
      </w:tr>
      <w:tr w14:paraId="11B56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521F139">
            <w:pPr>
              <w:pStyle w:val="44"/>
              <w:rPr>
                <w:color w:val="auto"/>
              </w:rPr>
            </w:pPr>
            <w:r>
              <w:rPr>
                <w:color w:val="auto"/>
              </w:rPr>
              <w:t>3</w:t>
            </w:r>
          </w:p>
        </w:tc>
        <w:tc>
          <w:tcPr>
            <w:tcW w:w="543" w:type="dxa"/>
            <w:vMerge w:val="continue"/>
          </w:tcPr>
          <w:p w14:paraId="4CEDC8E9">
            <w:pPr>
              <w:pStyle w:val="44"/>
              <w:rPr>
                <w:color w:val="auto"/>
              </w:rPr>
            </w:pPr>
          </w:p>
        </w:tc>
        <w:tc>
          <w:tcPr>
            <w:tcW w:w="898" w:type="dxa"/>
            <w:vAlign w:val="center"/>
          </w:tcPr>
          <w:p w14:paraId="43C534CC">
            <w:pPr>
              <w:pStyle w:val="44"/>
              <w:rPr>
                <w:color w:val="auto"/>
              </w:rPr>
            </w:pPr>
            <w:r>
              <w:rPr>
                <w:rFonts w:hint="eastAsia"/>
                <w:color w:val="auto"/>
              </w:rPr>
              <w:t>立柱</w:t>
            </w:r>
          </w:p>
        </w:tc>
        <w:tc>
          <w:tcPr>
            <w:tcW w:w="5580" w:type="dxa"/>
            <w:vAlign w:val="center"/>
          </w:tcPr>
          <w:p w14:paraId="7C97E347">
            <w:pPr>
              <w:pStyle w:val="44"/>
              <w:jc w:val="left"/>
              <w:rPr>
                <w:color w:val="auto"/>
              </w:rPr>
            </w:pPr>
            <w:r>
              <w:rPr>
                <w:color w:val="auto"/>
              </w:rPr>
              <w:t>1</w:t>
            </w:r>
            <w:r>
              <w:rPr>
                <w:rFonts w:hint="eastAsia"/>
                <w:color w:val="auto"/>
              </w:rPr>
              <w:t>）采用钢管桩立柱时，钢管桩的入土（岩）深度不符合设计要求，扣</w:t>
            </w:r>
            <w:r>
              <w:rPr>
                <w:color w:val="auto"/>
              </w:rPr>
              <w:t>10</w:t>
            </w:r>
            <w:r>
              <w:rPr>
                <w:rFonts w:hint="eastAsia"/>
                <w:color w:val="auto"/>
              </w:rPr>
              <w:t>分</w:t>
            </w:r>
          </w:p>
          <w:p w14:paraId="7BF7CA44">
            <w:pPr>
              <w:pStyle w:val="44"/>
              <w:jc w:val="left"/>
              <w:rPr>
                <w:color w:val="auto"/>
              </w:rPr>
            </w:pPr>
            <w:r>
              <w:rPr>
                <w:color w:val="auto"/>
              </w:rPr>
              <w:t>2</w:t>
            </w:r>
            <w:r>
              <w:rPr>
                <w:rFonts w:hint="eastAsia"/>
                <w:color w:val="auto"/>
              </w:rPr>
              <w:t>）立柱设置位置不符合专项施工方案的要求，扣</w:t>
            </w:r>
            <w:r>
              <w:rPr>
                <w:color w:val="auto"/>
              </w:rPr>
              <w:t>2-5</w:t>
            </w:r>
            <w:r>
              <w:rPr>
                <w:rFonts w:hint="eastAsia"/>
                <w:color w:val="auto"/>
              </w:rPr>
              <w:t>分</w:t>
            </w:r>
          </w:p>
          <w:p w14:paraId="1E28600B">
            <w:pPr>
              <w:pStyle w:val="44"/>
              <w:jc w:val="left"/>
              <w:rPr>
                <w:color w:val="auto"/>
              </w:rPr>
            </w:pPr>
            <w:r>
              <w:rPr>
                <w:color w:val="auto"/>
              </w:rPr>
              <w:t>3</w:t>
            </w:r>
            <w:r>
              <w:rPr>
                <w:rFonts w:hint="eastAsia"/>
                <w:color w:val="auto"/>
              </w:rPr>
              <w:t>）立柱柱身垂直度偏差大于立柱高度的</w:t>
            </w:r>
            <w:r>
              <w:rPr>
                <w:color w:val="auto"/>
              </w:rPr>
              <w:t>1/500</w:t>
            </w:r>
            <w:r>
              <w:rPr>
                <w:rFonts w:hint="eastAsia"/>
                <w:color w:val="auto"/>
              </w:rPr>
              <w:t>或大于</w:t>
            </w:r>
            <w:r>
              <w:rPr>
                <w:color w:val="auto"/>
              </w:rPr>
              <w:t>50mm</w:t>
            </w:r>
            <w:r>
              <w:rPr>
                <w:rFonts w:hint="eastAsia"/>
                <w:color w:val="auto"/>
              </w:rPr>
              <w:t>，扣</w:t>
            </w:r>
            <w:r>
              <w:rPr>
                <w:color w:val="auto"/>
              </w:rPr>
              <w:t>5-10</w:t>
            </w:r>
            <w:r>
              <w:rPr>
                <w:rFonts w:hint="eastAsia"/>
                <w:color w:val="auto"/>
              </w:rPr>
              <w:t>分</w:t>
            </w:r>
          </w:p>
          <w:p w14:paraId="452DC827">
            <w:pPr>
              <w:pStyle w:val="44"/>
              <w:jc w:val="left"/>
              <w:rPr>
                <w:color w:val="auto"/>
              </w:rPr>
            </w:pPr>
            <w:r>
              <w:rPr>
                <w:color w:val="auto"/>
              </w:rPr>
              <w:t>4</w:t>
            </w:r>
            <w:r>
              <w:rPr>
                <w:rFonts w:hint="eastAsia"/>
                <w:color w:val="auto"/>
              </w:rPr>
              <w:t>）相邻立柱间未按照专项施工方案所规定的位置和数量设置横向连接系，扣</w:t>
            </w:r>
            <w:r>
              <w:rPr>
                <w:color w:val="auto"/>
              </w:rPr>
              <w:t>5-10</w:t>
            </w:r>
            <w:r>
              <w:rPr>
                <w:rFonts w:hint="eastAsia"/>
                <w:color w:val="auto"/>
              </w:rPr>
              <w:t>分</w:t>
            </w:r>
          </w:p>
          <w:p w14:paraId="21FD2D97">
            <w:pPr>
              <w:pStyle w:val="44"/>
              <w:jc w:val="left"/>
              <w:rPr>
                <w:color w:val="auto"/>
              </w:rPr>
            </w:pPr>
            <w:r>
              <w:rPr>
                <w:color w:val="auto"/>
              </w:rPr>
              <w:t>5</w:t>
            </w:r>
            <w:r>
              <w:rPr>
                <w:rFonts w:hint="eastAsia"/>
                <w:color w:val="auto"/>
              </w:rPr>
              <w:t>）立柱柱头未按照专项施工方案的有求作加强处理，扣</w:t>
            </w:r>
            <w:r>
              <w:rPr>
                <w:color w:val="auto"/>
              </w:rPr>
              <w:t>3</w:t>
            </w:r>
            <w:r>
              <w:rPr>
                <w:rFonts w:hint="eastAsia"/>
                <w:color w:val="auto"/>
              </w:rPr>
              <w:t>分</w:t>
            </w:r>
          </w:p>
          <w:p w14:paraId="1CF12894">
            <w:pPr>
              <w:pStyle w:val="44"/>
              <w:jc w:val="left"/>
              <w:rPr>
                <w:color w:val="auto"/>
              </w:rPr>
            </w:pPr>
            <w:r>
              <w:rPr>
                <w:color w:val="auto"/>
              </w:rPr>
              <w:t>6</w:t>
            </w:r>
            <w:r>
              <w:rPr>
                <w:rFonts w:hint="eastAsia"/>
                <w:color w:val="auto"/>
              </w:rPr>
              <w:t>）立柱未与上部横梁及下部基础紧密接触并连接牢固，扣</w:t>
            </w:r>
            <w:r>
              <w:rPr>
                <w:color w:val="auto"/>
              </w:rPr>
              <w:t>5</w:t>
            </w:r>
            <w:r>
              <w:rPr>
                <w:rFonts w:hint="eastAsia"/>
                <w:color w:val="auto"/>
              </w:rPr>
              <w:t>分</w:t>
            </w:r>
          </w:p>
        </w:tc>
        <w:tc>
          <w:tcPr>
            <w:tcW w:w="720" w:type="dxa"/>
            <w:vAlign w:val="center"/>
          </w:tcPr>
          <w:p w14:paraId="19F8E86F">
            <w:pPr>
              <w:pStyle w:val="44"/>
              <w:rPr>
                <w:color w:val="auto"/>
              </w:rPr>
            </w:pPr>
            <w:r>
              <w:rPr>
                <w:color w:val="auto"/>
              </w:rPr>
              <w:t>10</w:t>
            </w:r>
          </w:p>
        </w:tc>
        <w:tc>
          <w:tcPr>
            <w:tcW w:w="720" w:type="dxa"/>
            <w:vAlign w:val="center"/>
          </w:tcPr>
          <w:p w14:paraId="008D7DAE">
            <w:pPr>
              <w:pStyle w:val="44"/>
              <w:rPr>
                <w:color w:val="auto"/>
              </w:rPr>
            </w:pPr>
          </w:p>
        </w:tc>
        <w:tc>
          <w:tcPr>
            <w:tcW w:w="720" w:type="dxa"/>
            <w:vAlign w:val="center"/>
          </w:tcPr>
          <w:p w14:paraId="12DDC747">
            <w:pPr>
              <w:pStyle w:val="44"/>
              <w:rPr>
                <w:color w:val="auto"/>
              </w:rPr>
            </w:pPr>
          </w:p>
        </w:tc>
      </w:tr>
      <w:tr w14:paraId="6E115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3151D7D4">
            <w:pPr>
              <w:pStyle w:val="44"/>
              <w:rPr>
                <w:color w:val="auto"/>
              </w:rPr>
            </w:pPr>
            <w:r>
              <w:rPr>
                <w:color w:val="auto"/>
              </w:rPr>
              <w:t>4</w:t>
            </w:r>
          </w:p>
        </w:tc>
        <w:tc>
          <w:tcPr>
            <w:tcW w:w="543" w:type="dxa"/>
            <w:vMerge w:val="continue"/>
          </w:tcPr>
          <w:p w14:paraId="56997D1B">
            <w:pPr>
              <w:pStyle w:val="44"/>
              <w:rPr>
                <w:color w:val="auto"/>
              </w:rPr>
            </w:pPr>
          </w:p>
        </w:tc>
        <w:tc>
          <w:tcPr>
            <w:tcW w:w="898" w:type="dxa"/>
            <w:vAlign w:val="center"/>
          </w:tcPr>
          <w:p w14:paraId="17154D90">
            <w:pPr>
              <w:pStyle w:val="44"/>
              <w:rPr>
                <w:color w:val="auto"/>
              </w:rPr>
            </w:pPr>
            <w:r>
              <w:rPr>
                <w:rFonts w:hint="eastAsia"/>
                <w:color w:val="auto"/>
              </w:rPr>
              <w:t>纵梁和横梁构造</w:t>
            </w:r>
          </w:p>
        </w:tc>
        <w:tc>
          <w:tcPr>
            <w:tcW w:w="5580" w:type="dxa"/>
            <w:vAlign w:val="center"/>
          </w:tcPr>
          <w:p w14:paraId="666C58BE">
            <w:pPr>
              <w:pStyle w:val="44"/>
              <w:jc w:val="left"/>
              <w:rPr>
                <w:color w:val="auto"/>
              </w:rPr>
            </w:pPr>
            <w:r>
              <w:rPr>
                <w:color w:val="auto"/>
              </w:rPr>
              <w:t>1</w:t>
            </w:r>
            <w:r>
              <w:rPr>
                <w:rFonts w:hint="eastAsia"/>
                <w:color w:val="auto"/>
              </w:rPr>
              <w:t>）纵横梁的设置数量、位置、间距不符合专项施工方案的要求，扣</w:t>
            </w:r>
            <w:r>
              <w:rPr>
                <w:color w:val="auto"/>
              </w:rPr>
              <w:t>5-8</w:t>
            </w:r>
            <w:r>
              <w:rPr>
                <w:rFonts w:hint="eastAsia"/>
                <w:color w:val="auto"/>
              </w:rPr>
              <w:t>分</w:t>
            </w:r>
          </w:p>
          <w:p w14:paraId="13CEB9FD">
            <w:pPr>
              <w:pStyle w:val="44"/>
              <w:jc w:val="left"/>
              <w:rPr>
                <w:color w:val="auto"/>
              </w:rPr>
            </w:pPr>
            <w:r>
              <w:rPr>
                <w:color w:val="auto"/>
              </w:rPr>
              <w:t>2</w:t>
            </w:r>
            <w:r>
              <w:rPr>
                <w:rFonts w:hint="eastAsia"/>
                <w:color w:val="auto"/>
              </w:rPr>
              <w:t>）型钢纵梁或横梁在支承位置未设置支承加劲肋，扣</w:t>
            </w:r>
            <w:r>
              <w:rPr>
                <w:color w:val="auto"/>
              </w:rPr>
              <w:t>3</w:t>
            </w:r>
            <w:r>
              <w:rPr>
                <w:rFonts w:hint="eastAsia"/>
                <w:color w:val="auto"/>
              </w:rPr>
              <w:t>分</w:t>
            </w:r>
          </w:p>
          <w:p w14:paraId="7A4B0A08">
            <w:pPr>
              <w:pStyle w:val="44"/>
              <w:jc w:val="left"/>
              <w:rPr>
                <w:color w:val="auto"/>
              </w:rPr>
            </w:pPr>
            <w:r>
              <w:rPr>
                <w:color w:val="auto"/>
              </w:rPr>
              <w:t>3</w:t>
            </w:r>
            <w:r>
              <w:rPr>
                <w:rFonts w:hint="eastAsia"/>
                <w:color w:val="auto"/>
              </w:rPr>
              <w:t>）型钢纵梁间未设置横向连接系将同跨内全部纵梁连接成整体，扣</w:t>
            </w:r>
            <w:r>
              <w:rPr>
                <w:color w:val="auto"/>
              </w:rPr>
              <w:t>3</w:t>
            </w:r>
            <w:r>
              <w:rPr>
                <w:rFonts w:hint="eastAsia"/>
                <w:color w:val="auto"/>
              </w:rPr>
              <w:t>分</w:t>
            </w:r>
          </w:p>
          <w:p w14:paraId="05D1656B">
            <w:pPr>
              <w:pStyle w:val="44"/>
              <w:jc w:val="left"/>
              <w:rPr>
                <w:color w:val="auto"/>
              </w:rPr>
            </w:pPr>
            <w:r>
              <w:rPr>
                <w:color w:val="auto"/>
              </w:rPr>
              <w:t>4</w:t>
            </w:r>
            <w:r>
              <w:rPr>
                <w:rFonts w:hint="eastAsia"/>
                <w:color w:val="auto"/>
              </w:rPr>
              <w:t>）桁架梁的相邻桁片间未按规定设置通长横向连接系将同跨内全部纵梁连接成整体，扣</w:t>
            </w:r>
            <w:r>
              <w:rPr>
                <w:color w:val="auto"/>
              </w:rPr>
              <w:t>5-8</w:t>
            </w:r>
            <w:r>
              <w:rPr>
                <w:rFonts w:hint="eastAsia"/>
                <w:color w:val="auto"/>
              </w:rPr>
              <w:t>分</w:t>
            </w:r>
          </w:p>
          <w:p w14:paraId="5FF96BE3">
            <w:pPr>
              <w:pStyle w:val="44"/>
              <w:jc w:val="left"/>
              <w:rPr>
                <w:color w:val="auto"/>
              </w:rPr>
            </w:pPr>
            <w:r>
              <w:rPr>
                <w:color w:val="auto"/>
              </w:rPr>
              <w:t>5</w:t>
            </w:r>
            <w:r>
              <w:rPr>
                <w:rFonts w:hint="eastAsia"/>
                <w:color w:val="auto"/>
              </w:rPr>
              <w:t>）当桁架梁支承位置不在其主节点上时，或当支座处剪力较大时，未按专项施工方案的要求对桁架支座处腹杆进行加强，扣</w:t>
            </w:r>
            <w:r>
              <w:rPr>
                <w:color w:val="auto"/>
              </w:rPr>
              <w:t>10</w:t>
            </w:r>
            <w:r>
              <w:rPr>
                <w:rFonts w:hint="eastAsia"/>
                <w:color w:val="auto"/>
              </w:rPr>
              <w:t>分</w:t>
            </w:r>
          </w:p>
          <w:p w14:paraId="237593DD">
            <w:pPr>
              <w:pStyle w:val="44"/>
              <w:jc w:val="left"/>
              <w:rPr>
                <w:color w:val="auto"/>
              </w:rPr>
            </w:pPr>
            <w:r>
              <w:rPr>
                <w:color w:val="auto"/>
              </w:rPr>
              <w:t>6)</w:t>
            </w:r>
            <w:r>
              <w:rPr>
                <w:rFonts w:hint="eastAsia"/>
                <w:color w:val="auto"/>
              </w:rPr>
              <w:t>纵梁未在支承位置设置侧向限位装置，扣</w:t>
            </w:r>
            <w:r>
              <w:rPr>
                <w:color w:val="auto"/>
              </w:rPr>
              <w:t>5</w:t>
            </w:r>
            <w:r>
              <w:rPr>
                <w:rFonts w:hint="eastAsia"/>
                <w:color w:val="auto"/>
              </w:rPr>
              <w:t>分</w:t>
            </w:r>
          </w:p>
          <w:p w14:paraId="6649FF87">
            <w:pPr>
              <w:pStyle w:val="44"/>
              <w:jc w:val="left"/>
              <w:rPr>
                <w:color w:val="auto"/>
              </w:rPr>
            </w:pPr>
            <w:r>
              <w:rPr>
                <w:color w:val="auto"/>
              </w:rPr>
              <w:t>7</w:t>
            </w:r>
            <w:r>
              <w:rPr>
                <w:rFonts w:hint="eastAsia"/>
                <w:color w:val="auto"/>
              </w:rPr>
              <w:t>）纵梁两端未按专项施工方案的要求设置止推挡块，扣</w:t>
            </w:r>
            <w:r>
              <w:rPr>
                <w:color w:val="auto"/>
              </w:rPr>
              <w:t>3</w:t>
            </w:r>
            <w:r>
              <w:rPr>
                <w:rFonts w:hint="eastAsia"/>
                <w:color w:val="auto"/>
              </w:rPr>
              <w:t>分</w:t>
            </w:r>
          </w:p>
        </w:tc>
        <w:tc>
          <w:tcPr>
            <w:tcW w:w="720" w:type="dxa"/>
            <w:vAlign w:val="center"/>
          </w:tcPr>
          <w:p w14:paraId="4B2AFC92">
            <w:pPr>
              <w:pStyle w:val="44"/>
              <w:rPr>
                <w:color w:val="auto"/>
              </w:rPr>
            </w:pPr>
            <w:r>
              <w:rPr>
                <w:color w:val="auto"/>
              </w:rPr>
              <w:t>10</w:t>
            </w:r>
          </w:p>
        </w:tc>
        <w:tc>
          <w:tcPr>
            <w:tcW w:w="720" w:type="dxa"/>
            <w:vAlign w:val="center"/>
          </w:tcPr>
          <w:p w14:paraId="39504D4C">
            <w:pPr>
              <w:pStyle w:val="44"/>
              <w:rPr>
                <w:color w:val="auto"/>
              </w:rPr>
            </w:pPr>
          </w:p>
        </w:tc>
        <w:tc>
          <w:tcPr>
            <w:tcW w:w="720" w:type="dxa"/>
            <w:vAlign w:val="center"/>
          </w:tcPr>
          <w:p w14:paraId="35CBE215">
            <w:pPr>
              <w:pStyle w:val="44"/>
              <w:rPr>
                <w:color w:val="auto"/>
              </w:rPr>
            </w:pPr>
          </w:p>
        </w:tc>
      </w:tr>
      <w:tr w14:paraId="5352B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1E046994">
            <w:pPr>
              <w:pStyle w:val="44"/>
              <w:rPr>
                <w:color w:val="auto"/>
              </w:rPr>
            </w:pPr>
            <w:r>
              <w:rPr>
                <w:color w:val="auto"/>
              </w:rPr>
              <w:t>5</w:t>
            </w:r>
          </w:p>
        </w:tc>
        <w:tc>
          <w:tcPr>
            <w:tcW w:w="543" w:type="dxa"/>
            <w:vMerge w:val="continue"/>
          </w:tcPr>
          <w:p w14:paraId="1C95A79B">
            <w:pPr>
              <w:pStyle w:val="44"/>
              <w:rPr>
                <w:color w:val="auto"/>
              </w:rPr>
            </w:pPr>
          </w:p>
        </w:tc>
        <w:tc>
          <w:tcPr>
            <w:tcW w:w="898" w:type="dxa"/>
            <w:vAlign w:val="center"/>
          </w:tcPr>
          <w:p w14:paraId="3EE802A6">
            <w:pPr>
              <w:pStyle w:val="44"/>
              <w:rPr>
                <w:color w:val="auto"/>
              </w:rPr>
            </w:pPr>
            <w:r>
              <w:rPr>
                <w:rFonts w:hint="eastAsia"/>
                <w:color w:val="auto"/>
              </w:rPr>
              <w:t>桥面</w:t>
            </w:r>
          </w:p>
        </w:tc>
        <w:tc>
          <w:tcPr>
            <w:tcW w:w="5580" w:type="dxa"/>
            <w:vAlign w:val="center"/>
          </w:tcPr>
          <w:p w14:paraId="66D603FA">
            <w:pPr>
              <w:pStyle w:val="44"/>
              <w:jc w:val="left"/>
              <w:rPr>
                <w:color w:val="auto"/>
              </w:rPr>
            </w:pPr>
            <w:r>
              <w:rPr>
                <w:color w:val="auto"/>
              </w:rPr>
              <w:t>1</w:t>
            </w:r>
            <w:r>
              <w:rPr>
                <w:rFonts w:hint="eastAsia"/>
                <w:color w:val="auto"/>
              </w:rPr>
              <w:t>）车辆和人员行走区域的面板未满铺，或未与下部结构连接牢固，扣</w:t>
            </w:r>
            <w:r>
              <w:rPr>
                <w:color w:val="auto"/>
              </w:rPr>
              <w:t>5</w:t>
            </w:r>
            <w:r>
              <w:rPr>
                <w:rFonts w:hint="eastAsia"/>
                <w:color w:val="auto"/>
              </w:rPr>
              <w:t>分</w:t>
            </w:r>
          </w:p>
          <w:p w14:paraId="37341194">
            <w:pPr>
              <w:pStyle w:val="44"/>
              <w:jc w:val="left"/>
              <w:rPr>
                <w:color w:val="auto"/>
              </w:rPr>
            </w:pPr>
            <w:r>
              <w:rPr>
                <w:color w:val="auto"/>
              </w:rPr>
              <w:t>2</w:t>
            </w:r>
            <w:r>
              <w:rPr>
                <w:rFonts w:hint="eastAsia"/>
                <w:color w:val="auto"/>
              </w:rPr>
              <w:t>）悬臂面板未采取有效的加固措施，扣</w:t>
            </w:r>
            <w:r>
              <w:rPr>
                <w:color w:val="auto"/>
              </w:rPr>
              <w:t>3</w:t>
            </w:r>
            <w:r>
              <w:rPr>
                <w:rFonts w:hint="eastAsia"/>
                <w:color w:val="auto"/>
              </w:rPr>
              <w:t>分</w:t>
            </w:r>
          </w:p>
          <w:p w14:paraId="39B4B916">
            <w:pPr>
              <w:pStyle w:val="44"/>
              <w:jc w:val="left"/>
              <w:rPr>
                <w:color w:val="auto"/>
              </w:rPr>
            </w:pPr>
            <w:r>
              <w:rPr>
                <w:color w:val="auto"/>
              </w:rPr>
              <w:t>3</w:t>
            </w:r>
            <w:r>
              <w:rPr>
                <w:rFonts w:hint="eastAsia"/>
                <w:color w:val="auto"/>
              </w:rPr>
              <w:t>）行车道侧面未设置护轮坎，扣</w:t>
            </w:r>
            <w:r>
              <w:rPr>
                <w:color w:val="auto"/>
              </w:rPr>
              <w:t>3</w:t>
            </w:r>
            <w:r>
              <w:rPr>
                <w:rFonts w:hint="eastAsia"/>
                <w:color w:val="auto"/>
              </w:rPr>
              <w:t>分</w:t>
            </w:r>
          </w:p>
          <w:p w14:paraId="30916A04">
            <w:pPr>
              <w:pStyle w:val="44"/>
              <w:jc w:val="left"/>
              <w:rPr>
                <w:color w:val="auto"/>
              </w:rPr>
            </w:pPr>
            <w:r>
              <w:rPr>
                <w:color w:val="auto"/>
              </w:rPr>
              <w:t>4</w:t>
            </w:r>
            <w:r>
              <w:rPr>
                <w:rFonts w:hint="eastAsia"/>
                <w:color w:val="auto"/>
              </w:rPr>
              <w:t>）波浪较大水域的面板未设置波浪消能孔，扣</w:t>
            </w:r>
            <w:r>
              <w:rPr>
                <w:color w:val="auto"/>
              </w:rPr>
              <w:t>3</w:t>
            </w:r>
            <w:r>
              <w:rPr>
                <w:rFonts w:hint="eastAsia"/>
                <w:color w:val="auto"/>
              </w:rPr>
              <w:t>分</w:t>
            </w:r>
          </w:p>
        </w:tc>
        <w:tc>
          <w:tcPr>
            <w:tcW w:w="720" w:type="dxa"/>
            <w:vAlign w:val="center"/>
          </w:tcPr>
          <w:p w14:paraId="2C184571">
            <w:pPr>
              <w:pStyle w:val="44"/>
              <w:rPr>
                <w:color w:val="auto"/>
              </w:rPr>
            </w:pPr>
            <w:r>
              <w:rPr>
                <w:color w:val="auto"/>
              </w:rPr>
              <w:t>10</w:t>
            </w:r>
          </w:p>
        </w:tc>
        <w:tc>
          <w:tcPr>
            <w:tcW w:w="720" w:type="dxa"/>
            <w:vAlign w:val="center"/>
          </w:tcPr>
          <w:p w14:paraId="17A225E0">
            <w:pPr>
              <w:pStyle w:val="44"/>
              <w:rPr>
                <w:color w:val="auto"/>
              </w:rPr>
            </w:pPr>
          </w:p>
        </w:tc>
        <w:tc>
          <w:tcPr>
            <w:tcW w:w="720" w:type="dxa"/>
            <w:vAlign w:val="center"/>
          </w:tcPr>
          <w:p w14:paraId="67B37D45">
            <w:pPr>
              <w:pStyle w:val="44"/>
              <w:rPr>
                <w:color w:val="auto"/>
              </w:rPr>
            </w:pPr>
          </w:p>
        </w:tc>
      </w:tr>
      <w:tr w14:paraId="23EAC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05EDC4A">
            <w:pPr>
              <w:pStyle w:val="44"/>
              <w:rPr>
                <w:color w:val="auto"/>
              </w:rPr>
            </w:pPr>
            <w:r>
              <w:rPr>
                <w:color w:val="auto"/>
              </w:rPr>
              <w:t>6</w:t>
            </w:r>
          </w:p>
        </w:tc>
        <w:tc>
          <w:tcPr>
            <w:tcW w:w="543" w:type="dxa"/>
            <w:vMerge w:val="continue"/>
            <w:vAlign w:val="center"/>
          </w:tcPr>
          <w:p w14:paraId="725DC6BA">
            <w:pPr>
              <w:pStyle w:val="44"/>
              <w:rPr>
                <w:color w:val="auto"/>
              </w:rPr>
            </w:pPr>
          </w:p>
        </w:tc>
        <w:tc>
          <w:tcPr>
            <w:tcW w:w="898" w:type="dxa"/>
            <w:vAlign w:val="center"/>
          </w:tcPr>
          <w:p w14:paraId="55EEDFCB">
            <w:pPr>
              <w:pStyle w:val="44"/>
              <w:rPr>
                <w:color w:val="auto"/>
              </w:rPr>
            </w:pPr>
            <w:r>
              <w:rPr>
                <w:rFonts w:hint="eastAsia"/>
                <w:color w:val="auto"/>
              </w:rPr>
              <w:t>检查验收</w:t>
            </w:r>
          </w:p>
        </w:tc>
        <w:tc>
          <w:tcPr>
            <w:tcW w:w="5580" w:type="dxa"/>
            <w:vAlign w:val="center"/>
          </w:tcPr>
          <w:p w14:paraId="73D6B94F">
            <w:pPr>
              <w:pStyle w:val="44"/>
              <w:jc w:val="left"/>
              <w:rPr>
                <w:color w:val="auto"/>
              </w:rPr>
            </w:pPr>
            <w:r>
              <w:rPr>
                <w:color w:val="auto"/>
              </w:rPr>
              <w:t>1</w:t>
            </w:r>
            <w:r>
              <w:rPr>
                <w:rFonts w:hint="eastAsia"/>
                <w:color w:val="auto"/>
              </w:rPr>
              <w:t>）在构配件进场进场、结构安装、基础施工、安全防护设施安装各阶段未进行检查验收，扣</w:t>
            </w:r>
            <w:r>
              <w:rPr>
                <w:color w:val="auto"/>
              </w:rPr>
              <w:t>10</w:t>
            </w:r>
            <w:r>
              <w:rPr>
                <w:rFonts w:hint="eastAsia"/>
                <w:color w:val="auto"/>
              </w:rPr>
              <w:t>分；阶段检查验收未形成记录，扣</w:t>
            </w:r>
            <w:r>
              <w:rPr>
                <w:color w:val="auto"/>
              </w:rPr>
              <w:t>5</w:t>
            </w:r>
            <w:r>
              <w:rPr>
                <w:rFonts w:hint="eastAsia"/>
                <w:color w:val="auto"/>
              </w:rPr>
              <w:t>分</w:t>
            </w:r>
          </w:p>
          <w:p w14:paraId="002675EA">
            <w:pPr>
              <w:pStyle w:val="44"/>
              <w:jc w:val="left"/>
              <w:rPr>
                <w:color w:val="auto"/>
              </w:rPr>
            </w:pPr>
            <w:r>
              <w:rPr>
                <w:color w:val="auto"/>
              </w:rPr>
              <w:t>2</w:t>
            </w:r>
            <w:r>
              <w:rPr>
                <w:rFonts w:hint="eastAsia"/>
                <w:color w:val="auto"/>
              </w:rPr>
              <w:t>）各阶段检查验收内容和指标未进行量化，扣</w:t>
            </w:r>
            <w:r>
              <w:rPr>
                <w:color w:val="auto"/>
              </w:rPr>
              <w:t>5-8</w:t>
            </w:r>
            <w:r>
              <w:rPr>
                <w:rFonts w:hint="eastAsia"/>
                <w:color w:val="auto"/>
              </w:rPr>
              <w:t>分</w:t>
            </w:r>
          </w:p>
          <w:p w14:paraId="57EDFDCB">
            <w:pPr>
              <w:pStyle w:val="44"/>
              <w:jc w:val="left"/>
              <w:rPr>
                <w:color w:val="auto"/>
              </w:rPr>
            </w:pPr>
            <w:r>
              <w:rPr>
                <w:color w:val="auto"/>
              </w:rPr>
              <w:t>3</w:t>
            </w:r>
            <w:r>
              <w:rPr>
                <w:rFonts w:hint="eastAsia"/>
                <w:color w:val="auto"/>
              </w:rPr>
              <w:t>）在投入使用前，未进行完工验收，扣</w:t>
            </w:r>
            <w:r>
              <w:rPr>
                <w:color w:val="auto"/>
              </w:rPr>
              <w:t>5-8</w:t>
            </w:r>
            <w:r>
              <w:rPr>
                <w:rFonts w:hint="eastAsia"/>
                <w:color w:val="auto"/>
              </w:rPr>
              <w:t>分；完工验收未形成记录，扣</w:t>
            </w:r>
            <w:r>
              <w:rPr>
                <w:color w:val="auto"/>
              </w:rPr>
              <w:t>5</w:t>
            </w:r>
            <w:r>
              <w:rPr>
                <w:rFonts w:hint="eastAsia"/>
                <w:color w:val="auto"/>
              </w:rPr>
              <w:t>分</w:t>
            </w:r>
          </w:p>
          <w:p w14:paraId="3BA9444F">
            <w:pPr>
              <w:pStyle w:val="44"/>
              <w:jc w:val="left"/>
              <w:rPr>
                <w:color w:val="auto"/>
              </w:rPr>
            </w:pPr>
            <w:r>
              <w:rPr>
                <w:color w:val="auto"/>
              </w:rPr>
              <w:t>4</w:t>
            </w:r>
            <w:r>
              <w:rPr>
                <w:rFonts w:hint="eastAsia"/>
                <w:color w:val="auto"/>
              </w:rPr>
              <w:t>）验收合格后未在明显位置悬挂验收合格牌，扣</w:t>
            </w:r>
            <w:r>
              <w:rPr>
                <w:color w:val="auto"/>
              </w:rPr>
              <w:t>2</w:t>
            </w:r>
            <w:r>
              <w:rPr>
                <w:rFonts w:hint="eastAsia"/>
                <w:color w:val="auto"/>
              </w:rPr>
              <w:t>分</w:t>
            </w:r>
          </w:p>
          <w:p w14:paraId="2B34D938">
            <w:pPr>
              <w:pStyle w:val="44"/>
              <w:jc w:val="left"/>
              <w:rPr>
                <w:color w:val="auto"/>
              </w:rPr>
            </w:pPr>
            <w:r>
              <w:rPr>
                <w:color w:val="auto"/>
              </w:rPr>
              <w:t>5</w:t>
            </w:r>
            <w:r>
              <w:rPr>
                <w:rFonts w:hint="eastAsia"/>
                <w:color w:val="auto"/>
              </w:rPr>
              <w:t>）使用过程中未对各部位螺栓或销钉的紧固程度和焊缝完整性进行例行检查，或未形成检查记录，扣</w:t>
            </w:r>
            <w:r>
              <w:rPr>
                <w:color w:val="auto"/>
              </w:rPr>
              <w:t>5</w:t>
            </w:r>
            <w:r>
              <w:rPr>
                <w:rFonts w:hint="eastAsia"/>
                <w:color w:val="auto"/>
              </w:rPr>
              <w:t>分</w:t>
            </w:r>
          </w:p>
        </w:tc>
        <w:tc>
          <w:tcPr>
            <w:tcW w:w="720" w:type="dxa"/>
            <w:vAlign w:val="center"/>
          </w:tcPr>
          <w:p w14:paraId="4FEE53F4">
            <w:pPr>
              <w:pStyle w:val="44"/>
              <w:rPr>
                <w:color w:val="auto"/>
              </w:rPr>
            </w:pPr>
            <w:r>
              <w:rPr>
                <w:color w:val="auto"/>
              </w:rPr>
              <w:t>10</w:t>
            </w:r>
          </w:p>
        </w:tc>
        <w:tc>
          <w:tcPr>
            <w:tcW w:w="720" w:type="dxa"/>
            <w:vAlign w:val="center"/>
          </w:tcPr>
          <w:p w14:paraId="07074A8F">
            <w:pPr>
              <w:pStyle w:val="44"/>
              <w:rPr>
                <w:color w:val="auto"/>
              </w:rPr>
            </w:pPr>
          </w:p>
        </w:tc>
        <w:tc>
          <w:tcPr>
            <w:tcW w:w="720" w:type="dxa"/>
            <w:vAlign w:val="center"/>
          </w:tcPr>
          <w:p w14:paraId="35E82D6A">
            <w:pPr>
              <w:pStyle w:val="44"/>
              <w:rPr>
                <w:color w:val="auto"/>
              </w:rPr>
            </w:pPr>
          </w:p>
        </w:tc>
      </w:tr>
      <w:tr w14:paraId="08DB7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38FBBC8C">
            <w:pPr>
              <w:pStyle w:val="44"/>
              <w:rPr>
                <w:color w:val="auto"/>
              </w:rPr>
            </w:pPr>
            <w:r>
              <w:rPr>
                <w:color w:val="auto"/>
              </w:rPr>
              <w:t>7</w:t>
            </w:r>
          </w:p>
        </w:tc>
        <w:tc>
          <w:tcPr>
            <w:tcW w:w="543" w:type="dxa"/>
            <w:vMerge w:val="continue"/>
            <w:vAlign w:val="center"/>
          </w:tcPr>
          <w:p w14:paraId="2E09FAE1">
            <w:pPr>
              <w:pStyle w:val="44"/>
              <w:rPr>
                <w:color w:val="auto"/>
              </w:rPr>
            </w:pPr>
          </w:p>
        </w:tc>
        <w:tc>
          <w:tcPr>
            <w:tcW w:w="898" w:type="dxa"/>
            <w:vAlign w:val="center"/>
          </w:tcPr>
          <w:p w14:paraId="764FB3F8">
            <w:pPr>
              <w:pStyle w:val="44"/>
              <w:rPr>
                <w:color w:val="auto"/>
              </w:rPr>
            </w:pPr>
            <w:r>
              <w:rPr>
                <w:rFonts w:hint="eastAsia"/>
                <w:color w:val="auto"/>
              </w:rPr>
              <w:t>安全使用</w:t>
            </w:r>
          </w:p>
        </w:tc>
        <w:tc>
          <w:tcPr>
            <w:tcW w:w="5580" w:type="dxa"/>
            <w:vAlign w:val="center"/>
          </w:tcPr>
          <w:p w14:paraId="1F6135AD">
            <w:pPr>
              <w:pStyle w:val="44"/>
              <w:jc w:val="left"/>
              <w:rPr>
                <w:color w:val="auto"/>
              </w:rPr>
            </w:pPr>
            <w:r>
              <w:rPr>
                <w:color w:val="auto"/>
              </w:rPr>
              <w:t>1</w:t>
            </w:r>
            <w:r>
              <w:rPr>
                <w:rFonts w:hint="eastAsia"/>
                <w:color w:val="auto"/>
              </w:rPr>
              <w:t>）栈桥与平台上的机动设备未严格按规定的车速行驶，扣</w:t>
            </w:r>
            <w:r>
              <w:rPr>
                <w:color w:val="auto"/>
              </w:rPr>
              <w:t>5</w:t>
            </w:r>
            <w:r>
              <w:rPr>
                <w:rFonts w:hint="eastAsia"/>
                <w:color w:val="auto"/>
              </w:rPr>
              <w:t>分</w:t>
            </w:r>
          </w:p>
          <w:p w14:paraId="4177BCFC">
            <w:pPr>
              <w:pStyle w:val="44"/>
              <w:jc w:val="left"/>
              <w:rPr>
                <w:color w:val="auto"/>
              </w:rPr>
            </w:pPr>
            <w:r>
              <w:rPr>
                <w:color w:val="auto"/>
              </w:rPr>
              <w:t>2</w:t>
            </w:r>
            <w:r>
              <w:rPr>
                <w:rFonts w:hint="eastAsia"/>
                <w:color w:val="auto"/>
              </w:rPr>
              <w:t>）进入栈桥与平台上的施工机械或物料堆置的荷载超过设计规定，扣</w:t>
            </w:r>
            <w:r>
              <w:rPr>
                <w:color w:val="auto"/>
              </w:rPr>
              <w:t>10</w:t>
            </w:r>
            <w:r>
              <w:rPr>
                <w:rFonts w:hint="eastAsia"/>
                <w:color w:val="auto"/>
              </w:rPr>
              <w:t>分</w:t>
            </w:r>
          </w:p>
          <w:p w14:paraId="03041885">
            <w:pPr>
              <w:pStyle w:val="44"/>
              <w:jc w:val="left"/>
              <w:rPr>
                <w:color w:val="auto"/>
              </w:rPr>
            </w:pPr>
            <w:r>
              <w:rPr>
                <w:color w:val="auto"/>
              </w:rPr>
              <w:t>3</w:t>
            </w:r>
            <w:r>
              <w:rPr>
                <w:rFonts w:hint="eastAsia"/>
                <w:color w:val="auto"/>
              </w:rPr>
              <w:t>）栈桥与平台入口处未悬挂使用规则，扣</w:t>
            </w:r>
            <w:r>
              <w:rPr>
                <w:color w:val="auto"/>
              </w:rPr>
              <w:t>3</w:t>
            </w:r>
            <w:r>
              <w:rPr>
                <w:rFonts w:hint="eastAsia"/>
                <w:color w:val="auto"/>
              </w:rPr>
              <w:t>分</w:t>
            </w:r>
          </w:p>
          <w:p w14:paraId="278047F6">
            <w:pPr>
              <w:pStyle w:val="44"/>
              <w:jc w:val="left"/>
              <w:rPr>
                <w:color w:val="auto"/>
              </w:rPr>
            </w:pPr>
            <w:r>
              <w:rPr>
                <w:color w:val="auto"/>
              </w:rPr>
              <w:t>4</w:t>
            </w:r>
            <w:r>
              <w:rPr>
                <w:rFonts w:hint="eastAsia"/>
                <w:color w:val="auto"/>
              </w:rPr>
              <w:t>）栈桥与平台未设置行车限速、防人员触电及落水等安全警示标志，扣</w:t>
            </w:r>
            <w:r>
              <w:rPr>
                <w:color w:val="auto"/>
              </w:rPr>
              <w:t>5</w:t>
            </w:r>
            <w:r>
              <w:rPr>
                <w:rFonts w:hint="eastAsia"/>
                <w:color w:val="auto"/>
              </w:rPr>
              <w:t>分</w:t>
            </w:r>
          </w:p>
          <w:p w14:paraId="69827EE3">
            <w:pPr>
              <w:pStyle w:val="44"/>
              <w:jc w:val="left"/>
              <w:rPr>
                <w:color w:val="auto"/>
              </w:rPr>
            </w:pPr>
            <w:r>
              <w:rPr>
                <w:color w:val="auto"/>
              </w:rPr>
              <w:t>5</w:t>
            </w:r>
            <w:r>
              <w:rPr>
                <w:rFonts w:hint="eastAsia"/>
                <w:color w:val="auto"/>
              </w:rPr>
              <w:t>）非许可的设备、设施与栈桥与平台连接，扣</w:t>
            </w:r>
            <w:r>
              <w:rPr>
                <w:color w:val="auto"/>
              </w:rPr>
              <w:t>10</w:t>
            </w:r>
            <w:r>
              <w:rPr>
                <w:rFonts w:hint="eastAsia"/>
                <w:color w:val="auto"/>
              </w:rPr>
              <w:t>分</w:t>
            </w:r>
          </w:p>
          <w:p w14:paraId="22E4E71E">
            <w:pPr>
              <w:pStyle w:val="44"/>
              <w:jc w:val="left"/>
              <w:rPr>
                <w:color w:val="auto"/>
              </w:rPr>
            </w:pPr>
            <w:r>
              <w:rPr>
                <w:color w:val="auto"/>
              </w:rPr>
              <w:t>6</w:t>
            </w:r>
            <w:r>
              <w:rPr>
                <w:rFonts w:hint="eastAsia"/>
                <w:color w:val="auto"/>
              </w:rPr>
              <w:t>）当遇海水或其他腐蚀性环境时，栈桥与平台应超过一年未进行安全评估</w:t>
            </w:r>
          </w:p>
          <w:p w14:paraId="653CCD58">
            <w:pPr>
              <w:pStyle w:val="44"/>
              <w:jc w:val="left"/>
              <w:rPr>
                <w:color w:val="auto"/>
              </w:rPr>
            </w:pPr>
            <w:r>
              <w:rPr>
                <w:color w:val="auto"/>
              </w:rPr>
              <w:t>7</w:t>
            </w:r>
            <w:r>
              <w:rPr>
                <w:rFonts w:hint="eastAsia"/>
                <w:color w:val="auto"/>
              </w:rPr>
              <w:t>）栈桥与平台现场使用单位未对其安全技术记录资料建立安全技术档案</w:t>
            </w:r>
          </w:p>
        </w:tc>
        <w:tc>
          <w:tcPr>
            <w:tcW w:w="720" w:type="dxa"/>
            <w:vAlign w:val="center"/>
          </w:tcPr>
          <w:p w14:paraId="41500635">
            <w:pPr>
              <w:pStyle w:val="44"/>
              <w:rPr>
                <w:color w:val="auto"/>
              </w:rPr>
            </w:pPr>
            <w:r>
              <w:rPr>
                <w:color w:val="auto"/>
              </w:rPr>
              <w:t>10</w:t>
            </w:r>
          </w:p>
        </w:tc>
        <w:tc>
          <w:tcPr>
            <w:tcW w:w="720" w:type="dxa"/>
            <w:vAlign w:val="center"/>
          </w:tcPr>
          <w:p w14:paraId="6D0E95FD">
            <w:pPr>
              <w:pStyle w:val="44"/>
              <w:rPr>
                <w:color w:val="auto"/>
              </w:rPr>
            </w:pPr>
          </w:p>
        </w:tc>
        <w:tc>
          <w:tcPr>
            <w:tcW w:w="720" w:type="dxa"/>
            <w:vAlign w:val="center"/>
          </w:tcPr>
          <w:p w14:paraId="7B2ADBB8">
            <w:pPr>
              <w:pStyle w:val="44"/>
              <w:rPr>
                <w:color w:val="auto"/>
              </w:rPr>
            </w:pPr>
          </w:p>
        </w:tc>
      </w:tr>
      <w:tr w14:paraId="504A8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E63D25F">
            <w:pPr>
              <w:pStyle w:val="44"/>
              <w:rPr>
                <w:color w:val="auto"/>
              </w:rPr>
            </w:pPr>
          </w:p>
        </w:tc>
        <w:tc>
          <w:tcPr>
            <w:tcW w:w="543" w:type="dxa"/>
            <w:vMerge w:val="continue"/>
          </w:tcPr>
          <w:p w14:paraId="1882B1DD">
            <w:pPr>
              <w:pStyle w:val="44"/>
              <w:rPr>
                <w:color w:val="auto"/>
              </w:rPr>
            </w:pPr>
          </w:p>
        </w:tc>
        <w:tc>
          <w:tcPr>
            <w:tcW w:w="6478" w:type="dxa"/>
            <w:gridSpan w:val="2"/>
            <w:vAlign w:val="center"/>
          </w:tcPr>
          <w:p w14:paraId="4D925C9A">
            <w:pPr>
              <w:pStyle w:val="44"/>
              <w:rPr>
                <w:b/>
                <w:bCs w:val="0"/>
                <w:color w:val="auto"/>
              </w:rPr>
            </w:pPr>
            <w:r>
              <w:rPr>
                <w:rFonts w:hint="eastAsia"/>
                <w:b/>
                <w:bCs w:val="0"/>
                <w:color w:val="auto"/>
              </w:rPr>
              <w:t>小</w:t>
            </w:r>
            <w:r>
              <w:rPr>
                <w:b/>
                <w:bCs w:val="0"/>
                <w:color w:val="auto"/>
              </w:rPr>
              <w:t xml:space="preserve">  </w:t>
            </w:r>
            <w:r>
              <w:rPr>
                <w:rFonts w:hint="eastAsia"/>
                <w:b/>
                <w:bCs w:val="0"/>
                <w:color w:val="auto"/>
              </w:rPr>
              <w:t>计</w:t>
            </w:r>
          </w:p>
        </w:tc>
        <w:tc>
          <w:tcPr>
            <w:tcW w:w="720" w:type="dxa"/>
            <w:vAlign w:val="center"/>
          </w:tcPr>
          <w:p w14:paraId="266DACC1">
            <w:pPr>
              <w:pStyle w:val="44"/>
              <w:rPr>
                <w:color w:val="auto"/>
              </w:rPr>
            </w:pPr>
            <w:r>
              <w:rPr>
                <w:color w:val="auto"/>
              </w:rPr>
              <w:t>70</w:t>
            </w:r>
          </w:p>
        </w:tc>
        <w:tc>
          <w:tcPr>
            <w:tcW w:w="720" w:type="dxa"/>
            <w:vAlign w:val="center"/>
          </w:tcPr>
          <w:p w14:paraId="1112793D">
            <w:pPr>
              <w:pStyle w:val="44"/>
              <w:rPr>
                <w:color w:val="auto"/>
              </w:rPr>
            </w:pPr>
          </w:p>
        </w:tc>
        <w:tc>
          <w:tcPr>
            <w:tcW w:w="720" w:type="dxa"/>
            <w:vAlign w:val="center"/>
          </w:tcPr>
          <w:p w14:paraId="1D19F1C3">
            <w:pPr>
              <w:pStyle w:val="44"/>
              <w:rPr>
                <w:color w:val="auto"/>
              </w:rPr>
            </w:pPr>
          </w:p>
        </w:tc>
      </w:tr>
      <w:tr w14:paraId="20D2C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0E5B0A0C">
            <w:pPr>
              <w:pStyle w:val="44"/>
              <w:rPr>
                <w:color w:val="auto"/>
              </w:rPr>
            </w:pPr>
            <w:r>
              <w:rPr>
                <w:color w:val="auto"/>
              </w:rPr>
              <w:t>1</w:t>
            </w:r>
          </w:p>
        </w:tc>
        <w:tc>
          <w:tcPr>
            <w:tcW w:w="543" w:type="dxa"/>
            <w:vMerge w:val="restart"/>
            <w:vAlign w:val="center"/>
          </w:tcPr>
          <w:p w14:paraId="308CB9E8">
            <w:pPr>
              <w:pStyle w:val="44"/>
              <w:rPr>
                <w:color w:val="auto"/>
              </w:rPr>
            </w:pPr>
            <w:r>
              <w:rPr>
                <w:rFonts w:hint="eastAsia"/>
                <w:color w:val="auto"/>
              </w:rPr>
              <w:t>一</w:t>
            </w:r>
          </w:p>
          <w:p w14:paraId="35F0DE67">
            <w:pPr>
              <w:pStyle w:val="44"/>
              <w:rPr>
                <w:color w:val="auto"/>
              </w:rPr>
            </w:pPr>
            <w:r>
              <w:rPr>
                <w:rFonts w:hint="eastAsia"/>
                <w:color w:val="auto"/>
              </w:rPr>
              <w:t>般</w:t>
            </w:r>
          </w:p>
          <w:p w14:paraId="024BBFEA">
            <w:pPr>
              <w:pStyle w:val="44"/>
              <w:rPr>
                <w:color w:val="auto"/>
              </w:rPr>
            </w:pPr>
            <w:r>
              <w:rPr>
                <w:rFonts w:hint="eastAsia"/>
                <w:color w:val="auto"/>
              </w:rPr>
              <w:t>项</w:t>
            </w:r>
          </w:p>
          <w:p w14:paraId="30750640">
            <w:pPr>
              <w:pStyle w:val="44"/>
              <w:rPr>
                <w:color w:val="auto"/>
              </w:rPr>
            </w:pPr>
            <w:r>
              <w:rPr>
                <w:rFonts w:hint="eastAsia"/>
                <w:color w:val="auto"/>
              </w:rPr>
              <w:t>目</w:t>
            </w:r>
          </w:p>
        </w:tc>
        <w:tc>
          <w:tcPr>
            <w:tcW w:w="898" w:type="dxa"/>
            <w:vAlign w:val="center"/>
          </w:tcPr>
          <w:p w14:paraId="2352C2ED">
            <w:pPr>
              <w:pStyle w:val="44"/>
              <w:rPr>
                <w:color w:val="auto"/>
              </w:rPr>
            </w:pPr>
            <w:r>
              <w:rPr>
                <w:rFonts w:hint="eastAsia"/>
                <w:color w:val="auto"/>
              </w:rPr>
              <w:t>设计要求</w:t>
            </w:r>
          </w:p>
        </w:tc>
        <w:tc>
          <w:tcPr>
            <w:tcW w:w="5580" w:type="dxa"/>
            <w:vAlign w:val="center"/>
          </w:tcPr>
          <w:p w14:paraId="44BE1C58">
            <w:pPr>
              <w:pStyle w:val="44"/>
              <w:jc w:val="left"/>
              <w:rPr>
                <w:color w:val="auto"/>
              </w:rPr>
            </w:pPr>
            <w:r>
              <w:rPr>
                <w:color w:val="auto"/>
              </w:rPr>
              <w:t>1</w:t>
            </w:r>
            <w:r>
              <w:rPr>
                <w:rFonts w:hint="eastAsia"/>
                <w:color w:val="auto"/>
              </w:rPr>
              <w:t>）栈桥和平台下部净空低于最大洪水位，扣</w:t>
            </w:r>
            <w:r>
              <w:rPr>
                <w:color w:val="auto"/>
              </w:rPr>
              <w:t>10</w:t>
            </w:r>
            <w:r>
              <w:rPr>
                <w:rFonts w:hint="eastAsia"/>
                <w:color w:val="auto"/>
              </w:rPr>
              <w:t>分；净空未考虑安全高度，扣</w:t>
            </w:r>
            <w:r>
              <w:rPr>
                <w:color w:val="auto"/>
              </w:rPr>
              <w:t>5</w:t>
            </w:r>
            <w:r>
              <w:rPr>
                <w:rFonts w:hint="eastAsia"/>
                <w:color w:val="auto"/>
              </w:rPr>
              <w:t>分</w:t>
            </w:r>
          </w:p>
          <w:p w14:paraId="4E73A42A">
            <w:pPr>
              <w:pStyle w:val="44"/>
              <w:jc w:val="left"/>
              <w:rPr>
                <w:color w:val="auto"/>
              </w:rPr>
            </w:pPr>
            <w:r>
              <w:rPr>
                <w:color w:val="auto"/>
              </w:rPr>
              <w:t>2</w:t>
            </w:r>
            <w:r>
              <w:rPr>
                <w:rFonts w:hint="eastAsia"/>
                <w:color w:val="auto"/>
              </w:rPr>
              <w:t>）长距离栈桥未设置会车、调头区域，扣</w:t>
            </w:r>
            <w:r>
              <w:rPr>
                <w:color w:val="auto"/>
              </w:rPr>
              <w:t>5</w:t>
            </w:r>
            <w:r>
              <w:rPr>
                <w:rFonts w:hint="eastAsia"/>
                <w:color w:val="auto"/>
              </w:rPr>
              <w:t>分</w:t>
            </w:r>
          </w:p>
        </w:tc>
        <w:tc>
          <w:tcPr>
            <w:tcW w:w="720" w:type="dxa"/>
            <w:vAlign w:val="center"/>
          </w:tcPr>
          <w:p w14:paraId="22F6E479">
            <w:pPr>
              <w:pStyle w:val="44"/>
              <w:rPr>
                <w:color w:val="auto"/>
              </w:rPr>
            </w:pPr>
            <w:r>
              <w:rPr>
                <w:color w:val="auto"/>
              </w:rPr>
              <w:t>10</w:t>
            </w:r>
          </w:p>
        </w:tc>
        <w:tc>
          <w:tcPr>
            <w:tcW w:w="720" w:type="dxa"/>
            <w:vAlign w:val="center"/>
          </w:tcPr>
          <w:p w14:paraId="66315A16">
            <w:pPr>
              <w:pStyle w:val="44"/>
              <w:rPr>
                <w:color w:val="auto"/>
              </w:rPr>
            </w:pPr>
          </w:p>
        </w:tc>
        <w:tc>
          <w:tcPr>
            <w:tcW w:w="720" w:type="dxa"/>
            <w:vAlign w:val="center"/>
          </w:tcPr>
          <w:p w14:paraId="410290E7">
            <w:pPr>
              <w:pStyle w:val="44"/>
              <w:rPr>
                <w:color w:val="auto"/>
              </w:rPr>
            </w:pPr>
          </w:p>
        </w:tc>
      </w:tr>
      <w:tr w14:paraId="48FAB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89D1673">
            <w:pPr>
              <w:pStyle w:val="44"/>
              <w:rPr>
                <w:color w:val="auto"/>
              </w:rPr>
            </w:pPr>
            <w:r>
              <w:rPr>
                <w:color w:val="auto"/>
              </w:rPr>
              <w:t>2</w:t>
            </w:r>
          </w:p>
        </w:tc>
        <w:tc>
          <w:tcPr>
            <w:tcW w:w="543" w:type="dxa"/>
            <w:vMerge w:val="continue"/>
          </w:tcPr>
          <w:p w14:paraId="7E27AC52">
            <w:pPr>
              <w:pStyle w:val="44"/>
              <w:rPr>
                <w:color w:val="auto"/>
              </w:rPr>
            </w:pPr>
          </w:p>
        </w:tc>
        <w:tc>
          <w:tcPr>
            <w:tcW w:w="898" w:type="dxa"/>
            <w:vAlign w:val="center"/>
          </w:tcPr>
          <w:p w14:paraId="7DE67BB3">
            <w:pPr>
              <w:pStyle w:val="44"/>
              <w:rPr>
                <w:color w:val="auto"/>
              </w:rPr>
            </w:pPr>
            <w:r>
              <w:rPr>
                <w:rFonts w:hint="eastAsia"/>
                <w:color w:val="auto"/>
              </w:rPr>
              <w:t>监测</w:t>
            </w:r>
          </w:p>
        </w:tc>
        <w:tc>
          <w:tcPr>
            <w:tcW w:w="5580" w:type="dxa"/>
            <w:vAlign w:val="center"/>
          </w:tcPr>
          <w:p w14:paraId="5B3ED9BE">
            <w:pPr>
              <w:pStyle w:val="44"/>
              <w:jc w:val="left"/>
              <w:rPr>
                <w:color w:val="auto"/>
              </w:rPr>
            </w:pPr>
            <w:r>
              <w:rPr>
                <w:color w:val="auto"/>
              </w:rPr>
              <w:t>1</w:t>
            </w:r>
            <w:r>
              <w:rPr>
                <w:rFonts w:hint="eastAsia"/>
                <w:color w:val="auto"/>
              </w:rPr>
              <w:t>）栈桥和平台在施工前未设置变形观测基准点和观测点，扣</w:t>
            </w:r>
            <w:r>
              <w:rPr>
                <w:color w:val="auto"/>
              </w:rPr>
              <w:t>10</w:t>
            </w:r>
            <w:r>
              <w:rPr>
                <w:rFonts w:hint="eastAsia"/>
                <w:color w:val="auto"/>
              </w:rPr>
              <w:t>分</w:t>
            </w:r>
          </w:p>
          <w:p w14:paraId="788A6B98">
            <w:pPr>
              <w:pStyle w:val="44"/>
              <w:jc w:val="left"/>
              <w:rPr>
                <w:color w:val="auto"/>
              </w:rPr>
            </w:pPr>
            <w:r>
              <w:rPr>
                <w:color w:val="auto"/>
              </w:rPr>
              <w:t>2</w:t>
            </w:r>
            <w:r>
              <w:rPr>
                <w:rFonts w:hint="eastAsia"/>
                <w:color w:val="auto"/>
              </w:rPr>
              <w:t>）栈桥和平台在使用过程中未对水位和各部位的变形进行监测或未形成检测记录，扣</w:t>
            </w:r>
            <w:r>
              <w:rPr>
                <w:color w:val="auto"/>
              </w:rPr>
              <w:t>10</w:t>
            </w:r>
            <w:r>
              <w:rPr>
                <w:rFonts w:hint="eastAsia"/>
                <w:color w:val="auto"/>
              </w:rPr>
              <w:t>分</w:t>
            </w:r>
          </w:p>
        </w:tc>
        <w:tc>
          <w:tcPr>
            <w:tcW w:w="720" w:type="dxa"/>
            <w:vAlign w:val="center"/>
          </w:tcPr>
          <w:p w14:paraId="5A742539">
            <w:pPr>
              <w:pStyle w:val="44"/>
              <w:rPr>
                <w:color w:val="auto"/>
              </w:rPr>
            </w:pPr>
            <w:r>
              <w:rPr>
                <w:color w:val="auto"/>
              </w:rPr>
              <w:t>10</w:t>
            </w:r>
          </w:p>
        </w:tc>
        <w:tc>
          <w:tcPr>
            <w:tcW w:w="720" w:type="dxa"/>
            <w:vAlign w:val="center"/>
          </w:tcPr>
          <w:p w14:paraId="6AB7AA01">
            <w:pPr>
              <w:pStyle w:val="44"/>
              <w:rPr>
                <w:color w:val="auto"/>
              </w:rPr>
            </w:pPr>
          </w:p>
        </w:tc>
        <w:tc>
          <w:tcPr>
            <w:tcW w:w="720" w:type="dxa"/>
            <w:vAlign w:val="center"/>
          </w:tcPr>
          <w:p w14:paraId="718B1E97">
            <w:pPr>
              <w:pStyle w:val="44"/>
              <w:rPr>
                <w:color w:val="auto"/>
              </w:rPr>
            </w:pPr>
          </w:p>
        </w:tc>
      </w:tr>
      <w:tr w14:paraId="4F89C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DFFDDBF">
            <w:pPr>
              <w:pStyle w:val="44"/>
              <w:rPr>
                <w:color w:val="auto"/>
              </w:rPr>
            </w:pPr>
            <w:r>
              <w:rPr>
                <w:color w:val="auto"/>
              </w:rPr>
              <w:t>3</w:t>
            </w:r>
          </w:p>
        </w:tc>
        <w:tc>
          <w:tcPr>
            <w:tcW w:w="543" w:type="dxa"/>
            <w:vMerge w:val="continue"/>
          </w:tcPr>
          <w:p w14:paraId="7C5838C0">
            <w:pPr>
              <w:pStyle w:val="44"/>
              <w:rPr>
                <w:color w:val="auto"/>
              </w:rPr>
            </w:pPr>
          </w:p>
        </w:tc>
        <w:tc>
          <w:tcPr>
            <w:tcW w:w="898" w:type="dxa"/>
            <w:vAlign w:val="center"/>
          </w:tcPr>
          <w:p w14:paraId="0B8AE0E2">
            <w:pPr>
              <w:pStyle w:val="44"/>
              <w:rPr>
                <w:color w:val="auto"/>
              </w:rPr>
            </w:pPr>
            <w:r>
              <w:rPr>
                <w:rFonts w:hint="eastAsia"/>
                <w:color w:val="auto"/>
              </w:rPr>
              <w:t>安全防护</w:t>
            </w:r>
          </w:p>
        </w:tc>
        <w:tc>
          <w:tcPr>
            <w:tcW w:w="5580" w:type="dxa"/>
            <w:vAlign w:val="center"/>
          </w:tcPr>
          <w:p w14:paraId="4862B6C8">
            <w:pPr>
              <w:pStyle w:val="44"/>
              <w:jc w:val="left"/>
              <w:rPr>
                <w:color w:val="auto"/>
              </w:rPr>
            </w:pPr>
            <w:r>
              <w:rPr>
                <w:color w:val="auto"/>
              </w:rPr>
              <w:t>1</w:t>
            </w:r>
            <w:r>
              <w:rPr>
                <w:rFonts w:hint="eastAsia"/>
                <w:color w:val="auto"/>
              </w:rPr>
              <w:t>）栈桥与平台周边未按规定设置栏杆、挡脚板和安全立网，扣</w:t>
            </w:r>
            <w:r>
              <w:rPr>
                <w:color w:val="auto"/>
              </w:rPr>
              <w:t>10</w:t>
            </w:r>
            <w:r>
              <w:rPr>
                <w:rFonts w:hint="eastAsia"/>
                <w:color w:val="auto"/>
              </w:rPr>
              <w:t>分</w:t>
            </w:r>
          </w:p>
          <w:p w14:paraId="445AFB06">
            <w:pPr>
              <w:pStyle w:val="44"/>
              <w:jc w:val="left"/>
              <w:rPr>
                <w:color w:val="auto"/>
              </w:rPr>
            </w:pPr>
            <w:r>
              <w:rPr>
                <w:color w:val="auto"/>
              </w:rPr>
              <w:t>2</w:t>
            </w:r>
            <w:r>
              <w:rPr>
                <w:rFonts w:hint="eastAsia"/>
                <w:color w:val="auto"/>
              </w:rPr>
              <w:t>）通航水域栈桥与平台的临边栏杆未设置反光设施，或边角处应设置红色警示灯，扣</w:t>
            </w:r>
            <w:r>
              <w:rPr>
                <w:color w:val="auto"/>
              </w:rPr>
              <w:t>10</w:t>
            </w:r>
            <w:r>
              <w:rPr>
                <w:rFonts w:hint="eastAsia"/>
                <w:color w:val="auto"/>
              </w:rPr>
              <w:t>分</w:t>
            </w:r>
          </w:p>
          <w:p w14:paraId="6F69611C">
            <w:pPr>
              <w:pStyle w:val="44"/>
              <w:jc w:val="left"/>
              <w:rPr>
                <w:color w:val="auto"/>
              </w:rPr>
            </w:pPr>
            <w:r>
              <w:rPr>
                <w:color w:val="auto"/>
              </w:rPr>
              <w:t>3</w:t>
            </w:r>
            <w:r>
              <w:rPr>
                <w:rFonts w:hint="eastAsia"/>
                <w:color w:val="auto"/>
              </w:rPr>
              <w:t>）通过栈桥的电缆未采取良好的绝缘措施，或未在栈桥的一侧设置固定电缆的支架，扣</w:t>
            </w:r>
            <w:r>
              <w:rPr>
                <w:color w:val="auto"/>
              </w:rPr>
              <w:t>5</w:t>
            </w:r>
            <w:r>
              <w:rPr>
                <w:rFonts w:hint="eastAsia"/>
                <w:color w:val="auto"/>
              </w:rPr>
              <w:t>分</w:t>
            </w:r>
          </w:p>
          <w:p w14:paraId="1F45A551">
            <w:pPr>
              <w:pStyle w:val="44"/>
              <w:jc w:val="left"/>
              <w:rPr>
                <w:color w:val="auto"/>
              </w:rPr>
            </w:pPr>
            <w:r>
              <w:rPr>
                <w:color w:val="auto"/>
              </w:rPr>
              <w:t>4</w:t>
            </w:r>
            <w:r>
              <w:rPr>
                <w:rFonts w:hint="eastAsia"/>
                <w:color w:val="auto"/>
              </w:rPr>
              <w:t>）船舶停泊处水中栈桥与平台未设置船舶靠泊系揽桩，或船舶系缆于栈桥与平台结构上，扣</w:t>
            </w:r>
            <w:r>
              <w:rPr>
                <w:color w:val="auto"/>
              </w:rPr>
              <w:t>10</w:t>
            </w:r>
            <w:r>
              <w:rPr>
                <w:rFonts w:hint="eastAsia"/>
                <w:color w:val="auto"/>
              </w:rPr>
              <w:t>分</w:t>
            </w:r>
          </w:p>
          <w:p w14:paraId="274580C0">
            <w:pPr>
              <w:pStyle w:val="44"/>
              <w:jc w:val="left"/>
              <w:rPr>
                <w:color w:val="auto"/>
              </w:rPr>
            </w:pPr>
            <w:r>
              <w:rPr>
                <w:color w:val="auto"/>
              </w:rPr>
              <w:t>5</w:t>
            </w:r>
            <w:r>
              <w:rPr>
                <w:rFonts w:hint="eastAsia"/>
                <w:color w:val="auto"/>
              </w:rPr>
              <w:t>）通航水域的栈桥与平台未设置确保结构不会被船舶碰撞的防撞桩，扣</w:t>
            </w:r>
            <w:r>
              <w:rPr>
                <w:color w:val="auto"/>
              </w:rPr>
              <w:t>10</w:t>
            </w:r>
            <w:r>
              <w:rPr>
                <w:rFonts w:hint="eastAsia"/>
                <w:color w:val="auto"/>
              </w:rPr>
              <w:t>分</w:t>
            </w:r>
          </w:p>
          <w:p w14:paraId="7D1B74D0">
            <w:pPr>
              <w:pStyle w:val="44"/>
              <w:jc w:val="left"/>
              <w:rPr>
                <w:color w:val="auto"/>
              </w:rPr>
            </w:pPr>
            <w:r>
              <w:rPr>
                <w:color w:val="auto"/>
              </w:rPr>
              <w:t>6</w:t>
            </w:r>
            <w:r>
              <w:rPr>
                <w:rFonts w:hint="eastAsia"/>
                <w:color w:val="auto"/>
              </w:rPr>
              <w:t>）栈桥与平台上未配备足够的、各种类型的消防、救生器材，扣</w:t>
            </w:r>
            <w:r>
              <w:rPr>
                <w:color w:val="auto"/>
              </w:rPr>
              <w:t>10</w:t>
            </w:r>
            <w:r>
              <w:rPr>
                <w:rFonts w:hint="eastAsia"/>
                <w:color w:val="auto"/>
              </w:rPr>
              <w:t>分</w:t>
            </w:r>
          </w:p>
        </w:tc>
        <w:tc>
          <w:tcPr>
            <w:tcW w:w="720" w:type="dxa"/>
            <w:vAlign w:val="center"/>
          </w:tcPr>
          <w:p w14:paraId="0CB73D48">
            <w:pPr>
              <w:pStyle w:val="44"/>
              <w:rPr>
                <w:color w:val="auto"/>
              </w:rPr>
            </w:pPr>
            <w:r>
              <w:rPr>
                <w:color w:val="auto"/>
              </w:rPr>
              <w:t>10</w:t>
            </w:r>
          </w:p>
        </w:tc>
        <w:tc>
          <w:tcPr>
            <w:tcW w:w="720" w:type="dxa"/>
            <w:vAlign w:val="center"/>
          </w:tcPr>
          <w:p w14:paraId="3AD38656">
            <w:pPr>
              <w:pStyle w:val="44"/>
              <w:rPr>
                <w:color w:val="auto"/>
              </w:rPr>
            </w:pPr>
          </w:p>
        </w:tc>
        <w:tc>
          <w:tcPr>
            <w:tcW w:w="720" w:type="dxa"/>
            <w:vAlign w:val="center"/>
          </w:tcPr>
          <w:p w14:paraId="4B6F47C1">
            <w:pPr>
              <w:pStyle w:val="44"/>
              <w:rPr>
                <w:color w:val="auto"/>
              </w:rPr>
            </w:pPr>
          </w:p>
        </w:tc>
      </w:tr>
      <w:tr w14:paraId="7566A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AA5CF1A">
            <w:pPr>
              <w:pStyle w:val="44"/>
              <w:rPr>
                <w:color w:val="auto"/>
              </w:rPr>
            </w:pPr>
          </w:p>
        </w:tc>
        <w:tc>
          <w:tcPr>
            <w:tcW w:w="543" w:type="dxa"/>
            <w:vMerge w:val="continue"/>
          </w:tcPr>
          <w:p w14:paraId="7FC13849">
            <w:pPr>
              <w:pStyle w:val="44"/>
              <w:rPr>
                <w:color w:val="auto"/>
              </w:rPr>
            </w:pPr>
          </w:p>
        </w:tc>
        <w:tc>
          <w:tcPr>
            <w:tcW w:w="6478" w:type="dxa"/>
            <w:gridSpan w:val="2"/>
            <w:vAlign w:val="center"/>
          </w:tcPr>
          <w:p w14:paraId="2B96E1B7">
            <w:pPr>
              <w:pStyle w:val="44"/>
              <w:rPr>
                <w:b/>
                <w:bCs w:val="0"/>
                <w:color w:val="auto"/>
              </w:rPr>
            </w:pPr>
            <w:r>
              <w:rPr>
                <w:rFonts w:hint="eastAsia"/>
                <w:b/>
                <w:bCs w:val="0"/>
                <w:color w:val="auto"/>
              </w:rPr>
              <w:t>小</w:t>
            </w:r>
            <w:r>
              <w:rPr>
                <w:b/>
                <w:bCs w:val="0"/>
                <w:color w:val="auto"/>
              </w:rPr>
              <w:t xml:space="preserve">  </w:t>
            </w:r>
            <w:r>
              <w:rPr>
                <w:rFonts w:hint="eastAsia"/>
                <w:b/>
                <w:bCs w:val="0"/>
                <w:color w:val="auto"/>
              </w:rPr>
              <w:t>计</w:t>
            </w:r>
          </w:p>
        </w:tc>
        <w:tc>
          <w:tcPr>
            <w:tcW w:w="720" w:type="dxa"/>
            <w:vAlign w:val="center"/>
          </w:tcPr>
          <w:p w14:paraId="078A347C">
            <w:pPr>
              <w:pStyle w:val="44"/>
              <w:rPr>
                <w:color w:val="auto"/>
              </w:rPr>
            </w:pPr>
            <w:r>
              <w:rPr>
                <w:color w:val="auto"/>
              </w:rPr>
              <w:t>30</w:t>
            </w:r>
          </w:p>
        </w:tc>
        <w:tc>
          <w:tcPr>
            <w:tcW w:w="720" w:type="dxa"/>
            <w:vAlign w:val="center"/>
          </w:tcPr>
          <w:p w14:paraId="4A2BE318">
            <w:pPr>
              <w:pStyle w:val="44"/>
              <w:rPr>
                <w:color w:val="auto"/>
              </w:rPr>
            </w:pPr>
          </w:p>
        </w:tc>
        <w:tc>
          <w:tcPr>
            <w:tcW w:w="720" w:type="dxa"/>
            <w:vAlign w:val="center"/>
          </w:tcPr>
          <w:p w14:paraId="7FD1667A">
            <w:pPr>
              <w:pStyle w:val="44"/>
              <w:rPr>
                <w:color w:val="auto"/>
              </w:rPr>
            </w:pPr>
          </w:p>
        </w:tc>
      </w:tr>
      <w:tr w14:paraId="0194B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560" w:type="dxa"/>
            <w:gridSpan w:val="4"/>
            <w:vAlign w:val="center"/>
          </w:tcPr>
          <w:p w14:paraId="0A78880C">
            <w:pPr>
              <w:pStyle w:val="44"/>
              <w:rPr>
                <w:b/>
                <w:bCs w:val="0"/>
                <w:color w:val="auto"/>
              </w:rPr>
            </w:pPr>
            <w:r>
              <w:rPr>
                <w:rFonts w:hint="eastAsia"/>
                <w:b/>
                <w:bCs w:val="0"/>
                <w:color w:val="auto"/>
              </w:rPr>
              <w:t>检查项目合计</w:t>
            </w:r>
          </w:p>
        </w:tc>
        <w:tc>
          <w:tcPr>
            <w:tcW w:w="720" w:type="dxa"/>
            <w:vAlign w:val="center"/>
          </w:tcPr>
          <w:p w14:paraId="243C5D16">
            <w:pPr>
              <w:pStyle w:val="44"/>
              <w:rPr>
                <w:color w:val="auto"/>
              </w:rPr>
            </w:pPr>
            <w:r>
              <w:rPr>
                <w:color w:val="auto"/>
              </w:rPr>
              <w:t>100</w:t>
            </w:r>
          </w:p>
        </w:tc>
        <w:tc>
          <w:tcPr>
            <w:tcW w:w="720" w:type="dxa"/>
            <w:vAlign w:val="center"/>
          </w:tcPr>
          <w:p w14:paraId="11808A54">
            <w:pPr>
              <w:pStyle w:val="44"/>
              <w:rPr>
                <w:color w:val="auto"/>
              </w:rPr>
            </w:pPr>
          </w:p>
        </w:tc>
        <w:tc>
          <w:tcPr>
            <w:tcW w:w="720" w:type="dxa"/>
            <w:vAlign w:val="center"/>
          </w:tcPr>
          <w:p w14:paraId="4D7A2721">
            <w:pPr>
              <w:pStyle w:val="44"/>
              <w:rPr>
                <w:color w:val="auto"/>
              </w:rPr>
            </w:pPr>
          </w:p>
        </w:tc>
      </w:tr>
    </w:tbl>
    <w:p w14:paraId="21476B18"/>
    <w:p w14:paraId="7690E3A9">
      <w:pPr>
        <w:pStyle w:val="5"/>
      </w:pPr>
      <w:r>
        <w:rPr>
          <w:rFonts w:hint="eastAsia"/>
        </w:rPr>
        <w:br w:type="page"/>
      </w:r>
      <w:bookmarkStart w:id="52" w:name="_Toc15878"/>
      <w:bookmarkStart w:id="53" w:name="_Toc5839"/>
      <w:bookmarkStart w:id="54" w:name="_Toc14953"/>
      <w:r>
        <w:rPr>
          <w:rFonts w:hint="eastAsia"/>
        </w:rPr>
        <w:t>表B.15  猫道检查</w:t>
      </w:r>
      <w:r>
        <w:t>评分表</w:t>
      </w:r>
      <w:bookmarkEnd w:id="52"/>
      <w:bookmarkEnd w:id="53"/>
      <w:bookmarkEnd w:id="54"/>
    </w:p>
    <w:tbl>
      <w:tblPr>
        <w:tblStyle w:val="19"/>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619E9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jc w:val="center"/>
        </w:trPr>
        <w:tc>
          <w:tcPr>
            <w:tcW w:w="539" w:type="dxa"/>
            <w:vAlign w:val="center"/>
          </w:tcPr>
          <w:p w14:paraId="66D47662">
            <w:pPr>
              <w:pStyle w:val="44"/>
              <w:rPr>
                <w:color w:val="auto"/>
              </w:rPr>
            </w:pPr>
            <w:r>
              <w:rPr>
                <w:rFonts w:hint="eastAsia"/>
                <w:color w:val="auto"/>
              </w:rPr>
              <w:t>序号</w:t>
            </w:r>
          </w:p>
        </w:tc>
        <w:tc>
          <w:tcPr>
            <w:tcW w:w="1441" w:type="dxa"/>
            <w:gridSpan w:val="2"/>
            <w:vAlign w:val="center"/>
          </w:tcPr>
          <w:p w14:paraId="08D7AC09">
            <w:pPr>
              <w:pStyle w:val="44"/>
              <w:rPr>
                <w:color w:val="auto"/>
              </w:rPr>
            </w:pPr>
            <w:r>
              <w:rPr>
                <w:rFonts w:hint="eastAsia"/>
                <w:color w:val="auto"/>
              </w:rPr>
              <w:t>检查项目</w:t>
            </w:r>
          </w:p>
        </w:tc>
        <w:tc>
          <w:tcPr>
            <w:tcW w:w="5580" w:type="dxa"/>
            <w:vAlign w:val="center"/>
          </w:tcPr>
          <w:p w14:paraId="4D03B55B">
            <w:pPr>
              <w:pStyle w:val="44"/>
              <w:rPr>
                <w:color w:val="auto"/>
              </w:rPr>
            </w:pPr>
            <w:r>
              <w:rPr>
                <w:rFonts w:hint="eastAsia"/>
                <w:color w:val="auto"/>
              </w:rPr>
              <w:t>扣</w:t>
            </w:r>
            <w:r>
              <w:rPr>
                <w:color w:val="auto"/>
              </w:rPr>
              <w:t xml:space="preserve"> </w:t>
            </w:r>
            <w:r>
              <w:rPr>
                <w:rFonts w:hint="eastAsia"/>
                <w:color w:val="auto"/>
              </w:rPr>
              <w:t>分</w:t>
            </w:r>
            <w:r>
              <w:rPr>
                <w:color w:val="auto"/>
              </w:rPr>
              <w:t xml:space="preserve"> </w:t>
            </w:r>
            <w:r>
              <w:rPr>
                <w:rFonts w:hint="eastAsia"/>
                <w:color w:val="auto"/>
              </w:rPr>
              <w:t>标</w:t>
            </w:r>
            <w:r>
              <w:rPr>
                <w:color w:val="auto"/>
              </w:rPr>
              <w:t xml:space="preserve"> </w:t>
            </w:r>
            <w:r>
              <w:rPr>
                <w:rFonts w:hint="eastAsia"/>
                <w:color w:val="auto"/>
              </w:rPr>
              <w:t>准</w:t>
            </w:r>
          </w:p>
        </w:tc>
        <w:tc>
          <w:tcPr>
            <w:tcW w:w="720" w:type="dxa"/>
            <w:vAlign w:val="center"/>
          </w:tcPr>
          <w:p w14:paraId="5A681CE2">
            <w:pPr>
              <w:pStyle w:val="44"/>
              <w:rPr>
                <w:color w:val="auto"/>
              </w:rPr>
            </w:pPr>
            <w:r>
              <w:rPr>
                <w:rFonts w:hint="eastAsia"/>
                <w:color w:val="auto"/>
              </w:rPr>
              <w:t>应得</w:t>
            </w:r>
          </w:p>
          <w:p w14:paraId="142FE8A0">
            <w:pPr>
              <w:pStyle w:val="44"/>
              <w:rPr>
                <w:color w:val="auto"/>
              </w:rPr>
            </w:pPr>
            <w:r>
              <w:rPr>
                <w:rFonts w:hint="eastAsia"/>
                <w:color w:val="auto"/>
              </w:rPr>
              <w:t>分数</w:t>
            </w:r>
          </w:p>
        </w:tc>
        <w:tc>
          <w:tcPr>
            <w:tcW w:w="720" w:type="dxa"/>
            <w:vAlign w:val="center"/>
          </w:tcPr>
          <w:p w14:paraId="6C56C8A2">
            <w:pPr>
              <w:pStyle w:val="44"/>
              <w:rPr>
                <w:color w:val="auto"/>
              </w:rPr>
            </w:pPr>
            <w:r>
              <w:rPr>
                <w:rFonts w:hint="eastAsia"/>
                <w:color w:val="auto"/>
              </w:rPr>
              <w:t>扣减</w:t>
            </w:r>
          </w:p>
          <w:p w14:paraId="0AF3F205">
            <w:pPr>
              <w:pStyle w:val="44"/>
              <w:rPr>
                <w:color w:val="auto"/>
              </w:rPr>
            </w:pPr>
            <w:r>
              <w:rPr>
                <w:rFonts w:hint="eastAsia"/>
                <w:color w:val="auto"/>
              </w:rPr>
              <w:t>分数</w:t>
            </w:r>
          </w:p>
        </w:tc>
        <w:tc>
          <w:tcPr>
            <w:tcW w:w="720" w:type="dxa"/>
            <w:vAlign w:val="center"/>
          </w:tcPr>
          <w:p w14:paraId="383D2C64">
            <w:pPr>
              <w:pStyle w:val="44"/>
              <w:rPr>
                <w:color w:val="auto"/>
              </w:rPr>
            </w:pPr>
            <w:r>
              <w:rPr>
                <w:rFonts w:hint="eastAsia"/>
                <w:color w:val="auto"/>
              </w:rPr>
              <w:t>实得</w:t>
            </w:r>
          </w:p>
          <w:p w14:paraId="500F2B90">
            <w:pPr>
              <w:pStyle w:val="44"/>
              <w:rPr>
                <w:color w:val="auto"/>
              </w:rPr>
            </w:pPr>
            <w:r>
              <w:rPr>
                <w:rFonts w:hint="eastAsia"/>
                <w:color w:val="auto"/>
              </w:rPr>
              <w:t>分数</w:t>
            </w:r>
          </w:p>
        </w:tc>
      </w:tr>
      <w:tr w14:paraId="74380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3CF26A2C">
            <w:pPr>
              <w:pStyle w:val="44"/>
              <w:rPr>
                <w:color w:val="auto"/>
              </w:rPr>
            </w:pPr>
            <w:r>
              <w:rPr>
                <w:color w:val="auto"/>
              </w:rPr>
              <w:t>1</w:t>
            </w:r>
          </w:p>
        </w:tc>
        <w:tc>
          <w:tcPr>
            <w:tcW w:w="543" w:type="dxa"/>
            <w:vMerge w:val="restart"/>
            <w:vAlign w:val="center"/>
          </w:tcPr>
          <w:p w14:paraId="0F6B05AE">
            <w:pPr>
              <w:pStyle w:val="44"/>
              <w:rPr>
                <w:color w:val="auto"/>
              </w:rPr>
            </w:pPr>
            <w:r>
              <w:rPr>
                <w:rFonts w:hint="eastAsia"/>
                <w:color w:val="auto"/>
              </w:rPr>
              <w:t>保</w:t>
            </w:r>
          </w:p>
          <w:p w14:paraId="18D0E958">
            <w:pPr>
              <w:pStyle w:val="44"/>
              <w:rPr>
                <w:color w:val="auto"/>
              </w:rPr>
            </w:pPr>
            <w:r>
              <w:rPr>
                <w:rFonts w:hint="eastAsia"/>
                <w:color w:val="auto"/>
              </w:rPr>
              <w:t>证</w:t>
            </w:r>
          </w:p>
          <w:p w14:paraId="138842A2">
            <w:pPr>
              <w:pStyle w:val="44"/>
              <w:rPr>
                <w:color w:val="auto"/>
              </w:rPr>
            </w:pPr>
            <w:r>
              <w:rPr>
                <w:rFonts w:hint="eastAsia"/>
                <w:color w:val="auto"/>
              </w:rPr>
              <w:t>项</w:t>
            </w:r>
          </w:p>
          <w:p w14:paraId="3C2D3F3B">
            <w:pPr>
              <w:pStyle w:val="44"/>
              <w:rPr>
                <w:color w:val="auto"/>
              </w:rPr>
            </w:pPr>
            <w:r>
              <w:rPr>
                <w:rFonts w:hint="eastAsia"/>
                <w:color w:val="auto"/>
              </w:rPr>
              <w:t>目</w:t>
            </w:r>
          </w:p>
        </w:tc>
        <w:tc>
          <w:tcPr>
            <w:tcW w:w="898" w:type="dxa"/>
            <w:vAlign w:val="center"/>
          </w:tcPr>
          <w:p w14:paraId="4E4279C6">
            <w:pPr>
              <w:pStyle w:val="44"/>
              <w:rPr>
                <w:color w:val="auto"/>
              </w:rPr>
            </w:pPr>
            <w:r>
              <w:rPr>
                <w:rFonts w:hint="eastAsia"/>
                <w:color w:val="auto"/>
              </w:rPr>
              <w:t>方案与交底</w:t>
            </w:r>
          </w:p>
        </w:tc>
        <w:tc>
          <w:tcPr>
            <w:tcW w:w="5580" w:type="dxa"/>
            <w:vAlign w:val="center"/>
          </w:tcPr>
          <w:p w14:paraId="711E0401">
            <w:pPr>
              <w:pStyle w:val="44"/>
              <w:jc w:val="left"/>
              <w:rPr>
                <w:color w:val="auto"/>
              </w:rPr>
            </w:pPr>
            <w:r>
              <w:rPr>
                <w:color w:val="auto"/>
              </w:rPr>
              <w:t>1</w:t>
            </w:r>
            <w:r>
              <w:rPr>
                <w:rFonts w:hint="eastAsia"/>
                <w:color w:val="auto"/>
              </w:rPr>
              <w:t>）未按规定编制专项施工方案，扣</w:t>
            </w:r>
            <w:r>
              <w:rPr>
                <w:color w:val="auto"/>
              </w:rPr>
              <w:t>10</w:t>
            </w:r>
            <w:r>
              <w:rPr>
                <w:rFonts w:hint="eastAsia"/>
                <w:color w:val="auto"/>
              </w:rPr>
              <w:t>分</w:t>
            </w:r>
          </w:p>
          <w:p w14:paraId="55B776A7">
            <w:pPr>
              <w:pStyle w:val="44"/>
              <w:jc w:val="left"/>
              <w:rPr>
                <w:color w:val="auto"/>
              </w:rPr>
            </w:pPr>
            <w:r>
              <w:rPr>
                <w:color w:val="auto"/>
              </w:rPr>
              <w:t>2</w:t>
            </w:r>
            <w:r>
              <w:rPr>
                <w:rFonts w:hint="eastAsia"/>
                <w:color w:val="auto"/>
              </w:rPr>
              <w:t>）未编制设计文件，扣</w:t>
            </w:r>
            <w:r>
              <w:rPr>
                <w:color w:val="auto"/>
              </w:rPr>
              <w:t>10</w:t>
            </w:r>
            <w:r>
              <w:rPr>
                <w:rFonts w:hint="eastAsia"/>
                <w:color w:val="auto"/>
              </w:rPr>
              <w:t>分</w:t>
            </w:r>
          </w:p>
          <w:p w14:paraId="67D3EB9E">
            <w:pPr>
              <w:pStyle w:val="44"/>
              <w:jc w:val="left"/>
              <w:rPr>
                <w:color w:val="auto"/>
              </w:rPr>
            </w:pPr>
            <w:r>
              <w:rPr>
                <w:color w:val="auto"/>
              </w:rPr>
              <w:t>3</w:t>
            </w:r>
            <w:r>
              <w:rPr>
                <w:rFonts w:hint="eastAsia"/>
                <w:color w:val="auto"/>
              </w:rPr>
              <w:t>）未对猫道系统结构、构件和附属设施进行设计计算，扣</w:t>
            </w:r>
            <w:r>
              <w:rPr>
                <w:color w:val="auto"/>
              </w:rPr>
              <w:t>10</w:t>
            </w:r>
            <w:r>
              <w:rPr>
                <w:rFonts w:hint="eastAsia"/>
                <w:color w:val="auto"/>
              </w:rPr>
              <w:t>分</w:t>
            </w:r>
          </w:p>
          <w:p w14:paraId="0CC67514">
            <w:pPr>
              <w:pStyle w:val="44"/>
              <w:jc w:val="left"/>
              <w:rPr>
                <w:color w:val="auto"/>
              </w:rPr>
            </w:pPr>
            <w:r>
              <w:rPr>
                <w:color w:val="auto"/>
              </w:rPr>
              <w:t>4</w:t>
            </w:r>
            <w:r>
              <w:rPr>
                <w:rFonts w:hint="eastAsia"/>
                <w:color w:val="auto"/>
              </w:rPr>
              <w:t>）设计文件中图纸或计算书不齐全，扣</w:t>
            </w:r>
            <w:r>
              <w:rPr>
                <w:color w:val="auto"/>
              </w:rPr>
              <w:t>2-10</w:t>
            </w:r>
            <w:r>
              <w:rPr>
                <w:rFonts w:hint="eastAsia"/>
                <w:color w:val="auto"/>
              </w:rPr>
              <w:t>分</w:t>
            </w:r>
          </w:p>
          <w:p w14:paraId="23AB1F56">
            <w:pPr>
              <w:pStyle w:val="44"/>
              <w:jc w:val="left"/>
              <w:rPr>
                <w:color w:val="auto"/>
              </w:rPr>
            </w:pPr>
            <w:r>
              <w:rPr>
                <w:color w:val="auto"/>
              </w:rPr>
              <w:t>5</w:t>
            </w:r>
            <w:r>
              <w:rPr>
                <w:rFonts w:hint="eastAsia"/>
                <w:color w:val="auto"/>
              </w:rPr>
              <w:t>）专项施工方案未按规定进行审核、审批，扣</w:t>
            </w:r>
            <w:r>
              <w:rPr>
                <w:color w:val="auto"/>
              </w:rPr>
              <w:t>10</w:t>
            </w:r>
            <w:r>
              <w:rPr>
                <w:rFonts w:hint="eastAsia"/>
                <w:color w:val="auto"/>
              </w:rPr>
              <w:t>分</w:t>
            </w:r>
          </w:p>
          <w:p w14:paraId="4F3C869D">
            <w:pPr>
              <w:pStyle w:val="44"/>
              <w:jc w:val="left"/>
              <w:rPr>
                <w:color w:val="auto"/>
              </w:rPr>
            </w:pPr>
            <w:r>
              <w:rPr>
                <w:color w:val="auto"/>
              </w:rPr>
              <w:t>6</w:t>
            </w:r>
            <w:r>
              <w:rPr>
                <w:rFonts w:hint="eastAsia"/>
                <w:color w:val="auto"/>
              </w:rPr>
              <w:t>）专项施工方案未按规定组织专家论证，扣</w:t>
            </w:r>
            <w:r>
              <w:rPr>
                <w:color w:val="auto"/>
              </w:rPr>
              <w:t>10</w:t>
            </w:r>
            <w:r>
              <w:rPr>
                <w:rFonts w:hint="eastAsia"/>
                <w:color w:val="auto"/>
              </w:rPr>
              <w:t>分</w:t>
            </w:r>
          </w:p>
          <w:p w14:paraId="4742EAB5">
            <w:pPr>
              <w:pStyle w:val="44"/>
              <w:jc w:val="left"/>
              <w:rPr>
                <w:color w:val="auto"/>
              </w:rPr>
            </w:pPr>
            <w:r>
              <w:rPr>
                <w:color w:val="auto"/>
              </w:rPr>
              <w:t>7</w:t>
            </w:r>
            <w:r>
              <w:rPr>
                <w:rFonts w:hint="eastAsia"/>
                <w:color w:val="auto"/>
              </w:rPr>
              <w:t>）专项施工方案实施前，未进行安全技术交底，扣</w:t>
            </w:r>
            <w:r>
              <w:rPr>
                <w:color w:val="auto"/>
              </w:rPr>
              <w:t>10</w:t>
            </w:r>
            <w:r>
              <w:rPr>
                <w:rFonts w:hint="eastAsia"/>
                <w:color w:val="auto"/>
              </w:rPr>
              <w:t>分；交底无针对性或无文字记录，扣</w:t>
            </w:r>
            <w:r>
              <w:rPr>
                <w:color w:val="auto"/>
              </w:rPr>
              <w:t>2-5</w:t>
            </w:r>
            <w:r>
              <w:rPr>
                <w:rFonts w:hint="eastAsia"/>
                <w:color w:val="auto"/>
              </w:rPr>
              <w:t>分</w:t>
            </w:r>
          </w:p>
        </w:tc>
        <w:tc>
          <w:tcPr>
            <w:tcW w:w="720" w:type="dxa"/>
            <w:vAlign w:val="center"/>
          </w:tcPr>
          <w:p w14:paraId="6AF8570B">
            <w:pPr>
              <w:pStyle w:val="44"/>
              <w:rPr>
                <w:color w:val="auto"/>
              </w:rPr>
            </w:pPr>
            <w:r>
              <w:rPr>
                <w:color w:val="auto"/>
              </w:rPr>
              <w:t>10</w:t>
            </w:r>
          </w:p>
        </w:tc>
        <w:tc>
          <w:tcPr>
            <w:tcW w:w="720" w:type="dxa"/>
            <w:vAlign w:val="center"/>
          </w:tcPr>
          <w:p w14:paraId="757F1747">
            <w:pPr>
              <w:pStyle w:val="44"/>
              <w:rPr>
                <w:color w:val="auto"/>
              </w:rPr>
            </w:pPr>
          </w:p>
        </w:tc>
        <w:tc>
          <w:tcPr>
            <w:tcW w:w="720" w:type="dxa"/>
            <w:vAlign w:val="center"/>
          </w:tcPr>
          <w:p w14:paraId="19DE35BE">
            <w:pPr>
              <w:pStyle w:val="44"/>
              <w:rPr>
                <w:color w:val="auto"/>
              </w:rPr>
            </w:pPr>
          </w:p>
        </w:tc>
      </w:tr>
      <w:tr w14:paraId="070C7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536CE835">
            <w:pPr>
              <w:pStyle w:val="44"/>
              <w:rPr>
                <w:color w:val="auto"/>
              </w:rPr>
            </w:pPr>
            <w:r>
              <w:rPr>
                <w:color w:val="auto"/>
              </w:rPr>
              <w:t>2</w:t>
            </w:r>
          </w:p>
        </w:tc>
        <w:tc>
          <w:tcPr>
            <w:tcW w:w="543" w:type="dxa"/>
            <w:vMerge w:val="continue"/>
          </w:tcPr>
          <w:p w14:paraId="4BB07FA8">
            <w:pPr>
              <w:pStyle w:val="44"/>
              <w:rPr>
                <w:color w:val="auto"/>
              </w:rPr>
            </w:pPr>
          </w:p>
        </w:tc>
        <w:tc>
          <w:tcPr>
            <w:tcW w:w="898" w:type="dxa"/>
            <w:vAlign w:val="center"/>
          </w:tcPr>
          <w:p w14:paraId="4B42CA57">
            <w:pPr>
              <w:pStyle w:val="44"/>
              <w:rPr>
                <w:color w:val="auto"/>
              </w:rPr>
            </w:pPr>
            <w:r>
              <w:rPr>
                <w:rFonts w:hint="eastAsia"/>
                <w:color w:val="auto"/>
              </w:rPr>
              <w:t>构配件材质</w:t>
            </w:r>
          </w:p>
        </w:tc>
        <w:tc>
          <w:tcPr>
            <w:tcW w:w="5580" w:type="dxa"/>
            <w:vAlign w:val="center"/>
          </w:tcPr>
          <w:p w14:paraId="2CF116E0">
            <w:pPr>
              <w:pStyle w:val="44"/>
              <w:jc w:val="left"/>
              <w:rPr>
                <w:color w:val="auto"/>
              </w:rPr>
            </w:pPr>
            <w:r>
              <w:rPr>
                <w:color w:val="auto"/>
              </w:rPr>
              <w:t>1</w:t>
            </w:r>
            <w:r>
              <w:rPr>
                <w:rFonts w:hint="eastAsia"/>
                <w:color w:val="auto"/>
              </w:rPr>
              <w:t>）猫道系统所用的各类钢丝绳或构配件无质量合格证、材质证明，扣</w:t>
            </w:r>
            <w:r>
              <w:rPr>
                <w:color w:val="auto"/>
              </w:rPr>
              <w:t>10</w:t>
            </w:r>
            <w:r>
              <w:rPr>
                <w:rFonts w:hint="eastAsia"/>
                <w:color w:val="auto"/>
              </w:rPr>
              <w:t>分；其品种、规格、型号、材质不符合方案设计和有关标准的要求，扣</w:t>
            </w:r>
            <w:r>
              <w:rPr>
                <w:color w:val="auto"/>
              </w:rPr>
              <w:t>5-10</w:t>
            </w:r>
            <w:r>
              <w:rPr>
                <w:rFonts w:hint="eastAsia"/>
                <w:color w:val="auto"/>
              </w:rPr>
              <w:t>分</w:t>
            </w:r>
          </w:p>
          <w:p w14:paraId="4BE6CB25">
            <w:pPr>
              <w:pStyle w:val="44"/>
              <w:jc w:val="left"/>
              <w:rPr>
                <w:color w:val="auto"/>
              </w:rPr>
            </w:pPr>
            <w:r>
              <w:rPr>
                <w:color w:val="auto"/>
              </w:rPr>
              <w:t>2</w:t>
            </w:r>
            <w:r>
              <w:rPr>
                <w:rFonts w:hint="eastAsia"/>
                <w:color w:val="auto"/>
              </w:rPr>
              <w:t>）构配件品种、规格、型号、材质不符合专项施工方案和有关标准的要求，扣</w:t>
            </w:r>
            <w:r>
              <w:rPr>
                <w:color w:val="auto"/>
              </w:rPr>
              <w:t>5-10</w:t>
            </w:r>
            <w:r>
              <w:rPr>
                <w:rFonts w:hint="eastAsia"/>
                <w:color w:val="auto"/>
              </w:rPr>
              <w:t>分</w:t>
            </w:r>
          </w:p>
          <w:p w14:paraId="195E61BF">
            <w:pPr>
              <w:pStyle w:val="44"/>
              <w:jc w:val="left"/>
              <w:rPr>
                <w:color w:val="auto"/>
              </w:rPr>
            </w:pPr>
            <w:r>
              <w:rPr>
                <w:color w:val="auto"/>
              </w:rPr>
              <w:t>3</w:t>
            </w:r>
            <w:r>
              <w:rPr>
                <w:rFonts w:hint="eastAsia"/>
                <w:color w:val="auto"/>
              </w:rPr>
              <w:t>）猫道系统钢丝绳热铸锚头及套筒无无损探伤检测记录，扣</w:t>
            </w:r>
            <w:r>
              <w:rPr>
                <w:color w:val="auto"/>
              </w:rPr>
              <w:t>5</w:t>
            </w:r>
            <w:r>
              <w:rPr>
                <w:rFonts w:hint="eastAsia"/>
                <w:color w:val="auto"/>
              </w:rPr>
              <w:t>分</w:t>
            </w:r>
          </w:p>
          <w:p w14:paraId="5DF452EF">
            <w:pPr>
              <w:pStyle w:val="44"/>
              <w:jc w:val="left"/>
              <w:rPr>
                <w:color w:val="auto"/>
              </w:rPr>
            </w:pPr>
            <w:r>
              <w:rPr>
                <w:color w:val="auto"/>
              </w:rPr>
              <w:t>4</w:t>
            </w:r>
            <w:r>
              <w:rPr>
                <w:rFonts w:hint="eastAsia"/>
                <w:color w:val="auto"/>
              </w:rPr>
              <w:t>）所采用的精轧螺纹钢筋、锚具及索具（含销轴）未对原材料和加工成品件进行探伤检查，或无验收记录，扣</w:t>
            </w:r>
            <w:r>
              <w:rPr>
                <w:color w:val="auto"/>
              </w:rPr>
              <w:t>5</w:t>
            </w:r>
            <w:r>
              <w:rPr>
                <w:rFonts w:hint="eastAsia"/>
                <w:color w:val="auto"/>
              </w:rPr>
              <w:t>分</w:t>
            </w:r>
          </w:p>
          <w:p w14:paraId="209D5ECF">
            <w:pPr>
              <w:pStyle w:val="44"/>
              <w:jc w:val="left"/>
              <w:rPr>
                <w:color w:val="auto"/>
              </w:rPr>
            </w:pPr>
            <w:r>
              <w:rPr>
                <w:color w:val="auto"/>
              </w:rPr>
              <w:t>5</w:t>
            </w:r>
            <w:r>
              <w:rPr>
                <w:rFonts w:hint="eastAsia"/>
                <w:color w:val="auto"/>
              </w:rPr>
              <w:t>）猫道系统所采用的液压或卷扬装置无产品合格证，扣</w:t>
            </w:r>
            <w:r>
              <w:rPr>
                <w:color w:val="auto"/>
              </w:rPr>
              <w:t>5</w:t>
            </w:r>
            <w:r>
              <w:rPr>
                <w:rFonts w:hint="eastAsia"/>
                <w:color w:val="auto"/>
              </w:rPr>
              <w:t>分</w:t>
            </w:r>
          </w:p>
          <w:p w14:paraId="5B72248B">
            <w:pPr>
              <w:pStyle w:val="44"/>
              <w:jc w:val="left"/>
              <w:rPr>
                <w:color w:val="auto"/>
              </w:rPr>
            </w:pPr>
            <w:r>
              <w:rPr>
                <w:color w:val="auto"/>
              </w:rPr>
              <w:t>6</w:t>
            </w:r>
            <w:r>
              <w:rPr>
                <w:rFonts w:hint="eastAsia"/>
                <w:color w:val="auto"/>
              </w:rPr>
              <w:t>）构配件有明显的变形、锈蚀及外观缺陷，扣</w:t>
            </w:r>
            <w:r>
              <w:rPr>
                <w:color w:val="auto"/>
              </w:rPr>
              <w:t>2-5</w:t>
            </w:r>
            <w:r>
              <w:rPr>
                <w:rFonts w:hint="eastAsia"/>
                <w:color w:val="auto"/>
              </w:rPr>
              <w:t>分</w:t>
            </w:r>
          </w:p>
        </w:tc>
        <w:tc>
          <w:tcPr>
            <w:tcW w:w="720" w:type="dxa"/>
            <w:vAlign w:val="center"/>
          </w:tcPr>
          <w:p w14:paraId="01DD149E">
            <w:pPr>
              <w:pStyle w:val="44"/>
              <w:rPr>
                <w:color w:val="auto"/>
              </w:rPr>
            </w:pPr>
            <w:r>
              <w:rPr>
                <w:color w:val="auto"/>
              </w:rPr>
              <w:t>10</w:t>
            </w:r>
          </w:p>
        </w:tc>
        <w:tc>
          <w:tcPr>
            <w:tcW w:w="720" w:type="dxa"/>
            <w:vAlign w:val="center"/>
          </w:tcPr>
          <w:p w14:paraId="791EB330">
            <w:pPr>
              <w:pStyle w:val="44"/>
              <w:rPr>
                <w:color w:val="auto"/>
              </w:rPr>
            </w:pPr>
          </w:p>
        </w:tc>
        <w:tc>
          <w:tcPr>
            <w:tcW w:w="720" w:type="dxa"/>
            <w:vAlign w:val="center"/>
          </w:tcPr>
          <w:p w14:paraId="716F7661">
            <w:pPr>
              <w:pStyle w:val="44"/>
              <w:rPr>
                <w:color w:val="auto"/>
              </w:rPr>
            </w:pPr>
          </w:p>
        </w:tc>
      </w:tr>
      <w:tr w14:paraId="1F42F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98ED89F">
            <w:pPr>
              <w:pStyle w:val="44"/>
              <w:rPr>
                <w:color w:val="auto"/>
              </w:rPr>
            </w:pPr>
            <w:r>
              <w:rPr>
                <w:color w:val="auto"/>
              </w:rPr>
              <w:t>3</w:t>
            </w:r>
          </w:p>
        </w:tc>
        <w:tc>
          <w:tcPr>
            <w:tcW w:w="543" w:type="dxa"/>
            <w:vMerge w:val="continue"/>
          </w:tcPr>
          <w:p w14:paraId="65F3C18D">
            <w:pPr>
              <w:pStyle w:val="44"/>
              <w:rPr>
                <w:color w:val="auto"/>
              </w:rPr>
            </w:pPr>
          </w:p>
        </w:tc>
        <w:tc>
          <w:tcPr>
            <w:tcW w:w="898" w:type="dxa"/>
            <w:vAlign w:val="center"/>
          </w:tcPr>
          <w:p w14:paraId="3F78985B">
            <w:pPr>
              <w:pStyle w:val="44"/>
              <w:rPr>
                <w:color w:val="auto"/>
              </w:rPr>
            </w:pPr>
            <w:r>
              <w:rPr>
                <w:rFonts w:hint="eastAsia"/>
                <w:color w:val="auto"/>
              </w:rPr>
              <w:t>猫道结构</w:t>
            </w:r>
          </w:p>
        </w:tc>
        <w:tc>
          <w:tcPr>
            <w:tcW w:w="5580" w:type="dxa"/>
            <w:vAlign w:val="center"/>
          </w:tcPr>
          <w:p w14:paraId="39A0606A">
            <w:pPr>
              <w:pStyle w:val="44"/>
              <w:jc w:val="left"/>
              <w:rPr>
                <w:color w:val="auto"/>
              </w:rPr>
            </w:pPr>
            <w:r>
              <w:rPr>
                <w:color w:val="auto"/>
              </w:rPr>
              <w:t>1</w:t>
            </w:r>
            <w:r>
              <w:rPr>
                <w:rFonts w:hint="eastAsia"/>
                <w:color w:val="auto"/>
              </w:rPr>
              <w:t>）猫道承重索、门架支撑索、牵引索在各工况下的安全系数，任何一项小于</w:t>
            </w:r>
            <w:r>
              <w:rPr>
                <w:color w:val="auto"/>
              </w:rPr>
              <w:t>3.0</w:t>
            </w:r>
            <w:r>
              <w:rPr>
                <w:rFonts w:hint="eastAsia"/>
                <w:color w:val="auto"/>
              </w:rPr>
              <w:t>，扣</w:t>
            </w:r>
            <w:r>
              <w:rPr>
                <w:color w:val="auto"/>
              </w:rPr>
              <w:t>15</w:t>
            </w:r>
            <w:r>
              <w:rPr>
                <w:rFonts w:hint="eastAsia"/>
                <w:color w:val="auto"/>
              </w:rPr>
              <w:t>分</w:t>
            </w:r>
          </w:p>
          <w:p w14:paraId="7EEC8655">
            <w:pPr>
              <w:pStyle w:val="44"/>
              <w:jc w:val="left"/>
              <w:rPr>
                <w:color w:val="auto"/>
              </w:rPr>
            </w:pPr>
            <w:r>
              <w:rPr>
                <w:color w:val="auto"/>
              </w:rPr>
              <w:t>2</w:t>
            </w:r>
            <w:r>
              <w:rPr>
                <w:rFonts w:hint="eastAsia"/>
                <w:color w:val="auto"/>
              </w:rPr>
              <w:t>）猫道线型不符合设计规定范围，扣</w:t>
            </w:r>
            <w:r>
              <w:rPr>
                <w:color w:val="auto"/>
              </w:rPr>
              <w:t>5-8</w:t>
            </w:r>
            <w:r>
              <w:rPr>
                <w:rFonts w:hint="eastAsia"/>
                <w:color w:val="auto"/>
              </w:rPr>
              <w:t>分</w:t>
            </w:r>
          </w:p>
          <w:p w14:paraId="5448C72A">
            <w:pPr>
              <w:pStyle w:val="44"/>
              <w:jc w:val="left"/>
              <w:rPr>
                <w:color w:val="auto"/>
              </w:rPr>
            </w:pPr>
            <w:r>
              <w:rPr>
                <w:color w:val="auto"/>
              </w:rPr>
              <w:t>3</w:t>
            </w:r>
            <w:r>
              <w:rPr>
                <w:rFonts w:hint="eastAsia"/>
                <w:color w:val="auto"/>
              </w:rPr>
              <w:t>）猫道承重索、门架支撑索、扶手索规格、位置、间距和锚固方式不符合方案设计的规定，扣</w:t>
            </w:r>
            <w:r>
              <w:rPr>
                <w:color w:val="auto"/>
              </w:rPr>
              <w:t>5-10</w:t>
            </w:r>
            <w:r>
              <w:rPr>
                <w:rFonts w:hint="eastAsia"/>
                <w:color w:val="auto"/>
              </w:rPr>
              <w:t>分</w:t>
            </w:r>
          </w:p>
          <w:p w14:paraId="7C5127EC">
            <w:pPr>
              <w:pStyle w:val="44"/>
              <w:jc w:val="left"/>
              <w:rPr>
                <w:color w:val="auto"/>
              </w:rPr>
            </w:pPr>
            <w:r>
              <w:rPr>
                <w:color w:val="auto"/>
              </w:rPr>
              <w:t>4</w:t>
            </w:r>
            <w:r>
              <w:rPr>
                <w:rFonts w:hint="eastAsia"/>
                <w:color w:val="auto"/>
              </w:rPr>
              <w:t>）猫道扶手索、门架支承索转向鞍座未按方案设计规定进行设置，扣</w:t>
            </w:r>
            <w:r>
              <w:rPr>
                <w:color w:val="auto"/>
              </w:rPr>
              <w:t>5-10</w:t>
            </w:r>
            <w:r>
              <w:rPr>
                <w:rFonts w:hint="eastAsia"/>
                <w:color w:val="auto"/>
              </w:rPr>
              <w:t>分</w:t>
            </w:r>
          </w:p>
          <w:p w14:paraId="384929DD">
            <w:pPr>
              <w:pStyle w:val="44"/>
              <w:jc w:val="left"/>
              <w:rPr>
                <w:color w:val="auto"/>
              </w:rPr>
            </w:pPr>
            <w:r>
              <w:rPr>
                <w:color w:val="auto"/>
              </w:rPr>
              <w:t>5</w:t>
            </w:r>
            <w:r>
              <w:rPr>
                <w:rFonts w:hint="eastAsia"/>
                <w:color w:val="auto"/>
              </w:rPr>
              <w:t>）塔顶门架、鞍部顶门架、变位刚架、回转支架、平衡重支架的构造不符合方案设计的要求，或设置不牢固，扣</w:t>
            </w:r>
            <w:r>
              <w:rPr>
                <w:color w:val="auto"/>
              </w:rPr>
              <w:t>5-10</w:t>
            </w:r>
            <w:r>
              <w:rPr>
                <w:rFonts w:hint="eastAsia"/>
                <w:color w:val="auto"/>
              </w:rPr>
              <w:t>分</w:t>
            </w:r>
          </w:p>
          <w:p w14:paraId="79B4F6B3">
            <w:pPr>
              <w:pStyle w:val="44"/>
              <w:jc w:val="left"/>
              <w:rPr>
                <w:color w:val="auto"/>
              </w:rPr>
            </w:pPr>
            <w:r>
              <w:rPr>
                <w:color w:val="auto"/>
              </w:rPr>
              <w:t>6</w:t>
            </w:r>
            <w:r>
              <w:rPr>
                <w:rFonts w:hint="eastAsia"/>
                <w:color w:val="auto"/>
              </w:rPr>
              <w:t>）放索场吊机、放索装置及转向滚轮锚固不符合方案设计的规定，扣</w:t>
            </w:r>
            <w:r>
              <w:rPr>
                <w:color w:val="auto"/>
              </w:rPr>
              <w:t>5-10</w:t>
            </w:r>
            <w:r>
              <w:rPr>
                <w:rFonts w:hint="eastAsia"/>
                <w:color w:val="auto"/>
              </w:rPr>
              <w:t>分</w:t>
            </w:r>
          </w:p>
          <w:p w14:paraId="3D1E849C">
            <w:pPr>
              <w:pStyle w:val="44"/>
              <w:jc w:val="left"/>
              <w:rPr>
                <w:color w:val="auto"/>
              </w:rPr>
            </w:pPr>
            <w:r>
              <w:rPr>
                <w:color w:val="auto"/>
              </w:rPr>
              <w:t>7</w:t>
            </w:r>
            <w:r>
              <w:rPr>
                <w:rFonts w:hint="eastAsia"/>
                <w:color w:val="auto"/>
              </w:rPr>
              <w:t>）猫道门架和横向天桥的规格、位置、间距和锚固方式不符合方案设计的规定，扣</w:t>
            </w:r>
            <w:r>
              <w:rPr>
                <w:color w:val="auto"/>
              </w:rPr>
              <w:t>5-10</w:t>
            </w:r>
            <w:r>
              <w:rPr>
                <w:rFonts w:hint="eastAsia"/>
                <w:color w:val="auto"/>
              </w:rPr>
              <w:t>分</w:t>
            </w:r>
          </w:p>
        </w:tc>
        <w:tc>
          <w:tcPr>
            <w:tcW w:w="720" w:type="dxa"/>
            <w:vAlign w:val="center"/>
          </w:tcPr>
          <w:p w14:paraId="73282724">
            <w:pPr>
              <w:pStyle w:val="44"/>
              <w:rPr>
                <w:color w:val="auto"/>
              </w:rPr>
            </w:pPr>
            <w:r>
              <w:rPr>
                <w:color w:val="auto"/>
              </w:rPr>
              <w:t>15</w:t>
            </w:r>
          </w:p>
        </w:tc>
        <w:tc>
          <w:tcPr>
            <w:tcW w:w="720" w:type="dxa"/>
            <w:vAlign w:val="center"/>
          </w:tcPr>
          <w:p w14:paraId="1F7A03D2">
            <w:pPr>
              <w:pStyle w:val="44"/>
              <w:rPr>
                <w:color w:val="auto"/>
              </w:rPr>
            </w:pPr>
          </w:p>
        </w:tc>
        <w:tc>
          <w:tcPr>
            <w:tcW w:w="720" w:type="dxa"/>
            <w:vAlign w:val="center"/>
          </w:tcPr>
          <w:p w14:paraId="7AA0BDF1">
            <w:pPr>
              <w:pStyle w:val="44"/>
              <w:rPr>
                <w:color w:val="auto"/>
              </w:rPr>
            </w:pPr>
          </w:p>
        </w:tc>
      </w:tr>
      <w:tr w14:paraId="13F5D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06C81A3">
            <w:pPr>
              <w:pStyle w:val="44"/>
              <w:rPr>
                <w:color w:val="auto"/>
              </w:rPr>
            </w:pPr>
            <w:r>
              <w:rPr>
                <w:color w:val="auto"/>
              </w:rPr>
              <w:t>4</w:t>
            </w:r>
          </w:p>
        </w:tc>
        <w:tc>
          <w:tcPr>
            <w:tcW w:w="543" w:type="dxa"/>
            <w:vMerge w:val="continue"/>
          </w:tcPr>
          <w:p w14:paraId="3FE01167">
            <w:pPr>
              <w:pStyle w:val="44"/>
              <w:rPr>
                <w:color w:val="auto"/>
              </w:rPr>
            </w:pPr>
          </w:p>
        </w:tc>
        <w:tc>
          <w:tcPr>
            <w:tcW w:w="898" w:type="dxa"/>
            <w:vAlign w:val="center"/>
          </w:tcPr>
          <w:p w14:paraId="6BA7EF14">
            <w:pPr>
              <w:pStyle w:val="44"/>
              <w:rPr>
                <w:color w:val="auto"/>
              </w:rPr>
            </w:pPr>
            <w:r>
              <w:rPr>
                <w:rFonts w:hint="eastAsia"/>
                <w:color w:val="auto"/>
              </w:rPr>
              <w:t>猫道系统安装</w:t>
            </w:r>
          </w:p>
        </w:tc>
        <w:tc>
          <w:tcPr>
            <w:tcW w:w="5580" w:type="dxa"/>
            <w:vAlign w:val="center"/>
          </w:tcPr>
          <w:p w14:paraId="46F3EA9A">
            <w:pPr>
              <w:pStyle w:val="44"/>
              <w:jc w:val="left"/>
              <w:rPr>
                <w:color w:val="auto"/>
              </w:rPr>
            </w:pPr>
            <w:r>
              <w:rPr>
                <w:color w:val="auto"/>
              </w:rPr>
              <w:t>1</w:t>
            </w:r>
            <w:r>
              <w:rPr>
                <w:rFonts w:hint="eastAsia"/>
                <w:color w:val="auto"/>
              </w:rPr>
              <w:t>）猫道系统（含先导索）架设无专项操作指导书，扣</w:t>
            </w:r>
            <w:r>
              <w:rPr>
                <w:color w:val="auto"/>
              </w:rPr>
              <w:t>3</w:t>
            </w:r>
            <w:r>
              <w:rPr>
                <w:rFonts w:hint="eastAsia"/>
                <w:color w:val="auto"/>
              </w:rPr>
              <w:t>分；</w:t>
            </w:r>
          </w:p>
          <w:p w14:paraId="087B5B7C">
            <w:pPr>
              <w:pStyle w:val="44"/>
              <w:jc w:val="left"/>
              <w:rPr>
                <w:color w:val="auto"/>
              </w:rPr>
            </w:pPr>
            <w:r>
              <w:rPr>
                <w:color w:val="auto"/>
              </w:rPr>
              <w:t>2</w:t>
            </w:r>
            <w:r>
              <w:rPr>
                <w:rFonts w:hint="eastAsia"/>
                <w:color w:val="auto"/>
              </w:rPr>
              <w:t>）猫道索安装线型不满足要求，扣</w:t>
            </w:r>
            <w:r>
              <w:rPr>
                <w:color w:val="auto"/>
              </w:rPr>
              <w:t>5</w:t>
            </w:r>
            <w:r>
              <w:rPr>
                <w:rFonts w:hint="eastAsia"/>
                <w:color w:val="auto"/>
              </w:rPr>
              <w:t>分</w:t>
            </w:r>
          </w:p>
          <w:p w14:paraId="5181EC72">
            <w:pPr>
              <w:pStyle w:val="44"/>
              <w:jc w:val="left"/>
              <w:rPr>
                <w:color w:val="auto"/>
              </w:rPr>
            </w:pPr>
            <w:r>
              <w:rPr>
                <w:color w:val="auto"/>
              </w:rPr>
              <w:t>3</w:t>
            </w:r>
            <w:r>
              <w:rPr>
                <w:rFonts w:hint="eastAsia"/>
                <w:color w:val="auto"/>
              </w:rPr>
              <w:t>）猫道索架设完成后，未按规定设置锁定装置进行锁定，扣</w:t>
            </w:r>
            <w:r>
              <w:rPr>
                <w:color w:val="auto"/>
              </w:rPr>
              <w:t>15</w:t>
            </w:r>
            <w:r>
              <w:rPr>
                <w:rFonts w:hint="eastAsia"/>
                <w:color w:val="auto"/>
              </w:rPr>
              <w:t>分</w:t>
            </w:r>
          </w:p>
          <w:p w14:paraId="75645C13">
            <w:pPr>
              <w:pStyle w:val="44"/>
              <w:jc w:val="left"/>
              <w:rPr>
                <w:color w:val="auto"/>
              </w:rPr>
            </w:pPr>
            <w:r>
              <w:rPr>
                <w:color w:val="auto"/>
              </w:rPr>
              <w:t>4</w:t>
            </w:r>
            <w:r>
              <w:rPr>
                <w:rFonts w:hint="eastAsia"/>
                <w:color w:val="auto"/>
              </w:rPr>
              <w:t>）先导索、猫道承重索、扶手索、支撑索安装过程中有破损、断丝、异常，扣</w:t>
            </w:r>
            <w:r>
              <w:rPr>
                <w:color w:val="auto"/>
              </w:rPr>
              <w:t>15</w:t>
            </w:r>
            <w:r>
              <w:rPr>
                <w:rFonts w:hint="eastAsia"/>
                <w:color w:val="auto"/>
              </w:rPr>
              <w:t>分</w:t>
            </w:r>
          </w:p>
          <w:p w14:paraId="1F58F1C9">
            <w:pPr>
              <w:pStyle w:val="44"/>
              <w:jc w:val="left"/>
              <w:rPr>
                <w:color w:val="auto"/>
              </w:rPr>
            </w:pPr>
            <w:r>
              <w:rPr>
                <w:color w:val="auto"/>
              </w:rPr>
              <w:t>5</w:t>
            </w:r>
            <w:r>
              <w:rPr>
                <w:rFonts w:hint="eastAsia"/>
                <w:color w:val="auto"/>
              </w:rPr>
              <w:t>）各类钢丝绳连接或锚固用卡环安装不满足方案设计和相关标准的要求，或卡环数量、间距未通过计算确定，扣</w:t>
            </w:r>
            <w:r>
              <w:rPr>
                <w:color w:val="auto"/>
              </w:rPr>
              <w:t>5-10</w:t>
            </w:r>
            <w:r>
              <w:rPr>
                <w:rFonts w:hint="eastAsia"/>
                <w:color w:val="auto"/>
              </w:rPr>
              <w:t>分</w:t>
            </w:r>
          </w:p>
          <w:p w14:paraId="754B7DA8">
            <w:pPr>
              <w:pStyle w:val="44"/>
              <w:jc w:val="left"/>
              <w:rPr>
                <w:color w:val="auto"/>
              </w:rPr>
            </w:pPr>
            <w:r>
              <w:rPr>
                <w:color w:val="auto"/>
              </w:rPr>
              <w:t>6</w:t>
            </w:r>
            <w:r>
              <w:rPr>
                <w:rFonts w:hint="eastAsia"/>
                <w:color w:val="auto"/>
              </w:rPr>
              <w:t>）猫道系统安装过程中未对主塔塔顶位移进行监测，或未形成记录，扣</w:t>
            </w:r>
            <w:r>
              <w:rPr>
                <w:color w:val="auto"/>
              </w:rPr>
              <w:t>10</w:t>
            </w:r>
            <w:r>
              <w:rPr>
                <w:rFonts w:hint="eastAsia"/>
                <w:color w:val="auto"/>
              </w:rPr>
              <w:t>分</w:t>
            </w:r>
          </w:p>
          <w:p w14:paraId="2B02E241">
            <w:pPr>
              <w:pStyle w:val="44"/>
              <w:jc w:val="left"/>
              <w:rPr>
                <w:color w:val="auto"/>
              </w:rPr>
            </w:pPr>
            <w:r>
              <w:rPr>
                <w:color w:val="auto"/>
              </w:rPr>
              <w:t>7</w:t>
            </w:r>
            <w:r>
              <w:rPr>
                <w:rFonts w:hint="eastAsia"/>
                <w:color w:val="auto"/>
              </w:rPr>
              <w:t>）猫道系统安装过程中未对风力进行监测，或</w:t>
            </w:r>
            <w:r>
              <w:rPr>
                <w:color w:val="auto"/>
              </w:rPr>
              <w:t>6</w:t>
            </w:r>
            <w:r>
              <w:rPr>
                <w:rFonts w:hint="eastAsia"/>
                <w:color w:val="auto"/>
              </w:rPr>
              <w:t>级以上大风未停止作业，扣</w:t>
            </w:r>
            <w:r>
              <w:rPr>
                <w:color w:val="auto"/>
              </w:rPr>
              <w:t>5</w:t>
            </w:r>
            <w:r>
              <w:rPr>
                <w:rFonts w:hint="eastAsia"/>
                <w:color w:val="auto"/>
              </w:rPr>
              <w:t>分</w:t>
            </w:r>
          </w:p>
          <w:p w14:paraId="11AD036C">
            <w:pPr>
              <w:pStyle w:val="44"/>
              <w:jc w:val="left"/>
              <w:rPr>
                <w:color w:val="auto"/>
              </w:rPr>
            </w:pPr>
            <w:r>
              <w:rPr>
                <w:color w:val="auto"/>
              </w:rPr>
              <w:t>8</w:t>
            </w:r>
            <w:r>
              <w:rPr>
                <w:rFonts w:hint="eastAsia"/>
                <w:color w:val="auto"/>
              </w:rPr>
              <w:t>）猫道系统在改吊至主缆的体系转换前，未按方案设计的要求进行后锚固系统调整，扣</w:t>
            </w:r>
            <w:r>
              <w:rPr>
                <w:color w:val="auto"/>
              </w:rPr>
              <w:t>2-5</w:t>
            </w:r>
            <w:r>
              <w:rPr>
                <w:rFonts w:hint="eastAsia"/>
                <w:color w:val="auto"/>
              </w:rPr>
              <w:t>分</w:t>
            </w:r>
          </w:p>
        </w:tc>
        <w:tc>
          <w:tcPr>
            <w:tcW w:w="720" w:type="dxa"/>
            <w:vAlign w:val="center"/>
          </w:tcPr>
          <w:p w14:paraId="7D5C6773">
            <w:pPr>
              <w:pStyle w:val="44"/>
              <w:rPr>
                <w:color w:val="auto"/>
              </w:rPr>
            </w:pPr>
            <w:r>
              <w:rPr>
                <w:color w:val="auto"/>
              </w:rPr>
              <w:t>15</w:t>
            </w:r>
          </w:p>
        </w:tc>
        <w:tc>
          <w:tcPr>
            <w:tcW w:w="720" w:type="dxa"/>
            <w:vAlign w:val="center"/>
          </w:tcPr>
          <w:p w14:paraId="6D3301D8">
            <w:pPr>
              <w:pStyle w:val="44"/>
              <w:rPr>
                <w:color w:val="auto"/>
              </w:rPr>
            </w:pPr>
          </w:p>
        </w:tc>
        <w:tc>
          <w:tcPr>
            <w:tcW w:w="720" w:type="dxa"/>
            <w:vAlign w:val="center"/>
          </w:tcPr>
          <w:p w14:paraId="06CB7FBA">
            <w:pPr>
              <w:pStyle w:val="44"/>
              <w:rPr>
                <w:color w:val="auto"/>
              </w:rPr>
            </w:pPr>
          </w:p>
        </w:tc>
      </w:tr>
      <w:tr w14:paraId="4DE3F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465A2D1E">
            <w:pPr>
              <w:pStyle w:val="44"/>
              <w:rPr>
                <w:color w:val="auto"/>
              </w:rPr>
            </w:pPr>
            <w:r>
              <w:rPr>
                <w:color w:val="auto"/>
              </w:rPr>
              <w:t>5</w:t>
            </w:r>
          </w:p>
        </w:tc>
        <w:tc>
          <w:tcPr>
            <w:tcW w:w="543" w:type="dxa"/>
            <w:vMerge w:val="continue"/>
          </w:tcPr>
          <w:p w14:paraId="576B0AC4">
            <w:pPr>
              <w:pStyle w:val="44"/>
              <w:rPr>
                <w:color w:val="auto"/>
              </w:rPr>
            </w:pPr>
          </w:p>
        </w:tc>
        <w:tc>
          <w:tcPr>
            <w:tcW w:w="898" w:type="dxa"/>
            <w:vAlign w:val="center"/>
          </w:tcPr>
          <w:p w14:paraId="430D84F7">
            <w:pPr>
              <w:pStyle w:val="44"/>
              <w:rPr>
                <w:color w:val="auto"/>
              </w:rPr>
            </w:pPr>
            <w:r>
              <w:rPr>
                <w:rFonts w:hint="eastAsia"/>
                <w:color w:val="auto"/>
              </w:rPr>
              <w:t>检查验收</w:t>
            </w:r>
          </w:p>
        </w:tc>
        <w:tc>
          <w:tcPr>
            <w:tcW w:w="5580" w:type="dxa"/>
            <w:vAlign w:val="center"/>
          </w:tcPr>
          <w:p w14:paraId="021CAEC0">
            <w:pPr>
              <w:pStyle w:val="44"/>
              <w:jc w:val="left"/>
              <w:rPr>
                <w:color w:val="auto"/>
              </w:rPr>
            </w:pPr>
            <w:r>
              <w:rPr>
                <w:color w:val="auto"/>
              </w:rPr>
              <w:t>1</w:t>
            </w:r>
            <w:r>
              <w:rPr>
                <w:rFonts w:hint="eastAsia"/>
                <w:color w:val="auto"/>
              </w:rPr>
              <w:t>）猫道系统进场时未对各类钢丝绳和各构配件规格、型号、尺寸和数量进行核对，扣</w:t>
            </w:r>
            <w:r>
              <w:rPr>
                <w:color w:val="auto"/>
              </w:rPr>
              <w:t>10</w:t>
            </w:r>
            <w:r>
              <w:rPr>
                <w:rFonts w:hint="eastAsia"/>
                <w:color w:val="auto"/>
              </w:rPr>
              <w:t>分；未检查钢丝绳、构件表面完好性，扣</w:t>
            </w:r>
            <w:r>
              <w:rPr>
                <w:color w:val="auto"/>
              </w:rPr>
              <w:t>5-10</w:t>
            </w:r>
            <w:r>
              <w:rPr>
                <w:rFonts w:hint="eastAsia"/>
                <w:color w:val="auto"/>
              </w:rPr>
              <w:t>分</w:t>
            </w:r>
          </w:p>
          <w:p w14:paraId="3CB680AE">
            <w:pPr>
              <w:pStyle w:val="44"/>
              <w:jc w:val="left"/>
              <w:rPr>
                <w:color w:val="auto"/>
              </w:rPr>
            </w:pPr>
            <w:r>
              <w:rPr>
                <w:color w:val="auto"/>
              </w:rPr>
              <w:t>2</w:t>
            </w:r>
            <w:r>
              <w:rPr>
                <w:rFonts w:hint="eastAsia"/>
                <w:color w:val="auto"/>
              </w:rPr>
              <w:t>）猫道系统中的钢结构施工完成后未办理专项验收手续，扣</w:t>
            </w:r>
            <w:r>
              <w:rPr>
                <w:color w:val="auto"/>
              </w:rPr>
              <w:t>10</w:t>
            </w:r>
            <w:r>
              <w:rPr>
                <w:rFonts w:hint="eastAsia"/>
                <w:color w:val="auto"/>
              </w:rPr>
              <w:t>分</w:t>
            </w:r>
          </w:p>
          <w:p w14:paraId="7B8D266A">
            <w:pPr>
              <w:pStyle w:val="44"/>
              <w:jc w:val="left"/>
              <w:rPr>
                <w:color w:val="auto"/>
              </w:rPr>
            </w:pPr>
            <w:r>
              <w:rPr>
                <w:color w:val="auto"/>
              </w:rPr>
              <w:t>3</w:t>
            </w:r>
            <w:r>
              <w:rPr>
                <w:rFonts w:hint="eastAsia"/>
                <w:color w:val="auto"/>
              </w:rPr>
              <w:t>）猫道承重索和面网施工完成后未分别办理专项验收手续，扣</w:t>
            </w:r>
            <w:r>
              <w:rPr>
                <w:color w:val="auto"/>
              </w:rPr>
              <w:t>10</w:t>
            </w:r>
            <w:r>
              <w:rPr>
                <w:rFonts w:hint="eastAsia"/>
                <w:color w:val="auto"/>
              </w:rPr>
              <w:t>分</w:t>
            </w:r>
          </w:p>
          <w:p w14:paraId="58AC42B5">
            <w:pPr>
              <w:pStyle w:val="44"/>
              <w:jc w:val="left"/>
              <w:rPr>
                <w:color w:val="auto"/>
              </w:rPr>
            </w:pPr>
            <w:r>
              <w:rPr>
                <w:color w:val="auto"/>
              </w:rPr>
              <w:t>4</w:t>
            </w:r>
            <w:r>
              <w:rPr>
                <w:rFonts w:hint="eastAsia"/>
                <w:color w:val="auto"/>
              </w:rPr>
              <w:t>）猫道系统施工完成后未办理检查验收签证手续，扣</w:t>
            </w:r>
            <w:r>
              <w:rPr>
                <w:color w:val="auto"/>
              </w:rPr>
              <w:t>10</w:t>
            </w:r>
            <w:r>
              <w:rPr>
                <w:rFonts w:hint="eastAsia"/>
                <w:color w:val="auto"/>
              </w:rPr>
              <w:t>分</w:t>
            </w:r>
          </w:p>
          <w:p w14:paraId="42D341B3">
            <w:pPr>
              <w:pStyle w:val="44"/>
              <w:jc w:val="left"/>
              <w:rPr>
                <w:color w:val="auto"/>
              </w:rPr>
            </w:pPr>
            <w:r>
              <w:rPr>
                <w:color w:val="auto"/>
              </w:rPr>
              <w:t>5</w:t>
            </w:r>
            <w:r>
              <w:rPr>
                <w:rFonts w:hint="eastAsia"/>
                <w:color w:val="auto"/>
              </w:rPr>
              <w:t>）验收未采用相关标准规定或经审批的表格形成量化记录，或未经责任人签字确认，扣</w:t>
            </w:r>
            <w:r>
              <w:rPr>
                <w:color w:val="auto"/>
              </w:rPr>
              <w:t>5-10</w:t>
            </w:r>
            <w:r>
              <w:rPr>
                <w:rFonts w:hint="eastAsia"/>
                <w:color w:val="auto"/>
              </w:rPr>
              <w:t>分</w:t>
            </w:r>
          </w:p>
          <w:p w14:paraId="2898203D">
            <w:pPr>
              <w:pStyle w:val="44"/>
              <w:jc w:val="left"/>
              <w:rPr>
                <w:color w:val="auto"/>
              </w:rPr>
            </w:pPr>
            <w:r>
              <w:rPr>
                <w:color w:val="auto"/>
              </w:rPr>
              <w:t>6</w:t>
            </w:r>
            <w:r>
              <w:rPr>
                <w:rFonts w:hint="eastAsia"/>
                <w:color w:val="auto"/>
              </w:rPr>
              <w:t>）猫道验收合格后未在明显位置悬挂验收合格牌的，扣</w:t>
            </w:r>
            <w:r>
              <w:rPr>
                <w:color w:val="auto"/>
              </w:rPr>
              <w:t>2</w:t>
            </w:r>
            <w:r>
              <w:rPr>
                <w:rFonts w:hint="eastAsia"/>
                <w:color w:val="auto"/>
              </w:rPr>
              <w:t>分</w:t>
            </w:r>
          </w:p>
        </w:tc>
        <w:tc>
          <w:tcPr>
            <w:tcW w:w="720" w:type="dxa"/>
            <w:vAlign w:val="center"/>
          </w:tcPr>
          <w:p w14:paraId="51BF989F">
            <w:pPr>
              <w:pStyle w:val="44"/>
              <w:rPr>
                <w:color w:val="auto"/>
              </w:rPr>
            </w:pPr>
            <w:r>
              <w:rPr>
                <w:color w:val="auto"/>
              </w:rPr>
              <w:t>10</w:t>
            </w:r>
          </w:p>
        </w:tc>
        <w:tc>
          <w:tcPr>
            <w:tcW w:w="720" w:type="dxa"/>
            <w:vAlign w:val="center"/>
          </w:tcPr>
          <w:p w14:paraId="3B8AF3C3">
            <w:pPr>
              <w:pStyle w:val="44"/>
              <w:rPr>
                <w:color w:val="auto"/>
              </w:rPr>
            </w:pPr>
          </w:p>
        </w:tc>
        <w:tc>
          <w:tcPr>
            <w:tcW w:w="720" w:type="dxa"/>
            <w:vAlign w:val="center"/>
          </w:tcPr>
          <w:p w14:paraId="6205E336">
            <w:pPr>
              <w:pStyle w:val="44"/>
              <w:rPr>
                <w:color w:val="auto"/>
              </w:rPr>
            </w:pPr>
          </w:p>
        </w:tc>
      </w:tr>
      <w:tr w14:paraId="3F21A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E5DFCB6">
            <w:pPr>
              <w:pStyle w:val="44"/>
              <w:rPr>
                <w:color w:val="auto"/>
              </w:rPr>
            </w:pPr>
            <w:r>
              <w:rPr>
                <w:color w:val="auto"/>
              </w:rPr>
              <w:t>6</w:t>
            </w:r>
          </w:p>
        </w:tc>
        <w:tc>
          <w:tcPr>
            <w:tcW w:w="543" w:type="dxa"/>
            <w:vMerge w:val="continue"/>
            <w:vAlign w:val="center"/>
          </w:tcPr>
          <w:p w14:paraId="71022269">
            <w:pPr>
              <w:pStyle w:val="44"/>
              <w:rPr>
                <w:color w:val="auto"/>
              </w:rPr>
            </w:pPr>
          </w:p>
        </w:tc>
        <w:tc>
          <w:tcPr>
            <w:tcW w:w="898" w:type="dxa"/>
            <w:vAlign w:val="center"/>
          </w:tcPr>
          <w:p w14:paraId="02F9679E">
            <w:pPr>
              <w:pStyle w:val="44"/>
              <w:rPr>
                <w:color w:val="auto"/>
              </w:rPr>
            </w:pPr>
            <w:r>
              <w:rPr>
                <w:rFonts w:hint="eastAsia"/>
                <w:color w:val="auto"/>
              </w:rPr>
              <w:t>使用与</w:t>
            </w:r>
          </w:p>
          <w:p w14:paraId="06629D4C">
            <w:pPr>
              <w:pStyle w:val="44"/>
              <w:rPr>
                <w:color w:val="auto"/>
              </w:rPr>
            </w:pPr>
            <w:r>
              <w:rPr>
                <w:rFonts w:hint="eastAsia"/>
                <w:color w:val="auto"/>
              </w:rPr>
              <w:t>监测</w:t>
            </w:r>
          </w:p>
        </w:tc>
        <w:tc>
          <w:tcPr>
            <w:tcW w:w="5580" w:type="dxa"/>
            <w:vAlign w:val="center"/>
          </w:tcPr>
          <w:p w14:paraId="021E3D74">
            <w:pPr>
              <w:pStyle w:val="44"/>
              <w:jc w:val="left"/>
              <w:rPr>
                <w:color w:val="auto"/>
              </w:rPr>
            </w:pPr>
            <w:r>
              <w:rPr>
                <w:color w:val="auto"/>
              </w:rPr>
              <w:t>1</w:t>
            </w:r>
            <w:r>
              <w:rPr>
                <w:rFonts w:hint="eastAsia"/>
                <w:color w:val="auto"/>
              </w:rPr>
              <w:t>）猫道使用中，钢丝绳、销轴、卡环、承重索锚固精轧螺纹钢筋及连接螺母等未处于完好状态，扣</w:t>
            </w:r>
            <w:r>
              <w:rPr>
                <w:color w:val="auto"/>
              </w:rPr>
              <w:t>2-5</w:t>
            </w:r>
            <w:r>
              <w:rPr>
                <w:rFonts w:hint="eastAsia"/>
                <w:color w:val="auto"/>
              </w:rPr>
              <w:t>分</w:t>
            </w:r>
          </w:p>
          <w:p w14:paraId="436C3CF6">
            <w:pPr>
              <w:pStyle w:val="44"/>
              <w:jc w:val="left"/>
              <w:rPr>
                <w:color w:val="auto"/>
              </w:rPr>
            </w:pPr>
            <w:r>
              <w:rPr>
                <w:color w:val="auto"/>
              </w:rPr>
              <w:t>2</w:t>
            </w:r>
            <w:r>
              <w:rPr>
                <w:rFonts w:hint="eastAsia"/>
                <w:color w:val="auto"/>
              </w:rPr>
              <w:t>）猫道使用前，未在显著位置悬挂猫道安全使用规程，扣</w:t>
            </w:r>
            <w:r>
              <w:rPr>
                <w:color w:val="auto"/>
              </w:rPr>
              <w:t>5</w:t>
            </w:r>
            <w:r>
              <w:rPr>
                <w:rFonts w:hint="eastAsia"/>
                <w:color w:val="auto"/>
              </w:rPr>
              <w:t>分</w:t>
            </w:r>
          </w:p>
          <w:p w14:paraId="683E8955">
            <w:pPr>
              <w:pStyle w:val="44"/>
              <w:jc w:val="left"/>
              <w:rPr>
                <w:color w:val="auto"/>
              </w:rPr>
            </w:pPr>
            <w:r>
              <w:rPr>
                <w:color w:val="auto"/>
              </w:rPr>
              <w:t>3</w:t>
            </w:r>
            <w:r>
              <w:rPr>
                <w:rFonts w:hint="eastAsia"/>
                <w:color w:val="auto"/>
              </w:rPr>
              <w:t>）主缆施工过程中未对称、平衡地将主缆放在猫道上面，或猫道上面的荷载不平衡偏差超过设计的规定，扣</w:t>
            </w:r>
            <w:r>
              <w:rPr>
                <w:color w:val="auto"/>
              </w:rPr>
              <w:t>2-5</w:t>
            </w:r>
            <w:r>
              <w:rPr>
                <w:rFonts w:hint="eastAsia"/>
                <w:color w:val="auto"/>
              </w:rPr>
              <w:t>分</w:t>
            </w:r>
          </w:p>
          <w:p w14:paraId="1B120A38">
            <w:pPr>
              <w:pStyle w:val="44"/>
              <w:jc w:val="left"/>
              <w:rPr>
                <w:color w:val="auto"/>
              </w:rPr>
            </w:pPr>
            <w:r>
              <w:rPr>
                <w:color w:val="auto"/>
              </w:rPr>
              <w:t>4</w:t>
            </w:r>
            <w:r>
              <w:rPr>
                <w:rFonts w:hint="eastAsia"/>
                <w:color w:val="auto"/>
              </w:rPr>
              <w:t>）猫道面网上的施工荷载超过猫道设计规定，扣</w:t>
            </w:r>
            <w:r>
              <w:rPr>
                <w:color w:val="auto"/>
              </w:rPr>
              <w:t>10</w:t>
            </w:r>
            <w:r>
              <w:rPr>
                <w:rFonts w:hint="eastAsia"/>
                <w:color w:val="auto"/>
              </w:rPr>
              <w:t>分</w:t>
            </w:r>
          </w:p>
          <w:p w14:paraId="5C2DD777">
            <w:pPr>
              <w:pStyle w:val="44"/>
              <w:jc w:val="left"/>
              <w:rPr>
                <w:color w:val="auto"/>
              </w:rPr>
            </w:pPr>
            <w:r>
              <w:rPr>
                <w:color w:val="auto"/>
              </w:rPr>
              <w:t>5</w:t>
            </w:r>
            <w:r>
              <w:rPr>
                <w:rFonts w:hint="eastAsia"/>
                <w:color w:val="auto"/>
              </w:rPr>
              <w:t>）未在猫道转索鞍处标记猫道承重索的位置，或未每日查看承重索的位移情况，扣</w:t>
            </w:r>
            <w:r>
              <w:rPr>
                <w:color w:val="auto"/>
              </w:rPr>
              <w:t>3</w:t>
            </w:r>
            <w:r>
              <w:rPr>
                <w:rFonts w:hint="eastAsia"/>
                <w:color w:val="auto"/>
              </w:rPr>
              <w:t>分</w:t>
            </w:r>
          </w:p>
          <w:p w14:paraId="48FCEEE5">
            <w:pPr>
              <w:pStyle w:val="44"/>
              <w:jc w:val="left"/>
              <w:rPr>
                <w:color w:val="auto"/>
              </w:rPr>
            </w:pPr>
            <w:r>
              <w:rPr>
                <w:color w:val="auto"/>
              </w:rPr>
              <w:t>6</w:t>
            </w:r>
            <w:r>
              <w:rPr>
                <w:rFonts w:hint="eastAsia"/>
                <w:color w:val="auto"/>
              </w:rPr>
              <w:t>）猫道使用过程中未对猫道各部位的变形和位移进行监测，扣</w:t>
            </w:r>
            <w:r>
              <w:rPr>
                <w:color w:val="auto"/>
              </w:rPr>
              <w:t>2-5</w:t>
            </w:r>
            <w:r>
              <w:rPr>
                <w:rFonts w:hint="eastAsia"/>
                <w:color w:val="auto"/>
              </w:rPr>
              <w:t>分</w:t>
            </w:r>
          </w:p>
          <w:p w14:paraId="301C97B0">
            <w:pPr>
              <w:pStyle w:val="44"/>
              <w:jc w:val="left"/>
              <w:rPr>
                <w:color w:val="auto"/>
              </w:rPr>
            </w:pPr>
            <w:r>
              <w:rPr>
                <w:color w:val="auto"/>
              </w:rPr>
              <w:t>7</w:t>
            </w:r>
            <w:r>
              <w:rPr>
                <w:rFonts w:hint="eastAsia"/>
                <w:color w:val="auto"/>
              </w:rPr>
              <w:t>）在承重索锚固的精轧螺纹钢筋上进行电焊、搭火作业，扣</w:t>
            </w:r>
            <w:r>
              <w:rPr>
                <w:color w:val="auto"/>
              </w:rPr>
              <w:t>10</w:t>
            </w:r>
            <w:r>
              <w:rPr>
                <w:rFonts w:hint="eastAsia"/>
                <w:color w:val="auto"/>
              </w:rPr>
              <w:t>分</w:t>
            </w:r>
          </w:p>
          <w:p w14:paraId="6CFDE3B3">
            <w:pPr>
              <w:pStyle w:val="44"/>
              <w:jc w:val="left"/>
              <w:rPr>
                <w:color w:val="auto"/>
              </w:rPr>
            </w:pPr>
            <w:r>
              <w:rPr>
                <w:color w:val="auto"/>
              </w:rPr>
              <w:t>8</w:t>
            </w:r>
            <w:r>
              <w:rPr>
                <w:rFonts w:hint="eastAsia"/>
                <w:color w:val="auto"/>
              </w:rPr>
              <w:t>）在猫道承重索上进行电焊、气割等作业，扣</w:t>
            </w:r>
            <w:r>
              <w:rPr>
                <w:color w:val="auto"/>
              </w:rPr>
              <w:t>10</w:t>
            </w:r>
            <w:r>
              <w:rPr>
                <w:rFonts w:hint="eastAsia"/>
                <w:color w:val="auto"/>
              </w:rPr>
              <w:t>分</w:t>
            </w:r>
          </w:p>
          <w:p w14:paraId="6B44920C">
            <w:pPr>
              <w:pStyle w:val="44"/>
              <w:jc w:val="left"/>
              <w:rPr>
                <w:color w:val="auto"/>
              </w:rPr>
            </w:pPr>
            <w:r>
              <w:rPr>
                <w:color w:val="auto"/>
              </w:rPr>
              <w:t>9</w:t>
            </w:r>
            <w:r>
              <w:rPr>
                <w:rFonts w:hint="eastAsia"/>
                <w:color w:val="auto"/>
              </w:rPr>
              <w:t>）雨雪天或风力超过猫道设计风力时进行主缆架设施工，扣</w:t>
            </w:r>
            <w:r>
              <w:rPr>
                <w:color w:val="auto"/>
              </w:rPr>
              <w:t>10</w:t>
            </w:r>
            <w:r>
              <w:rPr>
                <w:rFonts w:hint="eastAsia"/>
                <w:color w:val="auto"/>
              </w:rPr>
              <w:t>分</w:t>
            </w:r>
          </w:p>
          <w:p w14:paraId="3FC0C585">
            <w:pPr>
              <w:pStyle w:val="44"/>
              <w:jc w:val="left"/>
              <w:rPr>
                <w:color w:val="auto"/>
              </w:rPr>
            </w:pPr>
            <w:r>
              <w:rPr>
                <w:color w:val="auto"/>
              </w:rPr>
              <w:t>10</w:t>
            </w:r>
            <w:r>
              <w:rPr>
                <w:rFonts w:hint="eastAsia"/>
                <w:color w:val="auto"/>
              </w:rPr>
              <w:t>）猫道现场使用单位未对其安全技术记录资料建立安全技术档案，扣</w:t>
            </w:r>
            <w:r>
              <w:rPr>
                <w:color w:val="auto"/>
              </w:rPr>
              <w:t>2-5</w:t>
            </w:r>
            <w:r>
              <w:rPr>
                <w:rFonts w:hint="eastAsia"/>
                <w:color w:val="auto"/>
              </w:rPr>
              <w:t>分</w:t>
            </w:r>
          </w:p>
        </w:tc>
        <w:tc>
          <w:tcPr>
            <w:tcW w:w="720" w:type="dxa"/>
            <w:vAlign w:val="center"/>
          </w:tcPr>
          <w:p w14:paraId="6CE7EE98">
            <w:pPr>
              <w:pStyle w:val="44"/>
              <w:rPr>
                <w:color w:val="auto"/>
              </w:rPr>
            </w:pPr>
            <w:r>
              <w:rPr>
                <w:color w:val="auto"/>
              </w:rPr>
              <w:t>10</w:t>
            </w:r>
          </w:p>
        </w:tc>
        <w:tc>
          <w:tcPr>
            <w:tcW w:w="720" w:type="dxa"/>
            <w:vAlign w:val="center"/>
          </w:tcPr>
          <w:p w14:paraId="3F42D7BD">
            <w:pPr>
              <w:pStyle w:val="44"/>
              <w:rPr>
                <w:color w:val="auto"/>
              </w:rPr>
            </w:pPr>
          </w:p>
        </w:tc>
        <w:tc>
          <w:tcPr>
            <w:tcW w:w="720" w:type="dxa"/>
            <w:vAlign w:val="center"/>
          </w:tcPr>
          <w:p w14:paraId="4351CED6">
            <w:pPr>
              <w:pStyle w:val="44"/>
              <w:rPr>
                <w:color w:val="auto"/>
              </w:rPr>
            </w:pPr>
          </w:p>
        </w:tc>
      </w:tr>
      <w:tr w14:paraId="3ECF5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CDF7151">
            <w:pPr>
              <w:pStyle w:val="44"/>
              <w:rPr>
                <w:color w:val="auto"/>
              </w:rPr>
            </w:pPr>
          </w:p>
        </w:tc>
        <w:tc>
          <w:tcPr>
            <w:tcW w:w="543" w:type="dxa"/>
            <w:vMerge w:val="continue"/>
          </w:tcPr>
          <w:p w14:paraId="69C68A8F">
            <w:pPr>
              <w:pStyle w:val="44"/>
              <w:rPr>
                <w:color w:val="auto"/>
              </w:rPr>
            </w:pPr>
          </w:p>
        </w:tc>
        <w:tc>
          <w:tcPr>
            <w:tcW w:w="6478" w:type="dxa"/>
            <w:gridSpan w:val="2"/>
            <w:vAlign w:val="center"/>
          </w:tcPr>
          <w:p w14:paraId="1282CC19">
            <w:pPr>
              <w:pStyle w:val="44"/>
              <w:rPr>
                <w:b/>
                <w:bCs w:val="0"/>
                <w:color w:val="auto"/>
              </w:rPr>
            </w:pPr>
            <w:r>
              <w:rPr>
                <w:rFonts w:hint="eastAsia"/>
                <w:b/>
                <w:bCs w:val="0"/>
                <w:color w:val="auto"/>
              </w:rPr>
              <w:t>小</w:t>
            </w:r>
            <w:r>
              <w:rPr>
                <w:b/>
                <w:bCs w:val="0"/>
                <w:color w:val="auto"/>
              </w:rPr>
              <w:t xml:space="preserve">  </w:t>
            </w:r>
            <w:r>
              <w:rPr>
                <w:rFonts w:hint="eastAsia"/>
                <w:b/>
                <w:bCs w:val="0"/>
                <w:color w:val="auto"/>
              </w:rPr>
              <w:t>计</w:t>
            </w:r>
          </w:p>
        </w:tc>
        <w:tc>
          <w:tcPr>
            <w:tcW w:w="720" w:type="dxa"/>
            <w:vAlign w:val="center"/>
          </w:tcPr>
          <w:p w14:paraId="38ABFAF3">
            <w:pPr>
              <w:pStyle w:val="44"/>
              <w:rPr>
                <w:color w:val="auto"/>
              </w:rPr>
            </w:pPr>
            <w:r>
              <w:rPr>
                <w:color w:val="auto"/>
              </w:rPr>
              <w:t>70</w:t>
            </w:r>
          </w:p>
        </w:tc>
        <w:tc>
          <w:tcPr>
            <w:tcW w:w="720" w:type="dxa"/>
            <w:vAlign w:val="center"/>
          </w:tcPr>
          <w:p w14:paraId="3A5F5ABB">
            <w:pPr>
              <w:pStyle w:val="44"/>
              <w:rPr>
                <w:color w:val="auto"/>
              </w:rPr>
            </w:pPr>
          </w:p>
        </w:tc>
        <w:tc>
          <w:tcPr>
            <w:tcW w:w="720" w:type="dxa"/>
            <w:vAlign w:val="center"/>
          </w:tcPr>
          <w:p w14:paraId="528B1A69">
            <w:pPr>
              <w:pStyle w:val="44"/>
              <w:rPr>
                <w:color w:val="auto"/>
              </w:rPr>
            </w:pPr>
          </w:p>
        </w:tc>
      </w:tr>
      <w:tr w14:paraId="46D01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058EFBE6">
            <w:pPr>
              <w:pStyle w:val="44"/>
              <w:rPr>
                <w:color w:val="auto"/>
              </w:rPr>
            </w:pPr>
            <w:r>
              <w:rPr>
                <w:color w:val="auto"/>
              </w:rPr>
              <w:t>1</w:t>
            </w:r>
          </w:p>
        </w:tc>
        <w:tc>
          <w:tcPr>
            <w:tcW w:w="543" w:type="dxa"/>
            <w:vMerge w:val="restart"/>
            <w:vAlign w:val="center"/>
          </w:tcPr>
          <w:p w14:paraId="0C998F03">
            <w:pPr>
              <w:pStyle w:val="44"/>
              <w:rPr>
                <w:color w:val="auto"/>
              </w:rPr>
            </w:pPr>
            <w:r>
              <w:rPr>
                <w:rFonts w:hint="eastAsia"/>
                <w:color w:val="auto"/>
              </w:rPr>
              <w:t>一</w:t>
            </w:r>
          </w:p>
          <w:p w14:paraId="22190433">
            <w:pPr>
              <w:pStyle w:val="44"/>
              <w:rPr>
                <w:color w:val="auto"/>
              </w:rPr>
            </w:pPr>
            <w:r>
              <w:rPr>
                <w:rFonts w:hint="eastAsia"/>
                <w:color w:val="auto"/>
              </w:rPr>
              <w:t>般</w:t>
            </w:r>
          </w:p>
          <w:p w14:paraId="0CB63E14">
            <w:pPr>
              <w:pStyle w:val="44"/>
              <w:rPr>
                <w:color w:val="auto"/>
              </w:rPr>
            </w:pPr>
            <w:r>
              <w:rPr>
                <w:rFonts w:hint="eastAsia"/>
                <w:color w:val="auto"/>
              </w:rPr>
              <w:t>项</w:t>
            </w:r>
          </w:p>
          <w:p w14:paraId="3BACDCA5">
            <w:pPr>
              <w:pStyle w:val="44"/>
              <w:rPr>
                <w:color w:val="auto"/>
              </w:rPr>
            </w:pPr>
            <w:r>
              <w:rPr>
                <w:rFonts w:hint="eastAsia"/>
                <w:color w:val="auto"/>
              </w:rPr>
              <w:t>目</w:t>
            </w:r>
          </w:p>
        </w:tc>
        <w:tc>
          <w:tcPr>
            <w:tcW w:w="898" w:type="dxa"/>
            <w:vAlign w:val="center"/>
          </w:tcPr>
          <w:p w14:paraId="07F1E9BD">
            <w:pPr>
              <w:pStyle w:val="44"/>
              <w:rPr>
                <w:color w:val="auto"/>
              </w:rPr>
            </w:pPr>
            <w:r>
              <w:rPr>
                <w:rFonts w:hint="eastAsia"/>
                <w:color w:val="auto"/>
              </w:rPr>
              <w:t>猫道面层</w:t>
            </w:r>
          </w:p>
        </w:tc>
        <w:tc>
          <w:tcPr>
            <w:tcW w:w="5580" w:type="dxa"/>
            <w:vAlign w:val="center"/>
          </w:tcPr>
          <w:p w14:paraId="171624A4">
            <w:pPr>
              <w:pStyle w:val="44"/>
              <w:jc w:val="left"/>
              <w:rPr>
                <w:color w:val="auto"/>
              </w:rPr>
            </w:pPr>
            <w:r>
              <w:rPr>
                <w:color w:val="auto"/>
              </w:rPr>
              <w:t>1</w:t>
            </w:r>
            <w:r>
              <w:rPr>
                <w:rFonts w:hint="eastAsia"/>
                <w:color w:val="auto"/>
              </w:rPr>
              <w:t>）面层未牢固满铺面网，扣</w:t>
            </w:r>
            <w:r>
              <w:rPr>
                <w:color w:val="auto"/>
              </w:rPr>
              <w:t>10</w:t>
            </w:r>
            <w:r>
              <w:rPr>
                <w:rFonts w:hint="eastAsia"/>
                <w:color w:val="auto"/>
              </w:rPr>
              <w:t>分</w:t>
            </w:r>
          </w:p>
          <w:p w14:paraId="137C5911">
            <w:pPr>
              <w:pStyle w:val="44"/>
              <w:jc w:val="left"/>
              <w:rPr>
                <w:color w:val="auto"/>
              </w:rPr>
            </w:pPr>
            <w:r>
              <w:rPr>
                <w:color w:val="auto"/>
              </w:rPr>
              <w:t>2</w:t>
            </w:r>
            <w:r>
              <w:rPr>
                <w:rFonts w:hint="eastAsia"/>
                <w:color w:val="auto"/>
              </w:rPr>
              <w:t>）面网孔眼内切圆直径大于</w:t>
            </w:r>
            <w:r>
              <w:rPr>
                <w:color w:val="auto"/>
              </w:rPr>
              <w:t>25mm</w:t>
            </w:r>
            <w:r>
              <w:rPr>
                <w:rFonts w:hint="eastAsia"/>
                <w:color w:val="auto"/>
              </w:rPr>
              <w:t>，扣</w:t>
            </w:r>
            <w:r>
              <w:rPr>
                <w:color w:val="auto"/>
              </w:rPr>
              <w:t>2-5</w:t>
            </w:r>
            <w:r>
              <w:rPr>
                <w:rFonts w:hint="eastAsia"/>
                <w:color w:val="auto"/>
              </w:rPr>
              <w:t>分</w:t>
            </w:r>
          </w:p>
          <w:p w14:paraId="7869D0F4">
            <w:pPr>
              <w:pStyle w:val="44"/>
              <w:jc w:val="left"/>
              <w:rPr>
                <w:color w:val="auto"/>
              </w:rPr>
            </w:pPr>
            <w:r>
              <w:rPr>
                <w:color w:val="auto"/>
              </w:rPr>
              <w:t>3</w:t>
            </w:r>
            <w:r>
              <w:rPr>
                <w:rFonts w:hint="eastAsia"/>
                <w:color w:val="auto"/>
              </w:rPr>
              <w:t>）猫道两侧的面层未按方案设计要求设置人行道，或未铺设防滑踏步，扣</w:t>
            </w:r>
            <w:r>
              <w:rPr>
                <w:color w:val="auto"/>
              </w:rPr>
              <w:t>5</w:t>
            </w:r>
            <w:r>
              <w:rPr>
                <w:rFonts w:hint="eastAsia"/>
                <w:color w:val="auto"/>
              </w:rPr>
              <w:t>分</w:t>
            </w:r>
          </w:p>
        </w:tc>
        <w:tc>
          <w:tcPr>
            <w:tcW w:w="720" w:type="dxa"/>
            <w:vAlign w:val="center"/>
          </w:tcPr>
          <w:p w14:paraId="1887622D">
            <w:pPr>
              <w:pStyle w:val="44"/>
              <w:rPr>
                <w:color w:val="auto"/>
              </w:rPr>
            </w:pPr>
            <w:r>
              <w:rPr>
                <w:color w:val="auto"/>
              </w:rPr>
              <w:t>10</w:t>
            </w:r>
          </w:p>
        </w:tc>
        <w:tc>
          <w:tcPr>
            <w:tcW w:w="720" w:type="dxa"/>
            <w:vAlign w:val="center"/>
          </w:tcPr>
          <w:p w14:paraId="75A9F1E0">
            <w:pPr>
              <w:pStyle w:val="44"/>
              <w:rPr>
                <w:color w:val="auto"/>
              </w:rPr>
            </w:pPr>
          </w:p>
        </w:tc>
        <w:tc>
          <w:tcPr>
            <w:tcW w:w="720" w:type="dxa"/>
            <w:vAlign w:val="center"/>
          </w:tcPr>
          <w:p w14:paraId="4A945848">
            <w:pPr>
              <w:pStyle w:val="44"/>
              <w:rPr>
                <w:color w:val="auto"/>
              </w:rPr>
            </w:pPr>
          </w:p>
        </w:tc>
      </w:tr>
      <w:tr w14:paraId="66054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8A0D64E">
            <w:pPr>
              <w:pStyle w:val="44"/>
              <w:rPr>
                <w:color w:val="auto"/>
              </w:rPr>
            </w:pPr>
            <w:r>
              <w:rPr>
                <w:color w:val="auto"/>
              </w:rPr>
              <w:t>2</w:t>
            </w:r>
          </w:p>
        </w:tc>
        <w:tc>
          <w:tcPr>
            <w:tcW w:w="543" w:type="dxa"/>
            <w:vMerge w:val="continue"/>
          </w:tcPr>
          <w:p w14:paraId="588B57F1">
            <w:pPr>
              <w:pStyle w:val="44"/>
              <w:rPr>
                <w:color w:val="auto"/>
              </w:rPr>
            </w:pPr>
          </w:p>
        </w:tc>
        <w:tc>
          <w:tcPr>
            <w:tcW w:w="898" w:type="dxa"/>
            <w:vAlign w:val="center"/>
          </w:tcPr>
          <w:p w14:paraId="25B6416A">
            <w:pPr>
              <w:pStyle w:val="44"/>
              <w:rPr>
                <w:color w:val="auto"/>
              </w:rPr>
            </w:pPr>
            <w:r>
              <w:rPr>
                <w:rFonts w:hint="eastAsia"/>
                <w:color w:val="auto"/>
              </w:rPr>
              <w:t>安全防护</w:t>
            </w:r>
          </w:p>
        </w:tc>
        <w:tc>
          <w:tcPr>
            <w:tcW w:w="5580" w:type="dxa"/>
            <w:vAlign w:val="center"/>
          </w:tcPr>
          <w:p w14:paraId="26452910">
            <w:pPr>
              <w:pStyle w:val="44"/>
              <w:jc w:val="left"/>
              <w:rPr>
                <w:color w:val="auto"/>
              </w:rPr>
            </w:pPr>
            <w:r>
              <w:rPr>
                <w:color w:val="auto"/>
              </w:rPr>
              <w:t>1</w:t>
            </w:r>
            <w:r>
              <w:rPr>
                <w:rFonts w:hint="eastAsia"/>
                <w:color w:val="auto"/>
              </w:rPr>
              <w:t>）人员上下猫道未按标准要求设置专用通道，或通道未与既有结构进行可靠连接，扣</w:t>
            </w:r>
            <w:r>
              <w:rPr>
                <w:color w:val="auto"/>
              </w:rPr>
              <w:t>10</w:t>
            </w:r>
            <w:r>
              <w:rPr>
                <w:rFonts w:hint="eastAsia"/>
                <w:color w:val="auto"/>
              </w:rPr>
              <w:t>分；</w:t>
            </w:r>
          </w:p>
          <w:p w14:paraId="5B5866BE">
            <w:pPr>
              <w:pStyle w:val="44"/>
              <w:jc w:val="left"/>
              <w:rPr>
                <w:color w:val="auto"/>
              </w:rPr>
            </w:pPr>
            <w:r>
              <w:rPr>
                <w:color w:val="auto"/>
              </w:rPr>
              <w:t>3</w:t>
            </w:r>
            <w:r>
              <w:rPr>
                <w:rFonts w:hint="eastAsia"/>
                <w:color w:val="auto"/>
              </w:rPr>
              <w:t>）猫道两侧未按临边作业要求设置防护栏杆，或按规定设置扶手绳、踢脚绳和侧网，扣</w:t>
            </w:r>
            <w:r>
              <w:rPr>
                <w:color w:val="auto"/>
              </w:rPr>
              <w:t>10</w:t>
            </w:r>
            <w:r>
              <w:rPr>
                <w:rFonts w:hint="eastAsia"/>
                <w:color w:val="auto"/>
              </w:rPr>
              <w:t>分；</w:t>
            </w:r>
          </w:p>
          <w:p w14:paraId="4EDC1FA1">
            <w:pPr>
              <w:pStyle w:val="44"/>
              <w:jc w:val="left"/>
              <w:rPr>
                <w:color w:val="auto"/>
              </w:rPr>
            </w:pPr>
            <w:r>
              <w:rPr>
                <w:color w:val="auto"/>
              </w:rPr>
              <w:t>4</w:t>
            </w:r>
            <w:r>
              <w:rPr>
                <w:rFonts w:hint="eastAsia"/>
                <w:color w:val="auto"/>
              </w:rPr>
              <w:t>）跨（临）铁路、道路的猫道部分未设置能防止穿透的防护棚，扣</w:t>
            </w:r>
            <w:r>
              <w:rPr>
                <w:color w:val="auto"/>
              </w:rPr>
              <w:t>5</w:t>
            </w:r>
            <w:r>
              <w:rPr>
                <w:rFonts w:hint="eastAsia"/>
                <w:color w:val="auto"/>
              </w:rPr>
              <w:t>分。</w:t>
            </w:r>
          </w:p>
        </w:tc>
        <w:tc>
          <w:tcPr>
            <w:tcW w:w="720" w:type="dxa"/>
            <w:vAlign w:val="center"/>
          </w:tcPr>
          <w:p w14:paraId="1E63C4A8">
            <w:pPr>
              <w:pStyle w:val="44"/>
              <w:rPr>
                <w:color w:val="auto"/>
              </w:rPr>
            </w:pPr>
            <w:r>
              <w:rPr>
                <w:color w:val="auto"/>
              </w:rPr>
              <w:t>10</w:t>
            </w:r>
          </w:p>
        </w:tc>
        <w:tc>
          <w:tcPr>
            <w:tcW w:w="720" w:type="dxa"/>
            <w:vAlign w:val="center"/>
          </w:tcPr>
          <w:p w14:paraId="6F424909">
            <w:pPr>
              <w:pStyle w:val="44"/>
              <w:rPr>
                <w:color w:val="auto"/>
              </w:rPr>
            </w:pPr>
          </w:p>
        </w:tc>
        <w:tc>
          <w:tcPr>
            <w:tcW w:w="720" w:type="dxa"/>
            <w:vAlign w:val="center"/>
          </w:tcPr>
          <w:p w14:paraId="5195B101">
            <w:pPr>
              <w:pStyle w:val="44"/>
              <w:rPr>
                <w:color w:val="auto"/>
              </w:rPr>
            </w:pPr>
          </w:p>
        </w:tc>
      </w:tr>
      <w:tr w14:paraId="589A9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94A2245">
            <w:pPr>
              <w:pStyle w:val="44"/>
              <w:rPr>
                <w:color w:val="auto"/>
              </w:rPr>
            </w:pPr>
            <w:r>
              <w:rPr>
                <w:color w:val="auto"/>
              </w:rPr>
              <w:t>3</w:t>
            </w:r>
          </w:p>
        </w:tc>
        <w:tc>
          <w:tcPr>
            <w:tcW w:w="543" w:type="dxa"/>
            <w:vMerge w:val="continue"/>
          </w:tcPr>
          <w:p w14:paraId="66AD86D3">
            <w:pPr>
              <w:pStyle w:val="44"/>
              <w:rPr>
                <w:color w:val="auto"/>
              </w:rPr>
            </w:pPr>
          </w:p>
        </w:tc>
        <w:tc>
          <w:tcPr>
            <w:tcW w:w="898" w:type="dxa"/>
            <w:vAlign w:val="center"/>
          </w:tcPr>
          <w:p w14:paraId="77F1F89B">
            <w:pPr>
              <w:pStyle w:val="44"/>
              <w:rPr>
                <w:color w:val="auto"/>
              </w:rPr>
            </w:pPr>
            <w:r>
              <w:rPr>
                <w:rFonts w:hint="eastAsia"/>
                <w:color w:val="auto"/>
              </w:rPr>
              <w:t>猫道系统拆除</w:t>
            </w:r>
          </w:p>
        </w:tc>
        <w:tc>
          <w:tcPr>
            <w:tcW w:w="5580" w:type="dxa"/>
            <w:vAlign w:val="center"/>
          </w:tcPr>
          <w:p w14:paraId="032D42F1">
            <w:pPr>
              <w:pStyle w:val="44"/>
              <w:jc w:val="left"/>
              <w:rPr>
                <w:color w:val="auto"/>
              </w:rPr>
            </w:pPr>
            <w:r>
              <w:rPr>
                <w:color w:val="auto"/>
              </w:rPr>
              <w:t>1</w:t>
            </w:r>
            <w:r>
              <w:rPr>
                <w:rFonts w:hint="eastAsia"/>
                <w:color w:val="auto"/>
              </w:rPr>
              <w:t>）猫道拆除前，未向现场管理人员和作业人员进行安全技术交底，扣</w:t>
            </w:r>
            <w:r>
              <w:rPr>
                <w:color w:val="auto"/>
              </w:rPr>
              <w:t>5</w:t>
            </w:r>
            <w:r>
              <w:rPr>
                <w:rFonts w:hint="eastAsia"/>
                <w:color w:val="auto"/>
              </w:rPr>
              <w:t>分；</w:t>
            </w:r>
          </w:p>
          <w:p w14:paraId="201CBC24">
            <w:pPr>
              <w:pStyle w:val="44"/>
              <w:jc w:val="left"/>
              <w:rPr>
                <w:color w:val="auto"/>
              </w:rPr>
            </w:pPr>
            <w:r>
              <w:rPr>
                <w:color w:val="auto"/>
              </w:rPr>
              <w:t>2</w:t>
            </w:r>
            <w:r>
              <w:rPr>
                <w:rFonts w:hint="eastAsia"/>
                <w:color w:val="auto"/>
              </w:rPr>
              <w:t>）猫道拆除过程中未设专人统一指挥，扣</w:t>
            </w:r>
            <w:r>
              <w:rPr>
                <w:color w:val="auto"/>
              </w:rPr>
              <w:t>5</w:t>
            </w:r>
            <w:r>
              <w:rPr>
                <w:rFonts w:hint="eastAsia"/>
                <w:color w:val="auto"/>
              </w:rPr>
              <w:t>分；</w:t>
            </w:r>
          </w:p>
          <w:p w14:paraId="61D84098">
            <w:pPr>
              <w:pStyle w:val="44"/>
              <w:jc w:val="left"/>
              <w:rPr>
                <w:color w:val="auto"/>
              </w:rPr>
            </w:pPr>
            <w:r>
              <w:rPr>
                <w:color w:val="auto"/>
              </w:rPr>
              <w:t>3</w:t>
            </w:r>
            <w:r>
              <w:rPr>
                <w:rFonts w:hint="eastAsia"/>
                <w:color w:val="auto"/>
              </w:rPr>
              <w:t>）拆除作业未按照拆除方案要求的顺序进行，扣</w:t>
            </w:r>
            <w:r>
              <w:rPr>
                <w:color w:val="auto"/>
              </w:rPr>
              <w:t>5</w:t>
            </w:r>
            <w:r>
              <w:rPr>
                <w:rFonts w:hint="eastAsia"/>
                <w:color w:val="auto"/>
              </w:rPr>
              <w:t>分；</w:t>
            </w:r>
          </w:p>
          <w:p w14:paraId="0DB28A91">
            <w:pPr>
              <w:pStyle w:val="44"/>
              <w:jc w:val="left"/>
              <w:rPr>
                <w:color w:val="auto"/>
              </w:rPr>
            </w:pPr>
            <w:r>
              <w:rPr>
                <w:color w:val="auto"/>
              </w:rPr>
              <w:t>4</w:t>
            </w:r>
            <w:r>
              <w:rPr>
                <w:rFonts w:hint="eastAsia"/>
                <w:color w:val="auto"/>
              </w:rPr>
              <w:t>）猫道拆除前未清理完猫道面层上面的杂物，扣</w:t>
            </w:r>
            <w:r>
              <w:rPr>
                <w:color w:val="auto"/>
              </w:rPr>
              <w:t>5</w:t>
            </w:r>
            <w:r>
              <w:rPr>
                <w:rFonts w:hint="eastAsia"/>
                <w:color w:val="auto"/>
              </w:rPr>
              <w:t>分；</w:t>
            </w:r>
          </w:p>
          <w:p w14:paraId="7BFCCE11">
            <w:pPr>
              <w:pStyle w:val="44"/>
              <w:jc w:val="left"/>
              <w:rPr>
                <w:color w:val="auto"/>
              </w:rPr>
            </w:pPr>
            <w:r>
              <w:rPr>
                <w:color w:val="auto"/>
              </w:rPr>
              <w:t>5</w:t>
            </w:r>
            <w:r>
              <w:rPr>
                <w:rFonts w:hint="eastAsia"/>
                <w:color w:val="auto"/>
              </w:rPr>
              <w:t>）当风力大于</w:t>
            </w:r>
            <w:r>
              <w:rPr>
                <w:color w:val="auto"/>
              </w:rPr>
              <w:t>6</w:t>
            </w:r>
            <w:r>
              <w:rPr>
                <w:rFonts w:hint="eastAsia"/>
                <w:color w:val="auto"/>
              </w:rPr>
              <w:t>级时进行猫道拆除作业，扣</w:t>
            </w:r>
            <w:r>
              <w:rPr>
                <w:color w:val="auto"/>
              </w:rPr>
              <w:t>5</w:t>
            </w:r>
            <w:r>
              <w:rPr>
                <w:rFonts w:hint="eastAsia"/>
                <w:color w:val="auto"/>
              </w:rPr>
              <w:t>分；</w:t>
            </w:r>
          </w:p>
          <w:p w14:paraId="150304B4">
            <w:pPr>
              <w:pStyle w:val="44"/>
              <w:jc w:val="left"/>
              <w:rPr>
                <w:color w:val="auto"/>
              </w:rPr>
            </w:pPr>
            <w:r>
              <w:rPr>
                <w:color w:val="auto"/>
              </w:rPr>
              <w:t>6</w:t>
            </w:r>
            <w:r>
              <w:rPr>
                <w:rFonts w:hint="eastAsia"/>
                <w:color w:val="auto"/>
              </w:rPr>
              <w:t>）猫道拆除过程中垂直下方有人员施工，或未设置警示牌，扣</w:t>
            </w:r>
            <w:r>
              <w:rPr>
                <w:color w:val="auto"/>
              </w:rPr>
              <w:t>2</w:t>
            </w:r>
            <w:r>
              <w:rPr>
                <w:rFonts w:hint="eastAsia"/>
                <w:color w:val="auto"/>
              </w:rPr>
              <w:t>分。</w:t>
            </w:r>
          </w:p>
        </w:tc>
        <w:tc>
          <w:tcPr>
            <w:tcW w:w="720" w:type="dxa"/>
            <w:vAlign w:val="center"/>
          </w:tcPr>
          <w:p w14:paraId="70AD7675">
            <w:pPr>
              <w:pStyle w:val="44"/>
              <w:rPr>
                <w:color w:val="auto"/>
              </w:rPr>
            </w:pPr>
            <w:r>
              <w:rPr>
                <w:color w:val="auto"/>
              </w:rPr>
              <w:t>10</w:t>
            </w:r>
          </w:p>
        </w:tc>
        <w:tc>
          <w:tcPr>
            <w:tcW w:w="720" w:type="dxa"/>
            <w:vAlign w:val="center"/>
          </w:tcPr>
          <w:p w14:paraId="7AD500FC">
            <w:pPr>
              <w:pStyle w:val="44"/>
              <w:rPr>
                <w:color w:val="auto"/>
              </w:rPr>
            </w:pPr>
          </w:p>
        </w:tc>
        <w:tc>
          <w:tcPr>
            <w:tcW w:w="720" w:type="dxa"/>
            <w:vAlign w:val="center"/>
          </w:tcPr>
          <w:p w14:paraId="2EAE0F2A">
            <w:pPr>
              <w:pStyle w:val="44"/>
              <w:rPr>
                <w:color w:val="auto"/>
              </w:rPr>
            </w:pPr>
          </w:p>
        </w:tc>
      </w:tr>
      <w:tr w14:paraId="4B7C5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A7C4E4C">
            <w:pPr>
              <w:pStyle w:val="44"/>
              <w:rPr>
                <w:color w:val="auto"/>
              </w:rPr>
            </w:pPr>
          </w:p>
        </w:tc>
        <w:tc>
          <w:tcPr>
            <w:tcW w:w="543" w:type="dxa"/>
            <w:vMerge w:val="continue"/>
          </w:tcPr>
          <w:p w14:paraId="469865BE">
            <w:pPr>
              <w:pStyle w:val="44"/>
              <w:rPr>
                <w:color w:val="auto"/>
              </w:rPr>
            </w:pPr>
          </w:p>
        </w:tc>
        <w:tc>
          <w:tcPr>
            <w:tcW w:w="6478" w:type="dxa"/>
            <w:gridSpan w:val="2"/>
            <w:vAlign w:val="center"/>
          </w:tcPr>
          <w:p w14:paraId="5135B8FD">
            <w:pPr>
              <w:pStyle w:val="44"/>
              <w:rPr>
                <w:b/>
                <w:bCs w:val="0"/>
                <w:color w:val="auto"/>
              </w:rPr>
            </w:pPr>
            <w:r>
              <w:rPr>
                <w:rFonts w:hint="eastAsia"/>
                <w:b/>
                <w:bCs w:val="0"/>
                <w:color w:val="auto"/>
              </w:rPr>
              <w:t>小</w:t>
            </w:r>
            <w:r>
              <w:rPr>
                <w:b/>
                <w:bCs w:val="0"/>
                <w:color w:val="auto"/>
              </w:rPr>
              <w:t xml:space="preserve">  </w:t>
            </w:r>
            <w:r>
              <w:rPr>
                <w:rFonts w:hint="eastAsia"/>
                <w:b/>
                <w:bCs w:val="0"/>
                <w:color w:val="auto"/>
              </w:rPr>
              <w:t>计</w:t>
            </w:r>
          </w:p>
        </w:tc>
        <w:tc>
          <w:tcPr>
            <w:tcW w:w="720" w:type="dxa"/>
            <w:vAlign w:val="center"/>
          </w:tcPr>
          <w:p w14:paraId="3D2F1356">
            <w:pPr>
              <w:pStyle w:val="44"/>
              <w:rPr>
                <w:color w:val="auto"/>
              </w:rPr>
            </w:pPr>
            <w:r>
              <w:rPr>
                <w:color w:val="auto"/>
              </w:rPr>
              <w:t>30</w:t>
            </w:r>
          </w:p>
        </w:tc>
        <w:tc>
          <w:tcPr>
            <w:tcW w:w="720" w:type="dxa"/>
            <w:vAlign w:val="center"/>
          </w:tcPr>
          <w:p w14:paraId="7B30D9AE">
            <w:pPr>
              <w:pStyle w:val="44"/>
              <w:rPr>
                <w:color w:val="auto"/>
              </w:rPr>
            </w:pPr>
          </w:p>
        </w:tc>
        <w:tc>
          <w:tcPr>
            <w:tcW w:w="720" w:type="dxa"/>
            <w:vAlign w:val="center"/>
          </w:tcPr>
          <w:p w14:paraId="2D79D34B">
            <w:pPr>
              <w:pStyle w:val="44"/>
              <w:rPr>
                <w:color w:val="auto"/>
              </w:rPr>
            </w:pPr>
          </w:p>
        </w:tc>
      </w:tr>
      <w:tr w14:paraId="637A4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9" w:hRule="atLeast"/>
          <w:jc w:val="center"/>
        </w:trPr>
        <w:tc>
          <w:tcPr>
            <w:tcW w:w="7560" w:type="dxa"/>
            <w:gridSpan w:val="4"/>
            <w:vAlign w:val="center"/>
          </w:tcPr>
          <w:p w14:paraId="6BC1DA81">
            <w:pPr>
              <w:pStyle w:val="44"/>
              <w:rPr>
                <w:b/>
                <w:bCs w:val="0"/>
                <w:color w:val="auto"/>
              </w:rPr>
            </w:pPr>
            <w:r>
              <w:rPr>
                <w:rFonts w:hint="eastAsia"/>
                <w:b/>
                <w:bCs w:val="0"/>
                <w:color w:val="auto"/>
              </w:rPr>
              <w:t>检查项目合计</w:t>
            </w:r>
          </w:p>
        </w:tc>
        <w:tc>
          <w:tcPr>
            <w:tcW w:w="720" w:type="dxa"/>
            <w:vAlign w:val="center"/>
          </w:tcPr>
          <w:p w14:paraId="409FD18A">
            <w:pPr>
              <w:pStyle w:val="44"/>
              <w:rPr>
                <w:color w:val="auto"/>
              </w:rPr>
            </w:pPr>
            <w:r>
              <w:rPr>
                <w:color w:val="auto"/>
              </w:rPr>
              <w:t>100</w:t>
            </w:r>
          </w:p>
        </w:tc>
        <w:tc>
          <w:tcPr>
            <w:tcW w:w="720" w:type="dxa"/>
            <w:vAlign w:val="center"/>
          </w:tcPr>
          <w:p w14:paraId="287EA569">
            <w:pPr>
              <w:pStyle w:val="44"/>
              <w:rPr>
                <w:color w:val="auto"/>
              </w:rPr>
            </w:pPr>
          </w:p>
        </w:tc>
        <w:tc>
          <w:tcPr>
            <w:tcW w:w="720" w:type="dxa"/>
            <w:vAlign w:val="center"/>
          </w:tcPr>
          <w:p w14:paraId="05E4D999">
            <w:pPr>
              <w:pStyle w:val="44"/>
              <w:rPr>
                <w:color w:val="auto"/>
              </w:rPr>
            </w:pPr>
          </w:p>
        </w:tc>
      </w:tr>
    </w:tbl>
    <w:p w14:paraId="181CEC42">
      <w:pPr>
        <w:pStyle w:val="5"/>
      </w:pPr>
      <w:bookmarkStart w:id="55" w:name="_Toc28105"/>
      <w:bookmarkStart w:id="56" w:name="_Toc1055"/>
      <w:bookmarkStart w:id="57" w:name="_Toc14252"/>
      <w:r>
        <w:rPr>
          <w:rFonts w:hint="eastAsia"/>
        </w:rPr>
        <w:t>表B.1</w:t>
      </w:r>
      <w:r>
        <w:t>6</w:t>
      </w:r>
      <w:r>
        <w:rPr>
          <w:rFonts w:hint="eastAsia"/>
        </w:rPr>
        <w:t xml:space="preserve">  钢管满堂</w:t>
      </w:r>
      <w:r>
        <w:t>模板支撑架</w:t>
      </w:r>
      <w:r>
        <w:rPr>
          <w:rFonts w:hint="eastAsia"/>
        </w:rPr>
        <w:t>检查</w:t>
      </w:r>
      <w:r>
        <w:t>评分表</w:t>
      </w:r>
      <w:bookmarkEnd w:id="55"/>
      <w:bookmarkEnd w:id="56"/>
      <w:bookmarkEnd w:id="57"/>
    </w:p>
    <w:tbl>
      <w:tblPr>
        <w:tblStyle w:val="19"/>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335CF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jc w:val="center"/>
        </w:trPr>
        <w:tc>
          <w:tcPr>
            <w:tcW w:w="539" w:type="dxa"/>
            <w:vAlign w:val="center"/>
          </w:tcPr>
          <w:p w14:paraId="7CAB3E9D">
            <w:pPr>
              <w:pStyle w:val="44"/>
              <w:rPr>
                <w:color w:val="auto"/>
              </w:rPr>
            </w:pPr>
            <w:r>
              <w:rPr>
                <w:rFonts w:hint="eastAsia"/>
                <w:color w:val="auto"/>
              </w:rPr>
              <w:t>序号</w:t>
            </w:r>
          </w:p>
        </w:tc>
        <w:tc>
          <w:tcPr>
            <w:tcW w:w="1441" w:type="dxa"/>
            <w:gridSpan w:val="2"/>
            <w:vAlign w:val="center"/>
          </w:tcPr>
          <w:p w14:paraId="32229F63">
            <w:pPr>
              <w:pStyle w:val="44"/>
              <w:rPr>
                <w:color w:val="auto"/>
              </w:rPr>
            </w:pPr>
            <w:r>
              <w:rPr>
                <w:rFonts w:hint="eastAsia"/>
                <w:color w:val="auto"/>
              </w:rPr>
              <w:t>检查项目</w:t>
            </w:r>
          </w:p>
        </w:tc>
        <w:tc>
          <w:tcPr>
            <w:tcW w:w="5580" w:type="dxa"/>
            <w:vAlign w:val="center"/>
          </w:tcPr>
          <w:p w14:paraId="563053DE">
            <w:pPr>
              <w:pStyle w:val="44"/>
              <w:rPr>
                <w:color w:val="auto"/>
              </w:rPr>
            </w:pPr>
            <w:r>
              <w:rPr>
                <w:rFonts w:hint="eastAsia"/>
                <w:color w:val="auto"/>
              </w:rPr>
              <w:t>扣 分 标 准</w:t>
            </w:r>
          </w:p>
        </w:tc>
        <w:tc>
          <w:tcPr>
            <w:tcW w:w="720" w:type="dxa"/>
            <w:vAlign w:val="center"/>
          </w:tcPr>
          <w:p w14:paraId="2B4E2940">
            <w:pPr>
              <w:pStyle w:val="44"/>
              <w:rPr>
                <w:color w:val="auto"/>
              </w:rPr>
            </w:pPr>
            <w:r>
              <w:rPr>
                <w:rFonts w:hint="eastAsia"/>
                <w:color w:val="auto"/>
              </w:rPr>
              <w:t>应得</w:t>
            </w:r>
          </w:p>
          <w:p w14:paraId="7CB39E9C">
            <w:pPr>
              <w:pStyle w:val="44"/>
              <w:rPr>
                <w:color w:val="auto"/>
              </w:rPr>
            </w:pPr>
            <w:r>
              <w:rPr>
                <w:rFonts w:hint="eastAsia"/>
                <w:color w:val="auto"/>
              </w:rPr>
              <w:t>分数</w:t>
            </w:r>
          </w:p>
        </w:tc>
        <w:tc>
          <w:tcPr>
            <w:tcW w:w="720" w:type="dxa"/>
            <w:vAlign w:val="center"/>
          </w:tcPr>
          <w:p w14:paraId="6A025450">
            <w:pPr>
              <w:pStyle w:val="44"/>
              <w:rPr>
                <w:color w:val="auto"/>
              </w:rPr>
            </w:pPr>
            <w:r>
              <w:rPr>
                <w:rFonts w:hint="eastAsia"/>
                <w:color w:val="auto"/>
              </w:rPr>
              <w:t>扣减</w:t>
            </w:r>
          </w:p>
          <w:p w14:paraId="26F0AFAB">
            <w:pPr>
              <w:pStyle w:val="44"/>
              <w:rPr>
                <w:color w:val="auto"/>
              </w:rPr>
            </w:pPr>
            <w:r>
              <w:rPr>
                <w:rFonts w:hint="eastAsia"/>
                <w:color w:val="auto"/>
              </w:rPr>
              <w:t>分数</w:t>
            </w:r>
          </w:p>
        </w:tc>
        <w:tc>
          <w:tcPr>
            <w:tcW w:w="720" w:type="dxa"/>
            <w:vAlign w:val="center"/>
          </w:tcPr>
          <w:p w14:paraId="6500B2BB">
            <w:pPr>
              <w:pStyle w:val="44"/>
              <w:rPr>
                <w:color w:val="auto"/>
              </w:rPr>
            </w:pPr>
            <w:r>
              <w:rPr>
                <w:rFonts w:hint="eastAsia"/>
                <w:color w:val="auto"/>
              </w:rPr>
              <w:t>实得</w:t>
            </w:r>
          </w:p>
          <w:p w14:paraId="0842673A">
            <w:pPr>
              <w:pStyle w:val="44"/>
              <w:rPr>
                <w:color w:val="auto"/>
              </w:rPr>
            </w:pPr>
            <w:r>
              <w:rPr>
                <w:rFonts w:hint="eastAsia"/>
                <w:color w:val="auto"/>
              </w:rPr>
              <w:t>分数</w:t>
            </w:r>
          </w:p>
        </w:tc>
      </w:tr>
      <w:tr w14:paraId="62426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3E9C8492">
            <w:pPr>
              <w:pStyle w:val="44"/>
              <w:rPr>
                <w:color w:val="auto"/>
              </w:rPr>
            </w:pPr>
            <w:r>
              <w:rPr>
                <w:rFonts w:hint="eastAsia"/>
                <w:color w:val="auto"/>
              </w:rPr>
              <w:t>1</w:t>
            </w:r>
          </w:p>
        </w:tc>
        <w:tc>
          <w:tcPr>
            <w:tcW w:w="543" w:type="dxa"/>
            <w:vMerge w:val="restart"/>
            <w:vAlign w:val="center"/>
          </w:tcPr>
          <w:p w14:paraId="259F9879">
            <w:pPr>
              <w:pStyle w:val="44"/>
              <w:rPr>
                <w:color w:val="auto"/>
              </w:rPr>
            </w:pPr>
            <w:r>
              <w:rPr>
                <w:rFonts w:hint="eastAsia"/>
                <w:color w:val="auto"/>
              </w:rPr>
              <w:t>保</w:t>
            </w:r>
          </w:p>
          <w:p w14:paraId="472F544A">
            <w:pPr>
              <w:pStyle w:val="44"/>
              <w:rPr>
                <w:color w:val="auto"/>
              </w:rPr>
            </w:pPr>
            <w:r>
              <w:rPr>
                <w:rFonts w:hint="eastAsia"/>
                <w:color w:val="auto"/>
              </w:rPr>
              <w:t>证</w:t>
            </w:r>
          </w:p>
          <w:p w14:paraId="028EA534">
            <w:pPr>
              <w:pStyle w:val="44"/>
              <w:rPr>
                <w:color w:val="auto"/>
              </w:rPr>
            </w:pPr>
            <w:r>
              <w:rPr>
                <w:rFonts w:hint="eastAsia"/>
                <w:color w:val="auto"/>
              </w:rPr>
              <w:t>项</w:t>
            </w:r>
          </w:p>
          <w:p w14:paraId="03A2CEF6">
            <w:pPr>
              <w:pStyle w:val="44"/>
              <w:rPr>
                <w:color w:val="auto"/>
              </w:rPr>
            </w:pPr>
            <w:r>
              <w:rPr>
                <w:rFonts w:hint="eastAsia"/>
                <w:color w:val="auto"/>
              </w:rPr>
              <w:t>目</w:t>
            </w:r>
          </w:p>
        </w:tc>
        <w:tc>
          <w:tcPr>
            <w:tcW w:w="898" w:type="dxa"/>
            <w:vAlign w:val="center"/>
          </w:tcPr>
          <w:p w14:paraId="55B71B63">
            <w:pPr>
              <w:pStyle w:val="44"/>
              <w:rPr>
                <w:color w:val="auto"/>
              </w:rPr>
            </w:pPr>
            <w:r>
              <w:rPr>
                <w:rFonts w:hint="eastAsia"/>
                <w:color w:val="auto"/>
              </w:rPr>
              <w:t>方案与交底</w:t>
            </w:r>
          </w:p>
        </w:tc>
        <w:tc>
          <w:tcPr>
            <w:tcW w:w="5580" w:type="dxa"/>
            <w:vAlign w:val="center"/>
          </w:tcPr>
          <w:p w14:paraId="5EC86D86">
            <w:pPr>
              <w:pStyle w:val="44"/>
              <w:jc w:val="left"/>
              <w:rPr>
                <w:color w:val="auto"/>
              </w:rPr>
            </w:pPr>
            <w:r>
              <w:rPr>
                <w:color w:val="auto"/>
              </w:rPr>
              <w:t>1）未按规定编制专项施工方案，或架体结构</w:t>
            </w:r>
            <w:r>
              <w:rPr>
                <w:rFonts w:hint="eastAsia"/>
                <w:color w:val="auto"/>
              </w:rPr>
              <w:t>、</w:t>
            </w:r>
            <w:r>
              <w:rPr>
                <w:color w:val="auto"/>
              </w:rPr>
              <w:t>立杆地基承载力未经设计计算，扣10分；</w:t>
            </w:r>
            <w:r>
              <w:rPr>
                <w:rFonts w:hint="eastAsia"/>
                <w:color w:val="auto"/>
              </w:rPr>
              <w:t>方案编制内容不全或无针对性，扣</w:t>
            </w:r>
            <w:r>
              <w:rPr>
                <w:color w:val="auto"/>
              </w:rPr>
              <w:t>2-10</w:t>
            </w:r>
            <w:r>
              <w:rPr>
                <w:rFonts w:hint="eastAsia"/>
                <w:color w:val="auto"/>
              </w:rPr>
              <w:t>分</w:t>
            </w:r>
          </w:p>
          <w:p w14:paraId="3AD03D31">
            <w:pPr>
              <w:pStyle w:val="44"/>
              <w:jc w:val="left"/>
              <w:rPr>
                <w:color w:val="auto"/>
              </w:rPr>
            </w:pPr>
            <w:r>
              <w:rPr>
                <w:color w:val="auto"/>
              </w:rPr>
              <w:t>2）专项方案未按规定进行审核、审批，扣10分</w:t>
            </w:r>
          </w:p>
          <w:p w14:paraId="4C11914A">
            <w:pPr>
              <w:pStyle w:val="44"/>
              <w:jc w:val="left"/>
              <w:rPr>
                <w:color w:val="auto"/>
              </w:rPr>
            </w:pPr>
            <w:r>
              <w:rPr>
                <w:color w:val="auto"/>
              </w:rPr>
              <w:t>3</w:t>
            </w:r>
            <w:r>
              <w:rPr>
                <w:rFonts w:hint="eastAsia"/>
                <w:color w:val="auto"/>
              </w:rPr>
              <w:t>）超规模的支撑架专项施工方案，未按规定组织专家论证，扣</w:t>
            </w:r>
            <w:r>
              <w:rPr>
                <w:color w:val="auto"/>
              </w:rPr>
              <w:t>10</w:t>
            </w:r>
            <w:r>
              <w:rPr>
                <w:rFonts w:hint="eastAsia"/>
                <w:color w:val="auto"/>
              </w:rPr>
              <w:t>分</w:t>
            </w:r>
          </w:p>
          <w:p w14:paraId="0A77F52D">
            <w:pPr>
              <w:pStyle w:val="44"/>
              <w:jc w:val="left"/>
              <w:rPr>
                <w:color w:val="auto"/>
              </w:rPr>
            </w:pPr>
            <w:r>
              <w:rPr>
                <w:color w:val="auto"/>
              </w:rPr>
              <w:t>4</w:t>
            </w:r>
            <w:r>
              <w:rPr>
                <w:rFonts w:hint="eastAsia"/>
                <w:color w:val="auto"/>
              </w:rPr>
              <w:t>）专项施工方案实施前，未进行安全技术交底，扣</w:t>
            </w:r>
            <w:r>
              <w:rPr>
                <w:color w:val="auto"/>
              </w:rPr>
              <w:t>10</w:t>
            </w:r>
            <w:r>
              <w:rPr>
                <w:rFonts w:hint="eastAsia"/>
                <w:color w:val="auto"/>
              </w:rPr>
              <w:t>分；交底无针对性或无文字记录，扣</w:t>
            </w:r>
            <w:r>
              <w:rPr>
                <w:color w:val="auto"/>
              </w:rPr>
              <w:t>2-5</w:t>
            </w:r>
            <w:r>
              <w:rPr>
                <w:rFonts w:hint="eastAsia"/>
                <w:color w:val="auto"/>
              </w:rPr>
              <w:t>分</w:t>
            </w:r>
          </w:p>
        </w:tc>
        <w:tc>
          <w:tcPr>
            <w:tcW w:w="720" w:type="dxa"/>
            <w:vAlign w:val="center"/>
          </w:tcPr>
          <w:p w14:paraId="17B4CE76">
            <w:pPr>
              <w:pStyle w:val="44"/>
              <w:rPr>
                <w:color w:val="auto"/>
              </w:rPr>
            </w:pPr>
            <w:r>
              <w:rPr>
                <w:rFonts w:hint="eastAsia"/>
                <w:color w:val="auto"/>
              </w:rPr>
              <w:t>10</w:t>
            </w:r>
          </w:p>
        </w:tc>
        <w:tc>
          <w:tcPr>
            <w:tcW w:w="720" w:type="dxa"/>
            <w:vAlign w:val="center"/>
          </w:tcPr>
          <w:p w14:paraId="235B9ED3">
            <w:pPr>
              <w:pStyle w:val="44"/>
              <w:rPr>
                <w:color w:val="auto"/>
              </w:rPr>
            </w:pPr>
          </w:p>
        </w:tc>
        <w:tc>
          <w:tcPr>
            <w:tcW w:w="720" w:type="dxa"/>
            <w:vAlign w:val="center"/>
          </w:tcPr>
          <w:p w14:paraId="252F84FF">
            <w:pPr>
              <w:pStyle w:val="44"/>
              <w:rPr>
                <w:color w:val="auto"/>
              </w:rPr>
            </w:pPr>
          </w:p>
        </w:tc>
      </w:tr>
      <w:tr w14:paraId="51627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26DEE222">
            <w:pPr>
              <w:pStyle w:val="44"/>
              <w:rPr>
                <w:color w:val="auto"/>
              </w:rPr>
            </w:pPr>
            <w:r>
              <w:rPr>
                <w:rFonts w:hint="eastAsia"/>
                <w:color w:val="auto"/>
              </w:rPr>
              <w:t>2</w:t>
            </w:r>
          </w:p>
        </w:tc>
        <w:tc>
          <w:tcPr>
            <w:tcW w:w="543" w:type="dxa"/>
            <w:vMerge w:val="continue"/>
          </w:tcPr>
          <w:p w14:paraId="0CF706CA">
            <w:pPr>
              <w:pStyle w:val="44"/>
              <w:rPr>
                <w:color w:val="auto"/>
              </w:rPr>
            </w:pPr>
          </w:p>
        </w:tc>
        <w:tc>
          <w:tcPr>
            <w:tcW w:w="898" w:type="dxa"/>
            <w:vAlign w:val="center"/>
          </w:tcPr>
          <w:p w14:paraId="1A6921D4">
            <w:pPr>
              <w:pStyle w:val="44"/>
              <w:rPr>
                <w:color w:val="auto"/>
              </w:rPr>
            </w:pPr>
            <w:r>
              <w:rPr>
                <w:rFonts w:hint="eastAsia"/>
                <w:color w:val="auto"/>
              </w:rPr>
              <w:t>构配件材质</w:t>
            </w:r>
          </w:p>
        </w:tc>
        <w:tc>
          <w:tcPr>
            <w:tcW w:w="5580" w:type="dxa"/>
            <w:vAlign w:val="center"/>
          </w:tcPr>
          <w:p w14:paraId="095A7F74">
            <w:pPr>
              <w:pStyle w:val="44"/>
              <w:jc w:val="left"/>
              <w:rPr>
                <w:color w:val="auto"/>
              </w:rPr>
            </w:pPr>
            <w:r>
              <w:rPr>
                <w:color w:val="auto"/>
              </w:rPr>
              <w:t>1</w:t>
            </w:r>
            <w:r>
              <w:rPr>
                <w:rFonts w:hint="eastAsia"/>
                <w:color w:val="auto"/>
              </w:rPr>
              <w:t>）进场的钢管及构配件无质量合格证、产品性能检验报告，扣</w:t>
            </w:r>
            <w:r>
              <w:rPr>
                <w:color w:val="auto"/>
              </w:rPr>
              <w:t>10</w:t>
            </w:r>
            <w:r>
              <w:rPr>
                <w:rFonts w:hint="eastAsia"/>
                <w:color w:val="auto"/>
              </w:rPr>
              <w:t>分</w:t>
            </w:r>
          </w:p>
          <w:p w14:paraId="2F15B77B">
            <w:pPr>
              <w:pStyle w:val="44"/>
              <w:jc w:val="left"/>
              <w:rPr>
                <w:color w:val="auto"/>
              </w:rPr>
            </w:pPr>
            <w:r>
              <w:rPr>
                <w:color w:val="auto"/>
              </w:rPr>
              <w:t>2</w:t>
            </w:r>
            <w:r>
              <w:rPr>
                <w:rFonts w:hint="eastAsia"/>
                <w:color w:val="auto"/>
              </w:rPr>
              <w:t>）钢管及构配件的规格、型号、材质或产品质量不符合标准要求，扣</w:t>
            </w:r>
            <w:r>
              <w:rPr>
                <w:color w:val="auto"/>
              </w:rPr>
              <w:t>5-10</w:t>
            </w:r>
            <w:r>
              <w:rPr>
                <w:rFonts w:hint="eastAsia"/>
                <w:color w:val="auto"/>
              </w:rPr>
              <w:t>分</w:t>
            </w:r>
          </w:p>
          <w:p w14:paraId="3C03BCE1">
            <w:pPr>
              <w:pStyle w:val="44"/>
              <w:jc w:val="left"/>
              <w:rPr>
                <w:color w:val="auto"/>
              </w:rPr>
            </w:pPr>
            <w:r>
              <w:rPr>
                <w:color w:val="auto"/>
              </w:rPr>
              <w:t>3</w:t>
            </w:r>
            <w:r>
              <w:rPr>
                <w:rFonts w:hint="eastAsia"/>
                <w:color w:val="auto"/>
              </w:rPr>
              <w:t>）未对钢管壁厚进行抽检或钢管壁厚不符合标准要求，扣</w:t>
            </w:r>
            <w:r>
              <w:rPr>
                <w:color w:val="auto"/>
              </w:rPr>
              <w:t>10</w:t>
            </w:r>
            <w:r>
              <w:rPr>
                <w:rFonts w:hint="eastAsia"/>
                <w:color w:val="auto"/>
              </w:rPr>
              <w:t>分</w:t>
            </w:r>
          </w:p>
          <w:p w14:paraId="430B174D">
            <w:pPr>
              <w:pStyle w:val="44"/>
              <w:jc w:val="left"/>
              <w:rPr>
                <w:color w:val="auto"/>
              </w:rPr>
            </w:pPr>
            <w:r>
              <w:rPr>
                <w:color w:val="auto"/>
              </w:rPr>
              <w:t>4</w:t>
            </w:r>
            <w:r>
              <w:rPr>
                <w:rFonts w:hint="eastAsia"/>
                <w:color w:val="auto"/>
              </w:rPr>
              <w:t>）所采用的扣件未进行复试或技术性能不符合标准要求，扣</w:t>
            </w:r>
            <w:r>
              <w:rPr>
                <w:color w:val="auto"/>
              </w:rPr>
              <w:t>5</w:t>
            </w:r>
            <w:r>
              <w:rPr>
                <w:rFonts w:hint="eastAsia"/>
                <w:color w:val="auto"/>
              </w:rPr>
              <w:t>分</w:t>
            </w:r>
          </w:p>
          <w:p w14:paraId="1958B4C1">
            <w:pPr>
              <w:pStyle w:val="44"/>
              <w:jc w:val="left"/>
              <w:rPr>
                <w:color w:val="auto"/>
              </w:rPr>
            </w:pPr>
            <w:r>
              <w:rPr>
                <w:color w:val="auto"/>
              </w:rPr>
              <w:t>5</w:t>
            </w:r>
            <w:r>
              <w:rPr>
                <w:rFonts w:hint="eastAsia"/>
                <w:color w:val="auto"/>
              </w:rPr>
              <w:t>）钢管弯曲、变形、锈蚀严重，扣</w:t>
            </w:r>
            <w:r>
              <w:rPr>
                <w:color w:val="auto"/>
              </w:rPr>
              <w:t>10</w:t>
            </w:r>
            <w:r>
              <w:rPr>
                <w:rFonts w:hint="eastAsia"/>
                <w:color w:val="auto"/>
              </w:rPr>
              <w:t>分</w:t>
            </w:r>
          </w:p>
          <w:p w14:paraId="2C2165F8">
            <w:pPr>
              <w:pStyle w:val="44"/>
              <w:jc w:val="left"/>
              <w:rPr>
                <w:color w:val="auto"/>
              </w:rPr>
            </w:pPr>
            <w:r>
              <w:rPr>
                <w:color w:val="auto"/>
              </w:rPr>
              <w:t>6</w:t>
            </w:r>
            <w:r>
              <w:rPr>
                <w:rFonts w:hint="eastAsia"/>
                <w:color w:val="auto"/>
              </w:rPr>
              <w:t>）焊缝不饱满或存在开焊，扣</w:t>
            </w:r>
            <w:r>
              <w:rPr>
                <w:color w:val="auto"/>
              </w:rPr>
              <w:t>5</w:t>
            </w:r>
            <w:r>
              <w:rPr>
                <w:rFonts w:hint="eastAsia"/>
                <w:color w:val="auto"/>
              </w:rPr>
              <w:t>分</w:t>
            </w:r>
          </w:p>
        </w:tc>
        <w:tc>
          <w:tcPr>
            <w:tcW w:w="720" w:type="dxa"/>
            <w:vAlign w:val="center"/>
          </w:tcPr>
          <w:p w14:paraId="2E502800">
            <w:pPr>
              <w:pStyle w:val="44"/>
              <w:rPr>
                <w:color w:val="auto"/>
              </w:rPr>
            </w:pPr>
            <w:r>
              <w:rPr>
                <w:rFonts w:hint="eastAsia"/>
                <w:color w:val="auto"/>
              </w:rPr>
              <w:t>10</w:t>
            </w:r>
          </w:p>
        </w:tc>
        <w:tc>
          <w:tcPr>
            <w:tcW w:w="720" w:type="dxa"/>
            <w:vAlign w:val="center"/>
          </w:tcPr>
          <w:p w14:paraId="4C464A43">
            <w:pPr>
              <w:pStyle w:val="44"/>
              <w:rPr>
                <w:color w:val="auto"/>
              </w:rPr>
            </w:pPr>
          </w:p>
        </w:tc>
        <w:tc>
          <w:tcPr>
            <w:tcW w:w="720" w:type="dxa"/>
            <w:vAlign w:val="center"/>
          </w:tcPr>
          <w:p w14:paraId="10FFEA2E">
            <w:pPr>
              <w:pStyle w:val="44"/>
              <w:rPr>
                <w:color w:val="auto"/>
              </w:rPr>
            </w:pPr>
          </w:p>
        </w:tc>
      </w:tr>
      <w:tr w14:paraId="05043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39268E95">
            <w:pPr>
              <w:pStyle w:val="44"/>
              <w:rPr>
                <w:color w:val="auto"/>
              </w:rPr>
            </w:pPr>
            <w:r>
              <w:rPr>
                <w:rFonts w:hint="eastAsia"/>
                <w:color w:val="auto"/>
              </w:rPr>
              <w:t>3</w:t>
            </w:r>
          </w:p>
        </w:tc>
        <w:tc>
          <w:tcPr>
            <w:tcW w:w="543" w:type="dxa"/>
            <w:vMerge w:val="continue"/>
          </w:tcPr>
          <w:p w14:paraId="48653747">
            <w:pPr>
              <w:pStyle w:val="44"/>
              <w:rPr>
                <w:color w:val="auto"/>
              </w:rPr>
            </w:pPr>
          </w:p>
        </w:tc>
        <w:tc>
          <w:tcPr>
            <w:tcW w:w="898" w:type="dxa"/>
            <w:vAlign w:val="center"/>
          </w:tcPr>
          <w:p w14:paraId="5093316C">
            <w:pPr>
              <w:pStyle w:val="44"/>
              <w:rPr>
                <w:color w:val="auto"/>
              </w:rPr>
            </w:pPr>
            <w:r>
              <w:rPr>
                <w:rFonts w:hint="eastAsia"/>
                <w:color w:val="auto"/>
              </w:rPr>
              <w:t>地基基础</w:t>
            </w:r>
          </w:p>
        </w:tc>
        <w:tc>
          <w:tcPr>
            <w:tcW w:w="5580" w:type="dxa"/>
            <w:vAlign w:val="center"/>
          </w:tcPr>
          <w:p w14:paraId="414C150B">
            <w:pPr>
              <w:pStyle w:val="44"/>
              <w:jc w:val="left"/>
              <w:rPr>
                <w:color w:val="auto"/>
              </w:rPr>
            </w:pPr>
            <w:r>
              <w:rPr>
                <w:color w:val="auto"/>
              </w:rPr>
              <w:t>1</w:t>
            </w:r>
            <w:r>
              <w:rPr>
                <w:rFonts w:hint="eastAsia"/>
                <w:color w:val="auto"/>
              </w:rPr>
              <w:t>）基础处理方式或承载力不满足专项施工方案要求，或地基未达到坚实、平整的要求，扣</w:t>
            </w:r>
            <w:r>
              <w:rPr>
                <w:color w:val="auto"/>
              </w:rPr>
              <w:t>5-10</w:t>
            </w:r>
            <w:r>
              <w:rPr>
                <w:rFonts w:hint="eastAsia"/>
                <w:color w:val="auto"/>
              </w:rPr>
              <w:t>分</w:t>
            </w:r>
          </w:p>
          <w:p w14:paraId="0A1ADC61">
            <w:pPr>
              <w:pStyle w:val="44"/>
              <w:jc w:val="left"/>
              <w:rPr>
                <w:color w:val="auto"/>
              </w:rPr>
            </w:pPr>
            <w:r>
              <w:rPr>
                <w:color w:val="auto"/>
              </w:rPr>
              <w:t>2</w:t>
            </w:r>
            <w:r>
              <w:rPr>
                <w:rFonts w:hint="eastAsia"/>
                <w:color w:val="auto"/>
              </w:rPr>
              <w:t>）立杆底部未按标准要求设置底座，每处扣</w:t>
            </w:r>
            <w:r>
              <w:rPr>
                <w:color w:val="auto"/>
              </w:rPr>
              <w:t>2</w:t>
            </w:r>
            <w:r>
              <w:rPr>
                <w:rFonts w:hint="eastAsia"/>
                <w:color w:val="auto"/>
              </w:rPr>
              <w:t>分</w:t>
            </w:r>
          </w:p>
          <w:p w14:paraId="2D61DB1E">
            <w:pPr>
              <w:pStyle w:val="44"/>
              <w:jc w:val="left"/>
              <w:rPr>
                <w:color w:val="auto"/>
              </w:rPr>
            </w:pPr>
            <w:r>
              <w:rPr>
                <w:color w:val="auto"/>
              </w:rPr>
              <w:t>3</w:t>
            </w:r>
            <w:r>
              <w:rPr>
                <w:rFonts w:hint="eastAsia"/>
                <w:color w:val="auto"/>
              </w:rPr>
              <w:t>）立杆底部未按照专项施工方案和标准的要求设置垫板或混凝土垫层，扣</w:t>
            </w:r>
            <w:r>
              <w:rPr>
                <w:color w:val="auto"/>
              </w:rPr>
              <w:t>5-10</w:t>
            </w:r>
            <w:r>
              <w:rPr>
                <w:rFonts w:hint="eastAsia"/>
                <w:color w:val="auto"/>
              </w:rPr>
              <w:t>分</w:t>
            </w:r>
          </w:p>
          <w:p w14:paraId="6141F030">
            <w:pPr>
              <w:pStyle w:val="44"/>
              <w:jc w:val="left"/>
              <w:rPr>
                <w:color w:val="auto"/>
              </w:rPr>
            </w:pPr>
            <w:r>
              <w:rPr>
                <w:color w:val="auto"/>
              </w:rPr>
              <w:t>4</w:t>
            </w:r>
            <w:r>
              <w:rPr>
                <w:rFonts w:hint="eastAsia"/>
                <w:color w:val="auto"/>
              </w:rPr>
              <w:t>）底座松动或立杆悬空，每处扣</w:t>
            </w:r>
            <w:r>
              <w:rPr>
                <w:color w:val="auto"/>
              </w:rPr>
              <w:t>2</w:t>
            </w:r>
            <w:r>
              <w:rPr>
                <w:rFonts w:hint="eastAsia"/>
                <w:color w:val="auto"/>
              </w:rPr>
              <w:t>分</w:t>
            </w:r>
          </w:p>
          <w:p w14:paraId="5DD89703">
            <w:pPr>
              <w:pStyle w:val="44"/>
              <w:jc w:val="left"/>
              <w:rPr>
                <w:color w:val="auto"/>
              </w:rPr>
            </w:pPr>
            <w:r>
              <w:rPr>
                <w:color w:val="auto"/>
              </w:rPr>
              <w:t>5</w:t>
            </w:r>
            <w:r>
              <w:rPr>
                <w:rFonts w:hint="eastAsia"/>
                <w:color w:val="auto"/>
              </w:rPr>
              <w:t>）排水设施不完善，或排水不畅通，扣</w:t>
            </w:r>
            <w:r>
              <w:rPr>
                <w:color w:val="auto"/>
              </w:rPr>
              <w:t>5</w:t>
            </w:r>
            <w:r>
              <w:rPr>
                <w:rFonts w:hint="eastAsia"/>
                <w:color w:val="auto"/>
              </w:rPr>
              <w:t>分</w:t>
            </w:r>
          </w:p>
          <w:p w14:paraId="4DF43FE6">
            <w:pPr>
              <w:pStyle w:val="44"/>
              <w:jc w:val="left"/>
              <w:rPr>
                <w:color w:val="auto"/>
              </w:rPr>
            </w:pPr>
            <w:r>
              <w:rPr>
                <w:color w:val="auto"/>
              </w:rPr>
              <w:t>6</w:t>
            </w:r>
            <w:r>
              <w:rPr>
                <w:rFonts w:hint="eastAsia"/>
                <w:color w:val="auto"/>
              </w:rPr>
              <w:t>）当支撑架设在既有结构上时，未对既有结构的承载力进行验算，或未采取加固措施，扣</w:t>
            </w:r>
            <w:r>
              <w:rPr>
                <w:color w:val="auto"/>
              </w:rPr>
              <w:t>10</w:t>
            </w:r>
            <w:r>
              <w:rPr>
                <w:rFonts w:hint="eastAsia"/>
                <w:color w:val="auto"/>
              </w:rPr>
              <w:t>分</w:t>
            </w:r>
          </w:p>
        </w:tc>
        <w:tc>
          <w:tcPr>
            <w:tcW w:w="720" w:type="dxa"/>
            <w:vAlign w:val="center"/>
          </w:tcPr>
          <w:p w14:paraId="3620F30D">
            <w:pPr>
              <w:pStyle w:val="44"/>
              <w:rPr>
                <w:color w:val="auto"/>
              </w:rPr>
            </w:pPr>
            <w:r>
              <w:rPr>
                <w:rFonts w:hint="eastAsia"/>
                <w:color w:val="auto"/>
              </w:rPr>
              <w:t>10</w:t>
            </w:r>
          </w:p>
        </w:tc>
        <w:tc>
          <w:tcPr>
            <w:tcW w:w="720" w:type="dxa"/>
            <w:vAlign w:val="center"/>
          </w:tcPr>
          <w:p w14:paraId="3E7F5105">
            <w:pPr>
              <w:pStyle w:val="44"/>
              <w:rPr>
                <w:color w:val="auto"/>
              </w:rPr>
            </w:pPr>
          </w:p>
        </w:tc>
        <w:tc>
          <w:tcPr>
            <w:tcW w:w="720" w:type="dxa"/>
            <w:vAlign w:val="center"/>
          </w:tcPr>
          <w:p w14:paraId="596CA7B2">
            <w:pPr>
              <w:pStyle w:val="44"/>
              <w:rPr>
                <w:color w:val="auto"/>
              </w:rPr>
            </w:pPr>
          </w:p>
        </w:tc>
      </w:tr>
      <w:tr w14:paraId="67EE0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9668C28">
            <w:pPr>
              <w:pStyle w:val="44"/>
              <w:rPr>
                <w:color w:val="auto"/>
              </w:rPr>
            </w:pPr>
            <w:r>
              <w:rPr>
                <w:rFonts w:hint="eastAsia"/>
                <w:color w:val="auto"/>
              </w:rPr>
              <w:t>4</w:t>
            </w:r>
          </w:p>
        </w:tc>
        <w:tc>
          <w:tcPr>
            <w:tcW w:w="543" w:type="dxa"/>
            <w:vMerge w:val="continue"/>
          </w:tcPr>
          <w:p w14:paraId="7717A906">
            <w:pPr>
              <w:pStyle w:val="44"/>
              <w:rPr>
                <w:color w:val="auto"/>
              </w:rPr>
            </w:pPr>
          </w:p>
        </w:tc>
        <w:tc>
          <w:tcPr>
            <w:tcW w:w="898" w:type="dxa"/>
            <w:vAlign w:val="center"/>
          </w:tcPr>
          <w:p w14:paraId="4350D2C2">
            <w:pPr>
              <w:pStyle w:val="44"/>
              <w:rPr>
                <w:color w:val="auto"/>
              </w:rPr>
            </w:pPr>
            <w:r>
              <w:rPr>
                <w:rFonts w:hint="eastAsia"/>
                <w:color w:val="auto"/>
              </w:rPr>
              <w:t>架体搭设</w:t>
            </w:r>
          </w:p>
        </w:tc>
        <w:tc>
          <w:tcPr>
            <w:tcW w:w="5580" w:type="dxa"/>
            <w:vAlign w:val="center"/>
          </w:tcPr>
          <w:p w14:paraId="476015E1">
            <w:pPr>
              <w:pStyle w:val="44"/>
              <w:jc w:val="left"/>
              <w:rPr>
                <w:color w:val="auto"/>
              </w:rPr>
            </w:pPr>
            <w:r>
              <w:rPr>
                <w:color w:val="auto"/>
              </w:rPr>
              <w:t>1</w:t>
            </w:r>
            <w:r>
              <w:rPr>
                <w:rFonts w:hint="eastAsia"/>
                <w:color w:val="auto"/>
              </w:rPr>
              <w:t>）立杆纵向、横向间距或水平杆步距大于标准或专项施工方案要求，每处扣</w:t>
            </w:r>
            <w:r>
              <w:rPr>
                <w:color w:val="auto"/>
              </w:rPr>
              <w:t>2</w:t>
            </w:r>
            <w:r>
              <w:rPr>
                <w:rFonts w:hint="eastAsia"/>
                <w:color w:val="auto"/>
              </w:rPr>
              <w:t>分</w:t>
            </w:r>
          </w:p>
          <w:p w14:paraId="3F292D25">
            <w:pPr>
              <w:pStyle w:val="44"/>
              <w:jc w:val="left"/>
              <w:rPr>
                <w:color w:val="auto"/>
              </w:rPr>
            </w:pPr>
            <w:r>
              <w:rPr>
                <w:color w:val="auto"/>
              </w:rPr>
              <w:t>2</w:t>
            </w:r>
            <w:r>
              <w:rPr>
                <w:rFonts w:hint="eastAsia"/>
                <w:color w:val="auto"/>
              </w:rPr>
              <w:t>）立杆垂直度不满足标准要求，每处扣</w:t>
            </w:r>
            <w:r>
              <w:rPr>
                <w:color w:val="auto"/>
              </w:rPr>
              <w:t>2</w:t>
            </w:r>
            <w:r>
              <w:rPr>
                <w:rFonts w:hint="eastAsia"/>
                <w:color w:val="auto"/>
              </w:rPr>
              <w:t>分</w:t>
            </w:r>
          </w:p>
          <w:p w14:paraId="2FA9E947">
            <w:pPr>
              <w:pStyle w:val="44"/>
              <w:jc w:val="left"/>
              <w:rPr>
                <w:color w:val="auto"/>
              </w:rPr>
            </w:pPr>
            <w:r>
              <w:rPr>
                <w:color w:val="auto"/>
              </w:rPr>
              <w:t>3</w:t>
            </w:r>
            <w:r>
              <w:rPr>
                <w:rFonts w:hint="eastAsia"/>
                <w:color w:val="auto"/>
              </w:rPr>
              <w:t>）水平杆水平度、直线度不满足标准要求，每处扣</w:t>
            </w:r>
            <w:r>
              <w:rPr>
                <w:color w:val="auto"/>
              </w:rPr>
              <w:t>1</w:t>
            </w:r>
            <w:r>
              <w:rPr>
                <w:rFonts w:hint="eastAsia"/>
                <w:color w:val="auto"/>
              </w:rPr>
              <w:t>分</w:t>
            </w:r>
          </w:p>
          <w:p w14:paraId="36A22FDF">
            <w:pPr>
              <w:pStyle w:val="44"/>
              <w:jc w:val="left"/>
              <w:rPr>
                <w:color w:val="auto"/>
              </w:rPr>
            </w:pPr>
            <w:r>
              <w:rPr>
                <w:color w:val="auto"/>
              </w:rPr>
              <w:t>4</w:t>
            </w:r>
            <w:r>
              <w:rPr>
                <w:rFonts w:hint="eastAsia"/>
                <w:color w:val="auto"/>
              </w:rPr>
              <w:t>）水平杆和扫地杆未连续贯通设置，每漏设一处扣</w:t>
            </w:r>
            <w:r>
              <w:rPr>
                <w:color w:val="auto"/>
              </w:rPr>
              <w:t>2</w:t>
            </w:r>
            <w:r>
              <w:rPr>
                <w:rFonts w:hint="eastAsia"/>
                <w:color w:val="auto"/>
              </w:rPr>
              <w:t>分</w:t>
            </w:r>
          </w:p>
          <w:p w14:paraId="7D862269">
            <w:pPr>
              <w:pStyle w:val="44"/>
              <w:jc w:val="left"/>
              <w:rPr>
                <w:color w:val="auto"/>
              </w:rPr>
            </w:pPr>
            <w:r>
              <w:rPr>
                <w:color w:val="auto"/>
              </w:rPr>
              <w:t>5</w:t>
            </w:r>
            <w:r>
              <w:rPr>
                <w:rFonts w:hint="eastAsia"/>
                <w:color w:val="auto"/>
              </w:rPr>
              <w:t>）顶部未采用可调托撑传力，扣</w:t>
            </w:r>
            <w:r>
              <w:rPr>
                <w:color w:val="auto"/>
              </w:rPr>
              <w:t>10</w:t>
            </w:r>
            <w:r>
              <w:rPr>
                <w:rFonts w:hint="eastAsia"/>
                <w:color w:val="auto"/>
              </w:rPr>
              <w:t>分</w:t>
            </w:r>
          </w:p>
          <w:p w14:paraId="1B225FE8">
            <w:pPr>
              <w:pStyle w:val="44"/>
              <w:jc w:val="left"/>
              <w:rPr>
                <w:color w:val="auto"/>
              </w:rPr>
            </w:pPr>
            <w:r>
              <w:rPr>
                <w:color w:val="auto"/>
              </w:rPr>
              <w:t>6</w:t>
            </w:r>
            <w:r>
              <w:rPr>
                <w:rFonts w:hint="eastAsia"/>
                <w:color w:val="auto"/>
              </w:rPr>
              <w:t>）支撑架与起重设备、混凝土输送管、作业脚手架、物料周转平台等设施相连接，扣</w:t>
            </w:r>
            <w:r>
              <w:rPr>
                <w:color w:val="auto"/>
              </w:rPr>
              <w:t>5-10</w:t>
            </w:r>
            <w:r>
              <w:rPr>
                <w:rFonts w:hint="eastAsia"/>
                <w:color w:val="auto"/>
              </w:rPr>
              <w:t>分</w:t>
            </w:r>
          </w:p>
        </w:tc>
        <w:tc>
          <w:tcPr>
            <w:tcW w:w="720" w:type="dxa"/>
            <w:vAlign w:val="center"/>
          </w:tcPr>
          <w:p w14:paraId="7BE9ED00">
            <w:pPr>
              <w:pStyle w:val="44"/>
              <w:rPr>
                <w:color w:val="auto"/>
              </w:rPr>
            </w:pPr>
            <w:r>
              <w:rPr>
                <w:rFonts w:hint="eastAsia"/>
                <w:color w:val="auto"/>
              </w:rPr>
              <w:t>10</w:t>
            </w:r>
          </w:p>
        </w:tc>
        <w:tc>
          <w:tcPr>
            <w:tcW w:w="720" w:type="dxa"/>
            <w:vAlign w:val="center"/>
          </w:tcPr>
          <w:p w14:paraId="6C10A635">
            <w:pPr>
              <w:pStyle w:val="44"/>
              <w:rPr>
                <w:color w:val="auto"/>
              </w:rPr>
            </w:pPr>
          </w:p>
        </w:tc>
        <w:tc>
          <w:tcPr>
            <w:tcW w:w="720" w:type="dxa"/>
            <w:vAlign w:val="center"/>
          </w:tcPr>
          <w:p w14:paraId="6D9F7338">
            <w:pPr>
              <w:pStyle w:val="44"/>
              <w:rPr>
                <w:color w:val="auto"/>
              </w:rPr>
            </w:pPr>
          </w:p>
        </w:tc>
      </w:tr>
      <w:tr w14:paraId="09F00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6EE429E8">
            <w:pPr>
              <w:pStyle w:val="44"/>
              <w:rPr>
                <w:color w:val="auto"/>
              </w:rPr>
            </w:pPr>
            <w:r>
              <w:rPr>
                <w:rFonts w:hint="eastAsia"/>
                <w:color w:val="auto"/>
              </w:rPr>
              <w:t>5</w:t>
            </w:r>
          </w:p>
        </w:tc>
        <w:tc>
          <w:tcPr>
            <w:tcW w:w="543" w:type="dxa"/>
            <w:vMerge w:val="continue"/>
          </w:tcPr>
          <w:p w14:paraId="5E8A23B1">
            <w:pPr>
              <w:pStyle w:val="44"/>
              <w:rPr>
                <w:color w:val="auto"/>
              </w:rPr>
            </w:pPr>
          </w:p>
        </w:tc>
        <w:tc>
          <w:tcPr>
            <w:tcW w:w="898" w:type="dxa"/>
            <w:vAlign w:val="center"/>
          </w:tcPr>
          <w:p w14:paraId="68280C1E">
            <w:pPr>
              <w:pStyle w:val="44"/>
              <w:rPr>
                <w:color w:val="auto"/>
              </w:rPr>
            </w:pPr>
            <w:r>
              <w:rPr>
                <w:rFonts w:hint="eastAsia"/>
                <w:color w:val="auto"/>
              </w:rPr>
              <w:t>架体稳定</w:t>
            </w:r>
          </w:p>
        </w:tc>
        <w:tc>
          <w:tcPr>
            <w:tcW w:w="5580" w:type="dxa"/>
            <w:vAlign w:val="center"/>
          </w:tcPr>
          <w:p w14:paraId="257F1AF0">
            <w:pPr>
              <w:pStyle w:val="44"/>
              <w:jc w:val="left"/>
              <w:rPr>
                <w:color w:val="auto"/>
              </w:rPr>
            </w:pPr>
            <w:r>
              <w:rPr>
                <w:color w:val="auto"/>
              </w:rPr>
              <w:t>1</w:t>
            </w:r>
            <w:r>
              <w:rPr>
                <w:rFonts w:hint="eastAsia"/>
                <w:color w:val="auto"/>
              </w:rPr>
              <w:t>）支撑架扫地杆离地间距超过标准要求，扣</w:t>
            </w:r>
            <w:r>
              <w:rPr>
                <w:color w:val="auto"/>
              </w:rPr>
              <w:t>5</w:t>
            </w:r>
            <w:r>
              <w:rPr>
                <w:rFonts w:hint="eastAsia"/>
                <w:color w:val="auto"/>
              </w:rPr>
              <w:t>分</w:t>
            </w:r>
          </w:p>
          <w:p w14:paraId="4E0025C4">
            <w:pPr>
              <w:pStyle w:val="44"/>
              <w:jc w:val="left"/>
              <w:rPr>
                <w:color w:val="auto"/>
              </w:rPr>
            </w:pPr>
            <w:r>
              <w:rPr>
                <w:color w:val="auto"/>
              </w:rPr>
              <w:t>2</w:t>
            </w:r>
            <w:r>
              <w:rPr>
                <w:rFonts w:hint="eastAsia"/>
                <w:color w:val="auto"/>
              </w:rPr>
              <w:t>）立杆伸出顶层水平杆中心线至支撑点的长度超过标准要求，扣</w:t>
            </w:r>
            <w:r>
              <w:rPr>
                <w:color w:val="auto"/>
              </w:rPr>
              <w:t>10</w:t>
            </w:r>
            <w:r>
              <w:rPr>
                <w:rFonts w:hint="eastAsia"/>
                <w:color w:val="auto"/>
              </w:rPr>
              <w:t>分</w:t>
            </w:r>
          </w:p>
          <w:p w14:paraId="7EE4B5B6">
            <w:pPr>
              <w:pStyle w:val="44"/>
              <w:jc w:val="left"/>
              <w:rPr>
                <w:color w:val="auto"/>
              </w:rPr>
            </w:pPr>
            <w:r>
              <w:rPr>
                <w:color w:val="auto"/>
              </w:rPr>
              <w:t>3</w:t>
            </w:r>
            <w:r>
              <w:rPr>
                <w:rFonts w:hint="eastAsia"/>
                <w:color w:val="auto"/>
              </w:rPr>
              <w:t>）未设置竖向剪刀撑或专用斜撑杆，扣</w:t>
            </w:r>
            <w:r>
              <w:rPr>
                <w:color w:val="auto"/>
              </w:rPr>
              <w:t>10</w:t>
            </w:r>
            <w:r>
              <w:rPr>
                <w:rFonts w:hint="eastAsia"/>
                <w:color w:val="auto"/>
              </w:rPr>
              <w:t>分</w:t>
            </w:r>
          </w:p>
          <w:p w14:paraId="47AB31B7">
            <w:pPr>
              <w:pStyle w:val="44"/>
              <w:jc w:val="left"/>
              <w:rPr>
                <w:color w:val="auto"/>
              </w:rPr>
            </w:pPr>
            <w:r>
              <w:rPr>
                <w:color w:val="auto"/>
              </w:rPr>
              <w:t>4</w:t>
            </w:r>
            <w:r>
              <w:rPr>
                <w:rFonts w:hint="eastAsia"/>
                <w:color w:val="auto"/>
              </w:rPr>
              <w:t>）未设置水平剪刀撑或专用斜撑杆，扣</w:t>
            </w:r>
            <w:r>
              <w:rPr>
                <w:color w:val="auto"/>
              </w:rPr>
              <w:t>5</w:t>
            </w:r>
            <w:r>
              <w:rPr>
                <w:rFonts w:hint="eastAsia"/>
                <w:color w:val="auto"/>
              </w:rPr>
              <w:t>分</w:t>
            </w:r>
          </w:p>
          <w:p w14:paraId="501828E0">
            <w:pPr>
              <w:pStyle w:val="44"/>
              <w:jc w:val="left"/>
              <w:rPr>
                <w:color w:val="auto"/>
              </w:rPr>
            </w:pPr>
            <w:r>
              <w:rPr>
                <w:color w:val="auto"/>
              </w:rPr>
              <w:t>5</w:t>
            </w:r>
            <w:r>
              <w:rPr>
                <w:rFonts w:hint="eastAsia"/>
                <w:color w:val="auto"/>
              </w:rPr>
              <w:t>）剪刀撑或专用斜撑杆的设置位置、数量、间距不符合标准和专项施工方案要求，扣</w:t>
            </w:r>
            <w:r>
              <w:rPr>
                <w:color w:val="auto"/>
              </w:rPr>
              <w:t>5</w:t>
            </w:r>
            <w:r>
              <w:rPr>
                <w:rFonts w:hint="eastAsia"/>
                <w:color w:val="auto"/>
              </w:rPr>
              <w:t>分</w:t>
            </w:r>
          </w:p>
          <w:p w14:paraId="6876BCE8">
            <w:pPr>
              <w:pStyle w:val="44"/>
              <w:jc w:val="left"/>
              <w:rPr>
                <w:color w:val="auto"/>
              </w:rPr>
            </w:pPr>
            <w:r>
              <w:rPr>
                <w:color w:val="auto"/>
              </w:rPr>
              <w:t>6</w:t>
            </w:r>
            <w:r>
              <w:rPr>
                <w:rFonts w:hint="eastAsia"/>
                <w:color w:val="auto"/>
              </w:rPr>
              <w:t>）支撑架高宽比超过标准要求时，未按标准要求将架体与既有结构连接或采用增加架体宽度的加强措施，扣</w:t>
            </w:r>
            <w:r>
              <w:rPr>
                <w:color w:val="auto"/>
              </w:rPr>
              <w:t>10</w:t>
            </w:r>
            <w:r>
              <w:rPr>
                <w:rFonts w:hint="eastAsia"/>
                <w:color w:val="auto"/>
              </w:rPr>
              <w:t>分</w:t>
            </w:r>
          </w:p>
        </w:tc>
        <w:tc>
          <w:tcPr>
            <w:tcW w:w="720" w:type="dxa"/>
            <w:vAlign w:val="center"/>
          </w:tcPr>
          <w:p w14:paraId="7BB8D54D">
            <w:pPr>
              <w:pStyle w:val="44"/>
              <w:rPr>
                <w:color w:val="auto"/>
              </w:rPr>
            </w:pPr>
            <w:r>
              <w:rPr>
                <w:rFonts w:hint="eastAsia"/>
                <w:color w:val="auto"/>
              </w:rPr>
              <w:t>10</w:t>
            </w:r>
          </w:p>
        </w:tc>
        <w:tc>
          <w:tcPr>
            <w:tcW w:w="720" w:type="dxa"/>
            <w:vAlign w:val="center"/>
          </w:tcPr>
          <w:p w14:paraId="503D2985">
            <w:pPr>
              <w:pStyle w:val="44"/>
              <w:rPr>
                <w:color w:val="auto"/>
              </w:rPr>
            </w:pPr>
          </w:p>
        </w:tc>
        <w:tc>
          <w:tcPr>
            <w:tcW w:w="720" w:type="dxa"/>
            <w:vAlign w:val="center"/>
          </w:tcPr>
          <w:p w14:paraId="487E129D">
            <w:pPr>
              <w:pStyle w:val="44"/>
              <w:rPr>
                <w:color w:val="auto"/>
              </w:rPr>
            </w:pPr>
          </w:p>
        </w:tc>
      </w:tr>
      <w:tr w14:paraId="0DAF5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F06FB85">
            <w:pPr>
              <w:pStyle w:val="44"/>
              <w:rPr>
                <w:color w:val="auto"/>
              </w:rPr>
            </w:pPr>
            <w:r>
              <w:rPr>
                <w:rFonts w:hint="eastAsia"/>
                <w:color w:val="auto"/>
              </w:rPr>
              <w:t>6</w:t>
            </w:r>
          </w:p>
        </w:tc>
        <w:tc>
          <w:tcPr>
            <w:tcW w:w="543" w:type="dxa"/>
            <w:vMerge w:val="continue"/>
            <w:vAlign w:val="center"/>
          </w:tcPr>
          <w:p w14:paraId="2080A8BD">
            <w:pPr>
              <w:pStyle w:val="44"/>
              <w:rPr>
                <w:color w:val="auto"/>
              </w:rPr>
            </w:pPr>
          </w:p>
        </w:tc>
        <w:tc>
          <w:tcPr>
            <w:tcW w:w="898" w:type="dxa"/>
            <w:vAlign w:val="center"/>
          </w:tcPr>
          <w:p w14:paraId="20370086">
            <w:pPr>
              <w:pStyle w:val="44"/>
              <w:rPr>
                <w:color w:val="auto"/>
              </w:rPr>
            </w:pPr>
            <w:r>
              <w:rPr>
                <w:rFonts w:hint="eastAsia"/>
                <w:color w:val="auto"/>
              </w:rPr>
              <w:t>检查验收</w:t>
            </w:r>
          </w:p>
        </w:tc>
        <w:tc>
          <w:tcPr>
            <w:tcW w:w="5580" w:type="dxa"/>
            <w:vAlign w:val="center"/>
          </w:tcPr>
          <w:p w14:paraId="01E8B667">
            <w:pPr>
              <w:pStyle w:val="44"/>
              <w:jc w:val="left"/>
              <w:rPr>
                <w:color w:val="auto"/>
              </w:rPr>
            </w:pPr>
            <w:r>
              <w:rPr>
                <w:color w:val="auto"/>
              </w:rPr>
              <w:t>1</w:t>
            </w:r>
            <w:r>
              <w:rPr>
                <w:rFonts w:hint="eastAsia"/>
                <w:color w:val="auto"/>
              </w:rPr>
              <w:t>）在原材料进场、基础完工、架体搭设完毕、安全设施安装完成各阶段未进行分阶段验收，扣</w:t>
            </w:r>
            <w:r>
              <w:rPr>
                <w:color w:val="auto"/>
              </w:rPr>
              <w:t>10</w:t>
            </w:r>
            <w:r>
              <w:rPr>
                <w:rFonts w:hint="eastAsia"/>
                <w:color w:val="auto"/>
              </w:rPr>
              <w:t>分</w:t>
            </w:r>
          </w:p>
          <w:p w14:paraId="25629E5B">
            <w:pPr>
              <w:pStyle w:val="44"/>
              <w:jc w:val="left"/>
              <w:rPr>
                <w:color w:val="auto"/>
              </w:rPr>
            </w:pPr>
            <w:r>
              <w:rPr>
                <w:color w:val="auto"/>
              </w:rPr>
              <w:t>2</w:t>
            </w:r>
            <w:r>
              <w:rPr>
                <w:rFonts w:hint="eastAsia"/>
                <w:color w:val="auto"/>
              </w:rPr>
              <w:t>）当需要进行预压时，未按标准要求对基础和架体实施预压，扣</w:t>
            </w:r>
            <w:r>
              <w:rPr>
                <w:color w:val="auto"/>
              </w:rPr>
              <w:t>10</w:t>
            </w:r>
            <w:r>
              <w:rPr>
                <w:rFonts w:hint="eastAsia"/>
                <w:color w:val="auto"/>
              </w:rPr>
              <w:t>分</w:t>
            </w:r>
          </w:p>
          <w:p w14:paraId="64F1BF5B">
            <w:pPr>
              <w:pStyle w:val="44"/>
              <w:jc w:val="left"/>
              <w:rPr>
                <w:color w:val="auto"/>
              </w:rPr>
            </w:pPr>
            <w:r>
              <w:rPr>
                <w:color w:val="auto"/>
              </w:rPr>
              <w:t>3</w:t>
            </w:r>
            <w:r>
              <w:rPr>
                <w:rFonts w:hint="eastAsia"/>
                <w:color w:val="auto"/>
              </w:rPr>
              <w:t>）在支撑架搭设完毕、浇筑混凝土前，未办理完工验收手续，扣</w:t>
            </w:r>
            <w:r>
              <w:rPr>
                <w:color w:val="auto"/>
              </w:rPr>
              <w:t>10</w:t>
            </w:r>
            <w:r>
              <w:rPr>
                <w:rFonts w:hint="eastAsia"/>
                <w:color w:val="auto"/>
              </w:rPr>
              <w:t>分</w:t>
            </w:r>
          </w:p>
          <w:p w14:paraId="021EFAE7">
            <w:pPr>
              <w:pStyle w:val="44"/>
              <w:jc w:val="left"/>
              <w:rPr>
                <w:color w:val="auto"/>
              </w:rPr>
            </w:pPr>
            <w:r>
              <w:rPr>
                <w:color w:val="auto"/>
              </w:rPr>
              <w:t>4</w:t>
            </w:r>
            <w:r>
              <w:rPr>
                <w:rFonts w:hint="eastAsia"/>
                <w:color w:val="auto"/>
              </w:rPr>
              <w:t>）完工验收未形成记录，或未经责任人签字确认，扣</w:t>
            </w:r>
            <w:r>
              <w:rPr>
                <w:color w:val="auto"/>
              </w:rPr>
              <w:t>5</w:t>
            </w:r>
            <w:r>
              <w:rPr>
                <w:rFonts w:hint="eastAsia"/>
                <w:color w:val="auto"/>
              </w:rPr>
              <w:t>分</w:t>
            </w:r>
          </w:p>
          <w:p w14:paraId="2A5336AD">
            <w:pPr>
              <w:pStyle w:val="44"/>
              <w:jc w:val="left"/>
              <w:rPr>
                <w:color w:val="auto"/>
              </w:rPr>
            </w:pPr>
            <w:r>
              <w:rPr>
                <w:color w:val="auto"/>
              </w:rPr>
              <w:t>5</w:t>
            </w:r>
            <w:r>
              <w:rPr>
                <w:rFonts w:hint="eastAsia"/>
                <w:color w:val="auto"/>
              </w:rPr>
              <w:t>）各阶段检查验收内容和指标未按标准要求进行量化，扣</w:t>
            </w:r>
            <w:r>
              <w:rPr>
                <w:color w:val="auto"/>
              </w:rPr>
              <w:t>5</w:t>
            </w:r>
            <w:r>
              <w:rPr>
                <w:rFonts w:hint="eastAsia"/>
                <w:color w:val="auto"/>
              </w:rPr>
              <w:t>分</w:t>
            </w:r>
          </w:p>
          <w:p w14:paraId="4DE5B3A8">
            <w:pPr>
              <w:pStyle w:val="44"/>
              <w:jc w:val="left"/>
              <w:rPr>
                <w:color w:val="auto"/>
              </w:rPr>
            </w:pPr>
            <w:r>
              <w:rPr>
                <w:color w:val="auto"/>
              </w:rPr>
              <w:t>6</w:t>
            </w:r>
            <w:r>
              <w:rPr>
                <w:rFonts w:hint="eastAsia"/>
                <w:color w:val="auto"/>
              </w:rPr>
              <w:t>）验收合格后未在明显位置悬挂验收合格牌，扣</w:t>
            </w:r>
            <w:r>
              <w:rPr>
                <w:color w:val="auto"/>
              </w:rPr>
              <w:t>3</w:t>
            </w:r>
            <w:r>
              <w:rPr>
                <w:rFonts w:hint="eastAsia"/>
                <w:color w:val="auto"/>
              </w:rPr>
              <w:t>分</w:t>
            </w:r>
          </w:p>
        </w:tc>
        <w:tc>
          <w:tcPr>
            <w:tcW w:w="720" w:type="dxa"/>
            <w:vAlign w:val="center"/>
          </w:tcPr>
          <w:p w14:paraId="22088F6A">
            <w:pPr>
              <w:pStyle w:val="44"/>
              <w:rPr>
                <w:color w:val="auto"/>
              </w:rPr>
            </w:pPr>
            <w:r>
              <w:rPr>
                <w:rFonts w:hint="eastAsia"/>
                <w:color w:val="auto"/>
              </w:rPr>
              <w:t>10</w:t>
            </w:r>
          </w:p>
        </w:tc>
        <w:tc>
          <w:tcPr>
            <w:tcW w:w="720" w:type="dxa"/>
            <w:vAlign w:val="center"/>
          </w:tcPr>
          <w:p w14:paraId="0F53268F">
            <w:pPr>
              <w:pStyle w:val="44"/>
              <w:rPr>
                <w:color w:val="auto"/>
              </w:rPr>
            </w:pPr>
          </w:p>
        </w:tc>
        <w:tc>
          <w:tcPr>
            <w:tcW w:w="720" w:type="dxa"/>
            <w:vAlign w:val="center"/>
          </w:tcPr>
          <w:p w14:paraId="74CBB00E">
            <w:pPr>
              <w:pStyle w:val="44"/>
              <w:rPr>
                <w:color w:val="auto"/>
              </w:rPr>
            </w:pPr>
          </w:p>
        </w:tc>
      </w:tr>
      <w:tr w14:paraId="266A5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DE09344">
            <w:pPr>
              <w:pStyle w:val="44"/>
              <w:rPr>
                <w:color w:val="auto"/>
              </w:rPr>
            </w:pPr>
            <w:r>
              <w:rPr>
                <w:rFonts w:hint="eastAsia"/>
                <w:color w:val="auto"/>
              </w:rPr>
              <w:t>7</w:t>
            </w:r>
          </w:p>
        </w:tc>
        <w:tc>
          <w:tcPr>
            <w:tcW w:w="543" w:type="dxa"/>
            <w:vMerge w:val="continue"/>
            <w:vAlign w:val="center"/>
          </w:tcPr>
          <w:p w14:paraId="57FCFC7F">
            <w:pPr>
              <w:pStyle w:val="44"/>
              <w:rPr>
                <w:color w:val="auto"/>
              </w:rPr>
            </w:pPr>
          </w:p>
        </w:tc>
        <w:tc>
          <w:tcPr>
            <w:tcW w:w="898" w:type="dxa"/>
            <w:vAlign w:val="center"/>
          </w:tcPr>
          <w:p w14:paraId="27B1F683">
            <w:pPr>
              <w:pStyle w:val="44"/>
              <w:rPr>
                <w:color w:val="auto"/>
              </w:rPr>
            </w:pPr>
            <w:r>
              <w:rPr>
                <w:rFonts w:hint="eastAsia"/>
                <w:color w:val="auto"/>
              </w:rPr>
              <w:t>使用与监测</w:t>
            </w:r>
          </w:p>
        </w:tc>
        <w:tc>
          <w:tcPr>
            <w:tcW w:w="5580" w:type="dxa"/>
            <w:vAlign w:val="center"/>
          </w:tcPr>
          <w:p w14:paraId="68271F18">
            <w:pPr>
              <w:pStyle w:val="44"/>
              <w:jc w:val="left"/>
              <w:rPr>
                <w:color w:val="auto"/>
              </w:rPr>
            </w:pPr>
            <w:r>
              <w:rPr>
                <w:color w:val="auto"/>
              </w:rPr>
              <w:t>1</w:t>
            </w:r>
            <w:r>
              <w:rPr>
                <w:rFonts w:hint="eastAsia"/>
                <w:color w:val="auto"/>
              </w:rPr>
              <w:t>）混凝土浇筑顺序不符合标准和安全专项施工方案的要求，扣</w:t>
            </w:r>
            <w:r>
              <w:rPr>
                <w:color w:val="auto"/>
              </w:rPr>
              <w:t>5</w:t>
            </w:r>
            <w:r>
              <w:rPr>
                <w:rFonts w:hint="eastAsia"/>
                <w:color w:val="auto"/>
              </w:rPr>
              <w:t>分</w:t>
            </w:r>
          </w:p>
          <w:p w14:paraId="72BDC1C2">
            <w:pPr>
              <w:pStyle w:val="44"/>
              <w:jc w:val="left"/>
              <w:rPr>
                <w:color w:val="auto"/>
              </w:rPr>
            </w:pPr>
            <w:r>
              <w:rPr>
                <w:color w:val="auto"/>
              </w:rPr>
              <w:t>2</w:t>
            </w:r>
            <w:r>
              <w:rPr>
                <w:rFonts w:hint="eastAsia"/>
                <w:color w:val="auto"/>
              </w:rPr>
              <w:t>）作业层施工均布荷载或集中荷载超过设计允许范围，</w:t>
            </w:r>
            <w:r>
              <w:rPr>
                <w:color w:val="auto"/>
              </w:rPr>
              <w:t>10</w:t>
            </w:r>
            <w:r>
              <w:rPr>
                <w:rFonts w:hint="eastAsia"/>
                <w:color w:val="auto"/>
              </w:rPr>
              <w:t>分</w:t>
            </w:r>
          </w:p>
          <w:p w14:paraId="225BF138">
            <w:pPr>
              <w:pStyle w:val="44"/>
              <w:jc w:val="left"/>
              <w:rPr>
                <w:color w:val="auto"/>
              </w:rPr>
            </w:pPr>
            <w:r>
              <w:rPr>
                <w:color w:val="auto"/>
              </w:rPr>
              <w:t>3</w:t>
            </w:r>
            <w:r>
              <w:rPr>
                <w:rFonts w:hint="eastAsia"/>
                <w:color w:val="auto"/>
              </w:rPr>
              <w:t>）当浇筑混凝土时，未对混凝土的堆积高度进行控制，扣</w:t>
            </w:r>
            <w:r>
              <w:rPr>
                <w:color w:val="auto"/>
              </w:rPr>
              <w:t>5-10</w:t>
            </w:r>
            <w:r>
              <w:rPr>
                <w:rFonts w:hint="eastAsia"/>
                <w:color w:val="auto"/>
              </w:rPr>
              <w:t>分</w:t>
            </w:r>
          </w:p>
          <w:p w14:paraId="21B9BE8D">
            <w:pPr>
              <w:pStyle w:val="44"/>
              <w:jc w:val="left"/>
              <w:rPr>
                <w:color w:val="auto"/>
              </w:rPr>
            </w:pPr>
            <w:r>
              <w:rPr>
                <w:color w:val="auto"/>
              </w:rPr>
              <w:t>4</w:t>
            </w:r>
            <w:r>
              <w:rPr>
                <w:rFonts w:hint="eastAsia"/>
                <w:color w:val="auto"/>
              </w:rPr>
              <w:t>）支撑架未应按有关规定监测监控措施，或未在架体搭设、钢筋安装、混凝土浇捣过程中及混凝土终凝前后对基础沉降、模板支撑体系的位移进行监测监控，扣</w:t>
            </w:r>
            <w:r>
              <w:rPr>
                <w:color w:val="auto"/>
              </w:rPr>
              <w:t>10</w:t>
            </w:r>
            <w:r>
              <w:rPr>
                <w:rFonts w:hint="eastAsia"/>
                <w:color w:val="auto"/>
              </w:rPr>
              <w:t>分</w:t>
            </w:r>
          </w:p>
          <w:p w14:paraId="048E47F9">
            <w:pPr>
              <w:pStyle w:val="44"/>
              <w:jc w:val="left"/>
              <w:rPr>
                <w:color w:val="auto"/>
              </w:rPr>
            </w:pPr>
            <w:r>
              <w:rPr>
                <w:color w:val="auto"/>
              </w:rPr>
              <w:t>5</w:t>
            </w:r>
            <w:r>
              <w:rPr>
                <w:rFonts w:hint="eastAsia"/>
                <w:color w:val="auto"/>
              </w:rPr>
              <w:t>）监测监控未记录监测点、监测时间、工况、监测项目和报警值，扣</w:t>
            </w:r>
            <w:r>
              <w:rPr>
                <w:color w:val="auto"/>
              </w:rPr>
              <w:t>10</w:t>
            </w:r>
            <w:r>
              <w:rPr>
                <w:rFonts w:hint="eastAsia"/>
                <w:color w:val="auto"/>
              </w:rPr>
              <w:t>分</w:t>
            </w:r>
          </w:p>
        </w:tc>
        <w:tc>
          <w:tcPr>
            <w:tcW w:w="720" w:type="dxa"/>
            <w:vAlign w:val="center"/>
          </w:tcPr>
          <w:p w14:paraId="28D0E1FC">
            <w:pPr>
              <w:pStyle w:val="44"/>
              <w:rPr>
                <w:color w:val="auto"/>
              </w:rPr>
            </w:pPr>
            <w:r>
              <w:rPr>
                <w:rFonts w:hint="eastAsia"/>
                <w:color w:val="auto"/>
              </w:rPr>
              <w:t>10</w:t>
            </w:r>
          </w:p>
        </w:tc>
        <w:tc>
          <w:tcPr>
            <w:tcW w:w="720" w:type="dxa"/>
            <w:vAlign w:val="center"/>
          </w:tcPr>
          <w:p w14:paraId="4DBACA74">
            <w:pPr>
              <w:pStyle w:val="44"/>
              <w:rPr>
                <w:color w:val="auto"/>
              </w:rPr>
            </w:pPr>
          </w:p>
        </w:tc>
        <w:tc>
          <w:tcPr>
            <w:tcW w:w="720" w:type="dxa"/>
            <w:vAlign w:val="center"/>
          </w:tcPr>
          <w:p w14:paraId="1EEF84B7">
            <w:pPr>
              <w:pStyle w:val="44"/>
              <w:rPr>
                <w:color w:val="auto"/>
              </w:rPr>
            </w:pPr>
          </w:p>
        </w:tc>
      </w:tr>
      <w:tr w14:paraId="62AFD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6E86C00">
            <w:pPr>
              <w:pStyle w:val="44"/>
              <w:rPr>
                <w:color w:val="auto"/>
              </w:rPr>
            </w:pPr>
          </w:p>
        </w:tc>
        <w:tc>
          <w:tcPr>
            <w:tcW w:w="543" w:type="dxa"/>
            <w:vMerge w:val="continue"/>
          </w:tcPr>
          <w:p w14:paraId="1248E3AA">
            <w:pPr>
              <w:pStyle w:val="44"/>
              <w:rPr>
                <w:color w:val="auto"/>
              </w:rPr>
            </w:pPr>
          </w:p>
        </w:tc>
        <w:tc>
          <w:tcPr>
            <w:tcW w:w="6478" w:type="dxa"/>
            <w:gridSpan w:val="2"/>
            <w:vAlign w:val="center"/>
          </w:tcPr>
          <w:p w14:paraId="79EFE7C6">
            <w:pPr>
              <w:pStyle w:val="44"/>
              <w:rPr>
                <w:b/>
                <w:bCs w:val="0"/>
                <w:color w:val="auto"/>
              </w:rPr>
            </w:pPr>
            <w:r>
              <w:rPr>
                <w:rFonts w:hint="eastAsia"/>
                <w:b/>
                <w:bCs w:val="0"/>
                <w:color w:val="auto"/>
              </w:rPr>
              <w:t>小  计</w:t>
            </w:r>
          </w:p>
        </w:tc>
        <w:tc>
          <w:tcPr>
            <w:tcW w:w="720" w:type="dxa"/>
            <w:vAlign w:val="center"/>
          </w:tcPr>
          <w:p w14:paraId="4AE21CF7">
            <w:pPr>
              <w:pStyle w:val="44"/>
              <w:rPr>
                <w:color w:val="auto"/>
              </w:rPr>
            </w:pPr>
            <w:r>
              <w:rPr>
                <w:rFonts w:hint="eastAsia"/>
                <w:color w:val="auto"/>
              </w:rPr>
              <w:t>70</w:t>
            </w:r>
          </w:p>
        </w:tc>
        <w:tc>
          <w:tcPr>
            <w:tcW w:w="720" w:type="dxa"/>
            <w:vAlign w:val="center"/>
          </w:tcPr>
          <w:p w14:paraId="6751AC0C">
            <w:pPr>
              <w:pStyle w:val="44"/>
              <w:rPr>
                <w:color w:val="auto"/>
              </w:rPr>
            </w:pPr>
          </w:p>
        </w:tc>
        <w:tc>
          <w:tcPr>
            <w:tcW w:w="720" w:type="dxa"/>
            <w:vAlign w:val="center"/>
          </w:tcPr>
          <w:p w14:paraId="4D9DB549">
            <w:pPr>
              <w:pStyle w:val="44"/>
              <w:rPr>
                <w:color w:val="auto"/>
              </w:rPr>
            </w:pPr>
          </w:p>
        </w:tc>
      </w:tr>
      <w:tr w14:paraId="00FE9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62E9697E">
            <w:pPr>
              <w:pStyle w:val="44"/>
              <w:rPr>
                <w:color w:val="auto"/>
              </w:rPr>
            </w:pPr>
            <w:r>
              <w:rPr>
                <w:rFonts w:hint="eastAsia"/>
                <w:color w:val="auto"/>
              </w:rPr>
              <w:t>1</w:t>
            </w:r>
          </w:p>
        </w:tc>
        <w:tc>
          <w:tcPr>
            <w:tcW w:w="543" w:type="dxa"/>
            <w:vMerge w:val="restart"/>
            <w:vAlign w:val="center"/>
          </w:tcPr>
          <w:p w14:paraId="7EBAFF05">
            <w:pPr>
              <w:pStyle w:val="44"/>
              <w:rPr>
                <w:color w:val="auto"/>
              </w:rPr>
            </w:pPr>
            <w:r>
              <w:rPr>
                <w:rFonts w:hint="eastAsia"/>
                <w:color w:val="auto"/>
              </w:rPr>
              <w:t>一</w:t>
            </w:r>
          </w:p>
          <w:p w14:paraId="33D51BBE">
            <w:pPr>
              <w:pStyle w:val="44"/>
              <w:rPr>
                <w:color w:val="auto"/>
              </w:rPr>
            </w:pPr>
            <w:r>
              <w:rPr>
                <w:rFonts w:hint="eastAsia"/>
                <w:color w:val="auto"/>
              </w:rPr>
              <w:t>般</w:t>
            </w:r>
          </w:p>
          <w:p w14:paraId="4FBB1DA8">
            <w:pPr>
              <w:pStyle w:val="44"/>
              <w:rPr>
                <w:color w:val="auto"/>
              </w:rPr>
            </w:pPr>
            <w:r>
              <w:rPr>
                <w:rFonts w:hint="eastAsia"/>
                <w:color w:val="auto"/>
              </w:rPr>
              <w:t>项</w:t>
            </w:r>
          </w:p>
          <w:p w14:paraId="1C3CDBEC">
            <w:pPr>
              <w:pStyle w:val="44"/>
              <w:rPr>
                <w:color w:val="auto"/>
              </w:rPr>
            </w:pPr>
            <w:r>
              <w:rPr>
                <w:rFonts w:hint="eastAsia"/>
                <w:color w:val="auto"/>
              </w:rPr>
              <w:t>目</w:t>
            </w:r>
          </w:p>
        </w:tc>
        <w:tc>
          <w:tcPr>
            <w:tcW w:w="898" w:type="dxa"/>
            <w:vAlign w:val="center"/>
          </w:tcPr>
          <w:p w14:paraId="26FDF0D3">
            <w:pPr>
              <w:pStyle w:val="44"/>
              <w:rPr>
                <w:color w:val="auto"/>
              </w:rPr>
            </w:pPr>
            <w:r>
              <w:rPr>
                <w:rFonts w:hint="eastAsia"/>
                <w:color w:val="auto"/>
              </w:rPr>
              <w:t>杆件连接</w:t>
            </w:r>
          </w:p>
        </w:tc>
        <w:tc>
          <w:tcPr>
            <w:tcW w:w="5580" w:type="dxa"/>
            <w:vAlign w:val="center"/>
          </w:tcPr>
          <w:p w14:paraId="6DF33943">
            <w:pPr>
              <w:pStyle w:val="44"/>
              <w:jc w:val="left"/>
              <w:rPr>
                <w:color w:val="auto"/>
              </w:rPr>
            </w:pPr>
            <w:r>
              <w:rPr>
                <w:color w:val="auto"/>
              </w:rPr>
              <w:t>1</w:t>
            </w:r>
            <w:r>
              <w:rPr>
                <w:rFonts w:hint="eastAsia"/>
                <w:color w:val="auto"/>
              </w:rPr>
              <w:t>）节点组装时，扣件的扭紧力矩小于</w:t>
            </w:r>
            <w:r>
              <w:rPr>
                <w:color w:val="auto"/>
              </w:rPr>
              <w:t>40</w:t>
            </w:r>
            <w:r>
              <w:rPr>
                <w:rFonts w:eastAsia="仿宋_GB2312"/>
                <w:color w:val="auto"/>
                <w:position w:val="-6"/>
              </w:rPr>
              <w:object>
                <v:shape id="_x0000_i1026" o:spt="75" type="#_x0000_t75" style="height:11.2pt;width:20.55pt;" o:ole="t" filled="f" o:preferrelative="t" stroked="f" coordsize="21600,21600">
                  <v:path/>
                  <v:fill on="f" focussize="0,0"/>
                  <v:stroke on="f" joinstyle="miter"/>
                  <v:imagedata r:id="rId6" o:title=""/>
                  <o:lock v:ext="edit" aspectratio="t"/>
                  <w10:wrap type="none"/>
                  <w10:anchorlock/>
                </v:shape>
                <o:OLEObject Type="Embed" ProgID="Equation.DSMT4" ShapeID="_x0000_i1026" DrawAspect="Content" ObjectID="_1468075726" r:id="rId7">
                  <o:LockedField>false</o:LockedField>
                </o:OLEObject>
              </w:object>
            </w:r>
            <w:r>
              <w:rPr>
                <w:rFonts w:hint="eastAsia"/>
                <w:color w:val="auto"/>
              </w:rPr>
              <w:t>，碗扣节点未通过上碗扣和限位销锁紧水平杆，承插型盘扣式节点的插销未楔紧，每处扣</w:t>
            </w:r>
            <w:r>
              <w:rPr>
                <w:color w:val="auto"/>
              </w:rPr>
              <w:t>2</w:t>
            </w:r>
            <w:r>
              <w:rPr>
                <w:rFonts w:hint="eastAsia"/>
                <w:color w:val="auto"/>
              </w:rPr>
              <w:t>分</w:t>
            </w:r>
          </w:p>
          <w:p w14:paraId="2F030CDB">
            <w:pPr>
              <w:pStyle w:val="44"/>
              <w:keepNext/>
              <w:keepLines/>
              <w:spacing w:before="156" w:beforeLines="50" w:after="156" w:afterLines="50"/>
              <w:jc w:val="left"/>
              <w:outlineLvl w:val="0"/>
              <w:rPr>
                <w:color w:val="auto"/>
              </w:rPr>
            </w:pPr>
            <w:r>
              <w:rPr>
                <w:color w:val="auto"/>
              </w:rPr>
              <w:t>2</w:t>
            </w:r>
            <w:r>
              <w:rPr>
                <w:rFonts w:hint="eastAsia"/>
                <w:color w:val="auto"/>
              </w:rPr>
              <w:t>）相邻立杆接头在同一步距内，每处扣</w:t>
            </w:r>
            <w:r>
              <w:rPr>
                <w:color w:val="auto"/>
              </w:rPr>
              <w:t>1</w:t>
            </w:r>
            <w:r>
              <w:rPr>
                <w:rFonts w:hint="eastAsia"/>
                <w:color w:val="auto"/>
              </w:rPr>
              <w:t>分</w:t>
            </w:r>
          </w:p>
          <w:p w14:paraId="0AB1F1D4">
            <w:pPr>
              <w:pStyle w:val="44"/>
              <w:keepNext/>
              <w:keepLines/>
              <w:spacing w:before="156" w:beforeLines="50" w:after="156" w:afterLines="50"/>
              <w:jc w:val="left"/>
              <w:outlineLvl w:val="0"/>
              <w:rPr>
                <w:color w:val="auto"/>
              </w:rPr>
            </w:pPr>
            <w:r>
              <w:rPr>
                <w:color w:val="auto"/>
              </w:rPr>
              <w:t>3</w:t>
            </w:r>
            <w:r>
              <w:rPr>
                <w:rFonts w:hint="eastAsia"/>
                <w:color w:val="auto"/>
              </w:rPr>
              <w:t>）扣件式钢管脚手架的纵向水平杆搭接长度小于</w:t>
            </w:r>
            <w:r>
              <w:rPr>
                <w:color w:val="auto"/>
              </w:rPr>
              <w:t>1m</w:t>
            </w:r>
            <w:r>
              <w:rPr>
                <w:rFonts w:hint="eastAsia"/>
                <w:color w:val="auto"/>
              </w:rPr>
              <w:t>或固定不符合标准要求，每处扣</w:t>
            </w:r>
            <w:r>
              <w:rPr>
                <w:color w:val="auto"/>
              </w:rPr>
              <w:t>2</w:t>
            </w:r>
            <w:r>
              <w:rPr>
                <w:rFonts w:hint="eastAsia"/>
                <w:color w:val="auto"/>
              </w:rPr>
              <w:t>分</w:t>
            </w:r>
          </w:p>
          <w:p w14:paraId="32705731">
            <w:pPr>
              <w:pStyle w:val="44"/>
              <w:keepNext/>
              <w:keepLines/>
              <w:spacing w:before="156" w:beforeLines="50" w:after="156" w:afterLines="50"/>
              <w:jc w:val="left"/>
              <w:outlineLvl w:val="0"/>
              <w:rPr>
                <w:color w:val="auto"/>
              </w:rPr>
            </w:pPr>
            <w:r>
              <w:rPr>
                <w:color w:val="auto"/>
              </w:rPr>
              <w:t>4</w:t>
            </w:r>
            <w:r>
              <w:rPr>
                <w:rFonts w:hint="eastAsia"/>
                <w:color w:val="auto"/>
              </w:rPr>
              <w:t>）扣件式钢管脚手架立杆采用搭接接长，每处扣</w:t>
            </w:r>
            <w:r>
              <w:rPr>
                <w:color w:val="auto"/>
              </w:rPr>
              <w:t>4</w:t>
            </w:r>
            <w:r>
              <w:rPr>
                <w:rFonts w:hint="eastAsia"/>
                <w:color w:val="auto"/>
              </w:rPr>
              <w:t>分</w:t>
            </w:r>
          </w:p>
          <w:p w14:paraId="1F698C49">
            <w:pPr>
              <w:pStyle w:val="44"/>
              <w:keepNext/>
              <w:keepLines/>
              <w:spacing w:before="156" w:beforeLines="50" w:after="156" w:afterLines="50"/>
              <w:jc w:val="left"/>
              <w:outlineLvl w:val="0"/>
              <w:rPr>
                <w:color w:val="auto"/>
              </w:rPr>
            </w:pPr>
            <w:r>
              <w:rPr>
                <w:color w:val="auto"/>
              </w:rPr>
              <w:t>5</w:t>
            </w:r>
            <w:r>
              <w:rPr>
                <w:rFonts w:hint="eastAsia"/>
                <w:color w:val="auto"/>
              </w:rPr>
              <w:t>）剪刀撑杆件的接长不符合标准要求，每处扣</w:t>
            </w:r>
            <w:r>
              <w:rPr>
                <w:color w:val="auto"/>
              </w:rPr>
              <w:t>2</w:t>
            </w:r>
            <w:r>
              <w:rPr>
                <w:rFonts w:hint="eastAsia"/>
                <w:color w:val="auto"/>
              </w:rPr>
              <w:t>分</w:t>
            </w:r>
          </w:p>
          <w:p w14:paraId="64659D3B">
            <w:pPr>
              <w:pStyle w:val="44"/>
              <w:keepNext/>
              <w:keepLines/>
              <w:spacing w:before="156" w:beforeLines="50" w:after="156" w:afterLines="50"/>
              <w:jc w:val="left"/>
              <w:outlineLvl w:val="0"/>
              <w:rPr>
                <w:color w:val="auto"/>
              </w:rPr>
            </w:pPr>
            <w:r>
              <w:rPr>
                <w:color w:val="auto"/>
              </w:rPr>
              <w:t>6</w:t>
            </w:r>
            <w:r>
              <w:rPr>
                <w:rFonts w:hint="eastAsia"/>
                <w:color w:val="auto"/>
              </w:rPr>
              <w:t>）专用斜撑杆的两端未固定在纵、横向水平杆与立杆交汇的节点处，每处扣</w:t>
            </w:r>
            <w:r>
              <w:rPr>
                <w:color w:val="auto"/>
              </w:rPr>
              <w:t>2</w:t>
            </w:r>
            <w:r>
              <w:rPr>
                <w:rFonts w:hint="eastAsia"/>
                <w:color w:val="auto"/>
              </w:rPr>
              <w:t>分</w:t>
            </w:r>
          </w:p>
          <w:p w14:paraId="2B50C6E2">
            <w:pPr>
              <w:pStyle w:val="44"/>
              <w:keepNext/>
              <w:keepLines/>
              <w:spacing w:before="156" w:beforeLines="50" w:after="156" w:afterLines="50"/>
              <w:jc w:val="left"/>
              <w:outlineLvl w:val="0"/>
              <w:rPr>
                <w:color w:val="auto"/>
              </w:rPr>
            </w:pPr>
            <w:r>
              <w:rPr>
                <w:color w:val="auto"/>
              </w:rPr>
              <w:t>7</w:t>
            </w:r>
            <w:r>
              <w:rPr>
                <w:rFonts w:hint="eastAsia"/>
                <w:color w:val="auto"/>
              </w:rPr>
              <w:t>）钢管扣件剪刀撑杆件的连接点距离架体主节点大于</w:t>
            </w:r>
            <w:r>
              <w:rPr>
                <w:color w:val="auto"/>
              </w:rPr>
              <w:t>150mm</w:t>
            </w:r>
            <w:r>
              <w:rPr>
                <w:rFonts w:hint="eastAsia"/>
                <w:color w:val="auto"/>
              </w:rPr>
              <w:t>，每处扣</w:t>
            </w:r>
            <w:r>
              <w:rPr>
                <w:color w:val="auto"/>
              </w:rPr>
              <w:t>1</w:t>
            </w:r>
            <w:r>
              <w:rPr>
                <w:rFonts w:hint="eastAsia"/>
                <w:color w:val="auto"/>
              </w:rPr>
              <w:t>分</w:t>
            </w:r>
          </w:p>
          <w:p w14:paraId="32E1005A">
            <w:pPr>
              <w:pStyle w:val="44"/>
              <w:keepNext/>
              <w:keepLines/>
              <w:spacing w:before="156" w:beforeLines="50" w:after="156" w:afterLines="50"/>
              <w:jc w:val="left"/>
              <w:outlineLvl w:val="0"/>
              <w:rPr>
                <w:color w:val="auto"/>
              </w:rPr>
            </w:pPr>
            <w:r>
              <w:rPr>
                <w:color w:val="auto"/>
              </w:rPr>
              <w:t>8</w:t>
            </w:r>
            <w:r>
              <w:rPr>
                <w:rFonts w:hint="eastAsia"/>
                <w:color w:val="auto"/>
              </w:rPr>
              <w:t>）架体与连墙件的连接点距离架体主节点大于</w:t>
            </w:r>
            <w:r>
              <w:rPr>
                <w:color w:val="auto"/>
              </w:rPr>
              <w:t>300mm</w:t>
            </w:r>
            <w:r>
              <w:rPr>
                <w:rFonts w:hint="eastAsia"/>
                <w:color w:val="auto"/>
              </w:rPr>
              <w:t>，每处扣</w:t>
            </w:r>
            <w:r>
              <w:rPr>
                <w:color w:val="auto"/>
              </w:rPr>
              <w:t>2</w:t>
            </w:r>
            <w:r>
              <w:rPr>
                <w:rFonts w:hint="eastAsia"/>
                <w:color w:val="auto"/>
              </w:rPr>
              <w:t>分</w:t>
            </w:r>
          </w:p>
        </w:tc>
        <w:tc>
          <w:tcPr>
            <w:tcW w:w="720" w:type="dxa"/>
            <w:vAlign w:val="center"/>
          </w:tcPr>
          <w:p w14:paraId="28A39BF3">
            <w:pPr>
              <w:pStyle w:val="44"/>
              <w:rPr>
                <w:color w:val="auto"/>
              </w:rPr>
            </w:pPr>
            <w:r>
              <w:rPr>
                <w:rFonts w:hint="eastAsia"/>
                <w:color w:val="auto"/>
              </w:rPr>
              <w:t>10</w:t>
            </w:r>
          </w:p>
        </w:tc>
        <w:tc>
          <w:tcPr>
            <w:tcW w:w="720" w:type="dxa"/>
            <w:vAlign w:val="center"/>
          </w:tcPr>
          <w:p w14:paraId="6DE87A6C">
            <w:pPr>
              <w:pStyle w:val="44"/>
              <w:rPr>
                <w:color w:val="auto"/>
              </w:rPr>
            </w:pPr>
          </w:p>
        </w:tc>
        <w:tc>
          <w:tcPr>
            <w:tcW w:w="720" w:type="dxa"/>
            <w:vAlign w:val="center"/>
          </w:tcPr>
          <w:p w14:paraId="4F75BACE">
            <w:pPr>
              <w:pStyle w:val="44"/>
              <w:rPr>
                <w:color w:val="auto"/>
              </w:rPr>
            </w:pPr>
          </w:p>
        </w:tc>
      </w:tr>
      <w:tr w14:paraId="6634D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40E49BD">
            <w:pPr>
              <w:pStyle w:val="44"/>
              <w:rPr>
                <w:color w:val="auto"/>
              </w:rPr>
            </w:pPr>
            <w:r>
              <w:rPr>
                <w:rFonts w:hint="eastAsia"/>
                <w:color w:val="auto"/>
              </w:rPr>
              <w:t>2</w:t>
            </w:r>
          </w:p>
        </w:tc>
        <w:tc>
          <w:tcPr>
            <w:tcW w:w="543" w:type="dxa"/>
            <w:vMerge w:val="continue"/>
          </w:tcPr>
          <w:p w14:paraId="5A7CBCB8">
            <w:pPr>
              <w:pStyle w:val="44"/>
              <w:rPr>
                <w:color w:val="auto"/>
              </w:rPr>
            </w:pPr>
          </w:p>
        </w:tc>
        <w:tc>
          <w:tcPr>
            <w:tcW w:w="898" w:type="dxa"/>
            <w:vAlign w:val="center"/>
          </w:tcPr>
          <w:p w14:paraId="6D1B0090">
            <w:pPr>
              <w:pStyle w:val="44"/>
              <w:keepNext/>
              <w:keepLines/>
              <w:spacing w:before="156" w:beforeLines="50" w:after="156" w:afterLines="50"/>
              <w:outlineLvl w:val="0"/>
              <w:rPr>
                <w:color w:val="auto"/>
              </w:rPr>
            </w:pPr>
            <w:r>
              <w:rPr>
                <w:rFonts w:hint="eastAsia"/>
                <w:color w:val="auto"/>
              </w:rPr>
              <w:t>安全防护</w:t>
            </w:r>
          </w:p>
        </w:tc>
        <w:tc>
          <w:tcPr>
            <w:tcW w:w="5580" w:type="dxa"/>
            <w:vAlign w:val="center"/>
          </w:tcPr>
          <w:p w14:paraId="1E543BB2">
            <w:pPr>
              <w:pStyle w:val="44"/>
              <w:keepNext/>
              <w:keepLines/>
              <w:spacing w:before="156" w:beforeLines="50" w:after="156" w:afterLines="50"/>
              <w:jc w:val="left"/>
              <w:outlineLvl w:val="0"/>
              <w:rPr>
                <w:color w:val="auto"/>
              </w:rPr>
            </w:pPr>
            <w:r>
              <w:rPr>
                <w:color w:val="auto"/>
              </w:rPr>
              <w:t>1</w:t>
            </w:r>
            <w:r>
              <w:rPr>
                <w:rFonts w:hint="eastAsia"/>
                <w:color w:val="auto"/>
              </w:rPr>
              <w:t>）无外脚手架时架体顶面四周未设置作业平台，扣</w:t>
            </w:r>
            <w:r>
              <w:rPr>
                <w:color w:val="auto"/>
              </w:rPr>
              <w:t>10</w:t>
            </w:r>
            <w:r>
              <w:rPr>
                <w:rFonts w:hint="eastAsia"/>
                <w:color w:val="auto"/>
              </w:rPr>
              <w:t>分</w:t>
            </w:r>
          </w:p>
          <w:p w14:paraId="78C8B4A5">
            <w:pPr>
              <w:pStyle w:val="44"/>
              <w:keepNext/>
              <w:keepLines/>
              <w:spacing w:before="156" w:beforeLines="50" w:after="156" w:afterLines="50"/>
              <w:jc w:val="left"/>
              <w:outlineLvl w:val="0"/>
              <w:rPr>
                <w:color w:val="auto"/>
              </w:rPr>
            </w:pPr>
            <w:r>
              <w:rPr>
                <w:color w:val="auto"/>
              </w:rPr>
              <w:t>2</w:t>
            </w:r>
            <w:r>
              <w:rPr>
                <w:rFonts w:hint="eastAsia"/>
                <w:color w:val="auto"/>
              </w:rPr>
              <w:t>）作业平台宽度、脚手板、挡脚板、安全立网、防护栏杆的设置不符合标准要求，每项扣</w:t>
            </w:r>
            <w:r>
              <w:rPr>
                <w:color w:val="auto"/>
              </w:rPr>
              <w:t>2</w:t>
            </w:r>
            <w:r>
              <w:rPr>
                <w:rFonts w:hint="eastAsia"/>
                <w:color w:val="auto"/>
              </w:rPr>
              <w:t>分</w:t>
            </w:r>
          </w:p>
          <w:p w14:paraId="57E1CD4D">
            <w:pPr>
              <w:pStyle w:val="44"/>
              <w:keepNext/>
              <w:keepLines/>
              <w:spacing w:before="156" w:beforeLines="50" w:after="156" w:afterLines="50"/>
              <w:jc w:val="left"/>
              <w:outlineLvl w:val="0"/>
              <w:rPr>
                <w:color w:val="auto"/>
              </w:rPr>
            </w:pPr>
            <w:r>
              <w:rPr>
                <w:color w:val="auto"/>
              </w:rPr>
              <w:t>3</w:t>
            </w:r>
            <w:r>
              <w:rPr>
                <w:rFonts w:hint="eastAsia"/>
                <w:color w:val="auto"/>
              </w:rPr>
              <w:t>）未设置供人员上下的专用通道，扣</w:t>
            </w:r>
            <w:r>
              <w:rPr>
                <w:color w:val="auto"/>
              </w:rPr>
              <w:t>10</w:t>
            </w:r>
            <w:r>
              <w:rPr>
                <w:rFonts w:hint="eastAsia"/>
                <w:color w:val="auto"/>
              </w:rPr>
              <w:t>分</w:t>
            </w:r>
          </w:p>
          <w:p w14:paraId="2C88D84E">
            <w:pPr>
              <w:pStyle w:val="44"/>
              <w:keepNext/>
              <w:keepLines/>
              <w:spacing w:before="156" w:beforeLines="50" w:after="156" w:afterLines="50"/>
              <w:jc w:val="left"/>
              <w:outlineLvl w:val="0"/>
              <w:rPr>
                <w:color w:val="auto"/>
              </w:rPr>
            </w:pPr>
            <w:r>
              <w:rPr>
                <w:color w:val="auto"/>
              </w:rPr>
              <w:t>4</w:t>
            </w:r>
            <w:r>
              <w:rPr>
                <w:rFonts w:hint="eastAsia"/>
                <w:color w:val="auto"/>
              </w:rPr>
              <w:t>）通道设置不符合标准要求或未与既有结构进行可靠连接，扣</w:t>
            </w:r>
            <w:r>
              <w:rPr>
                <w:color w:val="auto"/>
              </w:rPr>
              <w:t>2-5</w:t>
            </w:r>
            <w:r>
              <w:rPr>
                <w:rFonts w:hint="eastAsia"/>
                <w:color w:val="auto"/>
              </w:rPr>
              <w:t>分</w:t>
            </w:r>
          </w:p>
          <w:p w14:paraId="7583F4E4">
            <w:pPr>
              <w:pStyle w:val="44"/>
              <w:keepNext/>
              <w:keepLines/>
              <w:spacing w:before="156" w:beforeLines="50" w:after="156" w:afterLines="50"/>
              <w:jc w:val="left"/>
              <w:outlineLvl w:val="0"/>
              <w:rPr>
                <w:color w:val="auto"/>
              </w:rPr>
            </w:pPr>
            <w:r>
              <w:rPr>
                <w:color w:val="auto"/>
              </w:rPr>
              <w:t>5</w:t>
            </w:r>
            <w:r>
              <w:rPr>
                <w:rFonts w:hint="eastAsia"/>
                <w:color w:val="auto"/>
              </w:rPr>
              <w:t>）车行门洞通道未按标准要求设置顶部全封闭硬防护，扣</w:t>
            </w:r>
            <w:r>
              <w:rPr>
                <w:color w:val="auto"/>
              </w:rPr>
              <w:t>5</w:t>
            </w:r>
            <w:r>
              <w:rPr>
                <w:rFonts w:hint="eastAsia"/>
                <w:color w:val="auto"/>
              </w:rPr>
              <w:t>分</w:t>
            </w:r>
          </w:p>
          <w:p w14:paraId="36C79138">
            <w:pPr>
              <w:pStyle w:val="44"/>
              <w:keepNext/>
              <w:keepLines/>
              <w:spacing w:before="156" w:beforeLines="50" w:after="156" w:afterLines="50"/>
              <w:jc w:val="left"/>
              <w:outlineLvl w:val="0"/>
              <w:rPr>
                <w:color w:val="auto"/>
              </w:rPr>
            </w:pPr>
            <w:r>
              <w:rPr>
                <w:color w:val="auto"/>
              </w:rPr>
              <w:t>6</w:t>
            </w:r>
            <w:r>
              <w:rPr>
                <w:rFonts w:hint="eastAsia"/>
                <w:color w:val="auto"/>
              </w:rPr>
              <w:t>）门洞未按标准要求设置导向、限高、限宽、减速、防撞设施及标识，扣</w:t>
            </w:r>
            <w:r>
              <w:rPr>
                <w:color w:val="auto"/>
              </w:rPr>
              <w:t>2-5</w:t>
            </w:r>
            <w:r>
              <w:rPr>
                <w:rFonts w:hint="eastAsia"/>
                <w:color w:val="auto"/>
              </w:rPr>
              <w:t>分</w:t>
            </w:r>
          </w:p>
          <w:p w14:paraId="6C3C3273">
            <w:pPr>
              <w:pStyle w:val="44"/>
              <w:keepNext/>
              <w:keepLines/>
              <w:spacing w:before="156" w:beforeLines="50" w:after="156" w:afterLines="50"/>
              <w:jc w:val="left"/>
              <w:outlineLvl w:val="0"/>
              <w:rPr>
                <w:color w:val="auto"/>
              </w:rPr>
            </w:pPr>
            <w:r>
              <w:rPr>
                <w:color w:val="auto"/>
              </w:rPr>
              <w:t>7</w:t>
            </w:r>
            <w:r>
              <w:rPr>
                <w:rFonts w:hint="eastAsia"/>
                <w:color w:val="auto"/>
              </w:rPr>
              <w:t>）当支撑架可能受水流影响时未采取防冲（撞）击的安全措施，扣</w:t>
            </w:r>
            <w:r>
              <w:rPr>
                <w:color w:val="auto"/>
              </w:rPr>
              <w:t>8</w:t>
            </w:r>
            <w:r>
              <w:rPr>
                <w:rFonts w:hint="eastAsia"/>
                <w:color w:val="auto"/>
              </w:rPr>
              <w:t>分</w:t>
            </w:r>
          </w:p>
        </w:tc>
        <w:tc>
          <w:tcPr>
            <w:tcW w:w="720" w:type="dxa"/>
            <w:vAlign w:val="center"/>
          </w:tcPr>
          <w:p w14:paraId="632589BD">
            <w:pPr>
              <w:pStyle w:val="44"/>
              <w:rPr>
                <w:color w:val="auto"/>
              </w:rPr>
            </w:pPr>
            <w:r>
              <w:rPr>
                <w:rFonts w:hint="eastAsia"/>
                <w:color w:val="auto"/>
              </w:rPr>
              <w:t>10</w:t>
            </w:r>
          </w:p>
        </w:tc>
        <w:tc>
          <w:tcPr>
            <w:tcW w:w="720" w:type="dxa"/>
            <w:vAlign w:val="center"/>
          </w:tcPr>
          <w:p w14:paraId="4D0F0F86">
            <w:pPr>
              <w:pStyle w:val="44"/>
              <w:rPr>
                <w:color w:val="auto"/>
              </w:rPr>
            </w:pPr>
          </w:p>
        </w:tc>
        <w:tc>
          <w:tcPr>
            <w:tcW w:w="720" w:type="dxa"/>
            <w:vAlign w:val="center"/>
          </w:tcPr>
          <w:p w14:paraId="4E562381">
            <w:pPr>
              <w:pStyle w:val="44"/>
              <w:rPr>
                <w:color w:val="auto"/>
              </w:rPr>
            </w:pPr>
          </w:p>
        </w:tc>
      </w:tr>
      <w:tr w14:paraId="554AD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4D7479C">
            <w:pPr>
              <w:pStyle w:val="44"/>
              <w:rPr>
                <w:color w:val="auto"/>
              </w:rPr>
            </w:pPr>
            <w:r>
              <w:rPr>
                <w:rFonts w:hint="eastAsia"/>
                <w:color w:val="auto"/>
              </w:rPr>
              <w:t>3</w:t>
            </w:r>
          </w:p>
        </w:tc>
        <w:tc>
          <w:tcPr>
            <w:tcW w:w="543" w:type="dxa"/>
            <w:vMerge w:val="continue"/>
          </w:tcPr>
          <w:p w14:paraId="72D17347">
            <w:pPr>
              <w:pStyle w:val="44"/>
              <w:rPr>
                <w:color w:val="auto"/>
              </w:rPr>
            </w:pPr>
          </w:p>
        </w:tc>
        <w:tc>
          <w:tcPr>
            <w:tcW w:w="898" w:type="dxa"/>
            <w:vAlign w:val="center"/>
          </w:tcPr>
          <w:p w14:paraId="2B8DE02B">
            <w:pPr>
              <w:pStyle w:val="44"/>
              <w:keepNext/>
              <w:keepLines/>
              <w:spacing w:before="156" w:beforeLines="50" w:after="156" w:afterLines="50"/>
              <w:outlineLvl w:val="0"/>
              <w:rPr>
                <w:color w:val="auto"/>
              </w:rPr>
            </w:pPr>
            <w:r>
              <w:rPr>
                <w:rFonts w:hint="eastAsia"/>
                <w:color w:val="auto"/>
              </w:rPr>
              <w:t>底座、托撑与主次楞</w:t>
            </w:r>
          </w:p>
        </w:tc>
        <w:tc>
          <w:tcPr>
            <w:tcW w:w="5580" w:type="dxa"/>
            <w:vAlign w:val="center"/>
          </w:tcPr>
          <w:p w14:paraId="728E17BF">
            <w:pPr>
              <w:pStyle w:val="44"/>
              <w:keepNext/>
              <w:keepLines/>
              <w:spacing w:before="156" w:beforeLines="50" w:after="156" w:afterLines="50"/>
              <w:jc w:val="left"/>
              <w:outlineLvl w:val="0"/>
              <w:rPr>
                <w:color w:val="auto"/>
              </w:rPr>
            </w:pPr>
            <w:r>
              <w:rPr>
                <w:color w:val="auto"/>
              </w:rPr>
              <w:t>1</w:t>
            </w:r>
            <w:r>
              <w:rPr>
                <w:rFonts w:hint="eastAsia"/>
                <w:color w:val="auto"/>
              </w:rPr>
              <w:t>）可调底座、托撑螺杆直径与立杆内径配合间隙大于</w:t>
            </w:r>
            <w:r>
              <w:rPr>
                <w:color w:val="auto"/>
              </w:rPr>
              <w:t>2.5mm</w:t>
            </w:r>
            <w:r>
              <w:rPr>
                <w:rFonts w:hint="eastAsia"/>
                <w:color w:val="auto"/>
              </w:rPr>
              <w:t>，每处扣</w:t>
            </w:r>
            <w:r>
              <w:rPr>
                <w:color w:val="auto"/>
              </w:rPr>
              <w:t>2</w:t>
            </w:r>
            <w:r>
              <w:rPr>
                <w:rFonts w:hint="eastAsia"/>
                <w:color w:val="auto"/>
              </w:rPr>
              <w:t>分</w:t>
            </w:r>
          </w:p>
          <w:p w14:paraId="4ED30EAD">
            <w:pPr>
              <w:pStyle w:val="44"/>
              <w:keepNext/>
              <w:keepLines/>
              <w:spacing w:before="156" w:beforeLines="50" w:after="156" w:afterLines="50"/>
              <w:jc w:val="left"/>
              <w:outlineLvl w:val="0"/>
              <w:rPr>
                <w:color w:val="auto"/>
              </w:rPr>
            </w:pPr>
            <w:r>
              <w:rPr>
                <w:color w:val="auto"/>
              </w:rPr>
              <w:t>2</w:t>
            </w:r>
            <w:r>
              <w:rPr>
                <w:rFonts w:hint="eastAsia"/>
                <w:color w:val="auto"/>
              </w:rPr>
              <w:t>）螺杆与螺母的啮合长度少于</w:t>
            </w:r>
            <w:r>
              <w:rPr>
                <w:color w:val="auto"/>
              </w:rPr>
              <w:t>5</w:t>
            </w:r>
            <w:r>
              <w:rPr>
                <w:rFonts w:hint="eastAsia"/>
                <w:color w:val="auto"/>
              </w:rPr>
              <w:t>扣，每处扣</w:t>
            </w:r>
            <w:r>
              <w:rPr>
                <w:color w:val="auto"/>
              </w:rPr>
              <w:t>2</w:t>
            </w:r>
            <w:r>
              <w:rPr>
                <w:rFonts w:hint="eastAsia"/>
                <w:color w:val="auto"/>
              </w:rPr>
              <w:t>分</w:t>
            </w:r>
          </w:p>
          <w:p w14:paraId="7656E16B">
            <w:pPr>
              <w:pStyle w:val="44"/>
              <w:keepNext/>
              <w:keepLines/>
              <w:spacing w:before="156" w:beforeLines="50" w:after="156" w:afterLines="50"/>
              <w:jc w:val="left"/>
              <w:outlineLvl w:val="0"/>
              <w:rPr>
                <w:color w:val="auto"/>
              </w:rPr>
            </w:pPr>
            <w:r>
              <w:rPr>
                <w:color w:val="auto"/>
              </w:rPr>
              <w:t>3</w:t>
            </w:r>
            <w:r>
              <w:rPr>
                <w:rFonts w:hint="eastAsia"/>
                <w:color w:val="auto"/>
              </w:rPr>
              <w:t>）螺杆插入立杆内的长度小于</w:t>
            </w:r>
            <w:r>
              <w:rPr>
                <w:color w:val="auto"/>
              </w:rPr>
              <w:t>150mm</w:t>
            </w:r>
            <w:r>
              <w:rPr>
                <w:rFonts w:hint="eastAsia"/>
                <w:color w:val="auto"/>
              </w:rPr>
              <w:t>，每处扣</w:t>
            </w:r>
            <w:r>
              <w:rPr>
                <w:color w:val="auto"/>
              </w:rPr>
              <w:t>2</w:t>
            </w:r>
            <w:r>
              <w:rPr>
                <w:rFonts w:hint="eastAsia"/>
                <w:color w:val="auto"/>
              </w:rPr>
              <w:t>分</w:t>
            </w:r>
          </w:p>
          <w:p w14:paraId="5771B3D6">
            <w:pPr>
              <w:pStyle w:val="44"/>
              <w:keepNext/>
              <w:keepLines/>
              <w:spacing w:before="156" w:beforeLines="50" w:after="156" w:afterLines="50"/>
              <w:jc w:val="left"/>
              <w:outlineLvl w:val="0"/>
              <w:rPr>
                <w:color w:val="auto"/>
              </w:rPr>
            </w:pPr>
            <w:r>
              <w:rPr>
                <w:color w:val="auto"/>
              </w:rPr>
              <w:t>4</w:t>
            </w:r>
            <w:r>
              <w:rPr>
                <w:rFonts w:hint="eastAsia"/>
                <w:color w:val="auto"/>
              </w:rPr>
              <w:t>）主楞或次楞规格、型号、接长不符合标准要求，扣</w:t>
            </w:r>
            <w:r>
              <w:rPr>
                <w:color w:val="auto"/>
              </w:rPr>
              <w:t>5</w:t>
            </w:r>
            <w:r>
              <w:rPr>
                <w:rFonts w:hint="eastAsia"/>
                <w:color w:val="auto"/>
              </w:rPr>
              <w:t>分</w:t>
            </w:r>
          </w:p>
        </w:tc>
        <w:tc>
          <w:tcPr>
            <w:tcW w:w="720" w:type="dxa"/>
            <w:vAlign w:val="center"/>
          </w:tcPr>
          <w:p w14:paraId="6DF8EF67">
            <w:pPr>
              <w:pStyle w:val="44"/>
              <w:rPr>
                <w:color w:val="auto"/>
              </w:rPr>
            </w:pPr>
            <w:r>
              <w:rPr>
                <w:rFonts w:hint="eastAsia"/>
                <w:color w:val="auto"/>
              </w:rPr>
              <w:t>10</w:t>
            </w:r>
          </w:p>
        </w:tc>
        <w:tc>
          <w:tcPr>
            <w:tcW w:w="720" w:type="dxa"/>
            <w:vAlign w:val="center"/>
          </w:tcPr>
          <w:p w14:paraId="794CFD00">
            <w:pPr>
              <w:pStyle w:val="44"/>
              <w:rPr>
                <w:color w:val="auto"/>
              </w:rPr>
            </w:pPr>
          </w:p>
        </w:tc>
        <w:tc>
          <w:tcPr>
            <w:tcW w:w="720" w:type="dxa"/>
            <w:vAlign w:val="center"/>
          </w:tcPr>
          <w:p w14:paraId="5323225B">
            <w:pPr>
              <w:pStyle w:val="44"/>
              <w:rPr>
                <w:color w:val="auto"/>
              </w:rPr>
            </w:pPr>
          </w:p>
        </w:tc>
      </w:tr>
      <w:tr w14:paraId="4F587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73A11DD">
            <w:pPr>
              <w:pStyle w:val="44"/>
              <w:rPr>
                <w:color w:val="auto"/>
              </w:rPr>
            </w:pPr>
            <w:r>
              <w:rPr>
                <w:rFonts w:hint="eastAsia"/>
                <w:color w:val="auto"/>
              </w:rPr>
              <w:t>4</w:t>
            </w:r>
          </w:p>
        </w:tc>
        <w:tc>
          <w:tcPr>
            <w:tcW w:w="543" w:type="dxa"/>
            <w:vMerge w:val="continue"/>
          </w:tcPr>
          <w:p w14:paraId="02BC3775">
            <w:pPr>
              <w:pStyle w:val="44"/>
              <w:rPr>
                <w:color w:val="auto"/>
              </w:rPr>
            </w:pPr>
          </w:p>
        </w:tc>
        <w:tc>
          <w:tcPr>
            <w:tcW w:w="898" w:type="dxa"/>
            <w:vAlign w:val="center"/>
          </w:tcPr>
          <w:p w14:paraId="28DA2935">
            <w:pPr>
              <w:pStyle w:val="44"/>
              <w:keepNext/>
              <w:keepLines/>
              <w:spacing w:before="156" w:beforeLines="50" w:after="156" w:afterLines="50"/>
              <w:outlineLvl w:val="0"/>
              <w:rPr>
                <w:color w:val="auto"/>
              </w:rPr>
            </w:pPr>
            <w:r>
              <w:rPr>
                <w:rFonts w:hint="eastAsia"/>
                <w:color w:val="auto"/>
              </w:rPr>
              <w:t>支撑架拆除</w:t>
            </w:r>
          </w:p>
        </w:tc>
        <w:tc>
          <w:tcPr>
            <w:tcW w:w="5580" w:type="dxa"/>
            <w:vAlign w:val="center"/>
          </w:tcPr>
          <w:p w14:paraId="523EDAE4">
            <w:pPr>
              <w:pStyle w:val="44"/>
              <w:keepNext/>
              <w:keepLines/>
              <w:spacing w:before="156" w:beforeLines="50" w:after="156" w:afterLines="50"/>
              <w:jc w:val="left"/>
              <w:outlineLvl w:val="0"/>
              <w:rPr>
                <w:color w:val="auto"/>
              </w:rPr>
            </w:pPr>
            <w:r>
              <w:rPr>
                <w:color w:val="auto"/>
              </w:rPr>
              <w:t>1</w:t>
            </w:r>
            <w:r>
              <w:rPr>
                <w:rFonts w:hint="eastAsia"/>
                <w:color w:val="auto"/>
              </w:rPr>
              <w:t>）架体拆除前未进行拆除安全技术交底，扣</w:t>
            </w:r>
            <w:r>
              <w:rPr>
                <w:color w:val="auto"/>
              </w:rPr>
              <w:t>5</w:t>
            </w:r>
            <w:r>
              <w:rPr>
                <w:rFonts w:hint="eastAsia"/>
                <w:color w:val="auto"/>
              </w:rPr>
              <w:t>分；交底无针对性或无文字记录，扣</w:t>
            </w:r>
            <w:r>
              <w:rPr>
                <w:color w:val="auto"/>
              </w:rPr>
              <w:t>2-5</w:t>
            </w:r>
            <w:r>
              <w:rPr>
                <w:rFonts w:hint="eastAsia"/>
                <w:color w:val="auto"/>
              </w:rPr>
              <w:t>分</w:t>
            </w:r>
          </w:p>
          <w:p w14:paraId="3204F306">
            <w:pPr>
              <w:pStyle w:val="44"/>
              <w:keepNext/>
              <w:keepLines/>
              <w:spacing w:before="156" w:beforeLines="50" w:after="156" w:afterLines="50"/>
              <w:jc w:val="left"/>
              <w:outlineLvl w:val="0"/>
              <w:rPr>
                <w:color w:val="auto"/>
              </w:rPr>
            </w:pPr>
            <w:r>
              <w:rPr>
                <w:color w:val="auto"/>
              </w:rPr>
              <w:t>2</w:t>
            </w:r>
            <w:r>
              <w:rPr>
                <w:rFonts w:hint="eastAsia"/>
                <w:color w:val="auto"/>
              </w:rPr>
              <w:t>）支撑架拆除前未确认混凝土达到拆模强度要求，扣</w:t>
            </w:r>
            <w:r>
              <w:rPr>
                <w:color w:val="auto"/>
              </w:rPr>
              <w:t>5</w:t>
            </w:r>
            <w:r>
              <w:rPr>
                <w:rFonts w:hint="eastAsia"/>
                <w:color w:val="auto"/>
              </w:rPr>
              <w:t>分</w:t>
            </w:r>
          </w:p>
          <w:p w14:paraId="36A89974">
            <w:pPr>
              <w:pStyle w:val="44"/>
              <w:keepNext/>
              <w:keepLines/>
              <w:spacing w:before="156" w:beforeLines="50" w:after="156" w:afterLines="50"/>
              <w:jc w:val="left"/>
              <w:outlineLvl w:val="0"/>
              <w:rPr>
                <w:color w:val="auto"/>
              </w:rPr>
            </w:pPr>
            <w:r>
              <w:rPr>
                <w:color w:val="auto"/>
              </w:rPr>
              <w:t>3</w:t>
            </w:r>
            <w:r>
              <w:rPr>
                <w:rFonts w:hint="eastAsia"/>
                <w:color w:val="auto"/>
              </w:rPr>
              <w:t>）支撑架拆除未填写拆模申请单并履行拆模审批手续，扣</w:t>
            </w:r>
            <w:r>
              <w:rPr>
                <w:color w:val="auto"/>
              </w:rPr>
              <w:t>2</w:t>
            </w:r>
            <w:r>
              <w:rPr>
                <w:rFonts w:hint="eastAsia"/>
                <w:color w:val="auto"/>
              </w:rPr>
              <w:t>分</w:t>
            </w:r>
          </w:p>
          <w:p w14:paraId="4E47AFA0">
            <w:pPr>
              <w:pStyle w:val="44"/>
              <w:keepNext/>
              <w:keepLines/>
              <w:spacing w:before="156" w:beforeLines="50" w:after="156" w:afterLines="50"/>
              <w:jc w:val="left"/>
              <w:outlineLvl w:val="0"/>
              <w:rPr>
                <w:color w:val="auto"/>
              </w:rPr>
            </w:pPr>
            <w:r>
              <w:rPr>
                <w:color w:val="auto"/>
              </w:rPr>
              <w:t>4</w:t>
            </w:r>
            <w:r>
              <w:rPr>
                <w:rFonts w:hint="eastAsia"/>
                <w:color w:val="auto"/>
              </w:rPr>
              <w:t>）预应力混凝土结构的支撑架在建立预应力前拆除，扣</w:t>
            </w:r>
            <w:r>
              <w:rPr>
                <w:color w:val="auto"/>
              </w:rPr>
              <w:t>5</w:t>
            </w:r>
            <w:r>
              <w:rPr>
                <w:rFonts w:hint="eastAsia"/>
                <w:color w:val="auto"/>
              </w:rPr>
              <w:t>分</w:t>
            </w:r>
          </w:p>
          <w:p w14:paraId="0693A272">
            <w:pPr>
              <w:pStyle w:val="44"/>
              <w:keepNext/>
              <w:keepLines/>
              <w:spacing w:before="156" w:beforeLines="50" w:after="156" w:afterLines="50"/>
              <w:jc w:val="left"/>
              <w:outlineLvl w:val="0"/>
              <w:rPr>
                <w:color w:val="auto"/>
              </w:rPr>
            </w:pPr>
            <w:r>
              <w:rPr>
                <w:color w:val="auto"/>
              </w:rPr>
              <w:t>5</w:t>
            </w:r>
            <w:r>
              <w:rPr>
                <w:rFonts w:hint="eastAsia"/>
                <w:color w:val="auto"/>
              </w:rPr>
              <w:t>）拆除作业未按分层、分段、由上至下的顺序进行，扣</w:t>
            </w:r>
            <w:r>
              <w:rPr>
                <w:color w:val="auto"/>
              </w:rPr>
              <w:t>5</w:t>
            </w:r>
            <w:r>
              <w:rPr>
                <w:rFonts w:hint="eastAsia"/>
                <w:color w:val="auto"/>
              </w:rPr>
              <w:t>分</w:t>
            </w:r>
          </w:p>
          <w:p w14:paraId="486987B6">
            <w:pPr>
              <w:pStyle w:val="44"/>
              <w:keepNext/>
              <w:keepLines/>
              <w:spacing w:before="156" w:beforeLines="50" w:after="156" w:afterLines="50"/>
              <w:jc w:val="left"/>
              <w:outlineLvl w:val="0"/>
              <w:rPr>
                <w:color w:val="auto"/>
              </w:rPr>
            </w:pPr>
            <w:r>
              <w:rPr>
                <w:color w:val="auto"/>
              </w:rPr>
              <w:t>6</w:t>
            </w:r>
            <w:r>
              <w:rPr>
                <w:rFonts w:hint="eastAsia"/>
                <w:color w:val="auto"/>
              </w:rPr>
              <w:t>）支撑架拆除未按规定设置警戒区或未设专人监护，扣</w:t>
            </w:r>
            <w:r>
              <w:rPr>
                <w:color w:val="auto"/>
              </w:rPr>
              <w:t>5</w:t>
            </w:r>
            <w:r>
              <w:rPr>
                <w:rFonts w:hint="eastAsia"/>
                <w:color w:val="auto"/>
              </w:rPr>
              <w:t>分</w:t>
            </w:r>
          </w:p>
        </w:tc>
        <w:tc>
          <w:tcPr>
            <w:tcW w:w="720" w:type="dxa"/>
            <w:vAlign w:val="center"/>
          </w:tcPr>
          <w:p w14:paraId="49B7F67A">
            <w:pPr>
              <w:pStyle w:val="44"/>
              <w:rPr>
                <w:color w:val="auto"/>
              </w:rPr>
            </w:pPr>
          </w:p>
        </w:tc>
        <w:tc>
          <w:tcPr>
            <w:tcW w:w="720" w:type="dxa"/>
            <w:vAlign w:val="center"/>
          </w:tcPr>
          <w:p w14:paraId="43997CC7">
            <w:pPr>
              <w:pStyle w:val="44"/>
              <w:rPr>
                <w:color w:val="auto"/>
              </w:rPr>
            </w:pPr>
          </w:p>
        </w:tc>
        <w:tc>
          <w:tcPr>
            <w:tcW w:w="720" w:type="dxa"/>
            <w:vAlign w:val="center"/>
          </w:tcPr>
          <w:p w14:paraId="7EF99C29">
            <w:pPr>
              <w:pStyle w:val="44"/>
              <w:rPr>
                <w:color w:val="auto"/>
              </w:rPr>
            </w:pPr>
          </w:p>
        </w:tc>
      </w:tr>
      <w:tr w14:paraId="1A456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2C685E8">
            <w:pPr>
              <w:pStyle w:val="44"/>
              <w:rPr>
                <w:color w:val="auto"/>
              </w:rPr>
            </w:pPr>
          </w:p>
        </w:tc>
        <w:tc>
          <w:tcPr>
            <w:tcW w:w="543" w:type="dxa"/>
            <w:vMerge w:val="continue"/>
          </w:tcPr>
          <w:p w14:paraId="6BAE1B0E">
            <w:pPr>
              <w:pStyle w:val="44"/>
              <w:rPr>
                <w:color w:val="auto"/>
              </w:rPr>
            </w:pPr>
          </w:p>
        </w:tc>
        <w:tc>
          <w:tcPr>
            <w:tcW w:w="6478" w:type="dxa"/>
            <w:gridSpan w:val="2"/>
            <w:vAlign w:val="center"/>
          </w:tcPr>
          <w:p w14:paraId="3F0F1F7F">
            <w:pPr>
              <w:pStyle w:val="44"/>
              <w:rPr>
                <w:b/>
                <w:bCs w:val="0"/>
                <w:color w:val="auto"/>
              </w:rPr>
            </w:pPr>
            <w:r>
              <w:rPr>
                <w:rFonts w:hint="eastAsia"/>
                <w:b/>
                <w:bCs w:val="0"/>
                <w:color w:val="auto"/>
              </w:rPr>
              <w:t>小  计</w:t>
            </w:r>
          </w:p>
        </w:tc>
        <w:tc>
          <w:tcPr>
            <w:tcW w:w="720" w:type="dxa"/>
            <w:vAlign w:val="center"/>
          </w:tcPr>
          <w:p w14:paraId="5A3A8E9D">
            <w:pPr>
              <w:pStyle w:val="44"/>
              <w:rPr>
                <w:color w:val="auto"/>
              </w:rPr>
            </w:pPr>
            <w:r>
              <w:rPr>
                <w:rFonts w:hint="eastAsia"/>
                <w:color w:val="auto"/>
              </w:rPr>
              <w:t>30</w:t>
            </w:r>
          </w:p>
        </w:tc>
        <w:tc>
          <w:tcPr>
            <w:tcW w:w="720" w:type="dxa"/>
            <w:vAlign w:val="center"/>
          </w:tcPr>
          <w:p w14:paraId="2ABA1603">
            <w:pPr>
              <w:pStyle w:val="44"/>
              <w:rPr>
                <w:color w:val="auto"/>
              </w:rPr>
            </w:pPr>
          </w:p>
        </w:tc>
        <w:tc>
          <w:tcPr>
            <w:tcW w:w="720" w:type="dxa"/>
            <w:vAlign w:val="center"/>
          </w:tcPr>
          <w:p w14:paraId="0CF91D3B">
            <w:pPr>
              <w:pStyle w:val="44"/>
              <w:rPr>
                <w:color w:val="auto"/>
              </w:rPr>
            </w:pPr>
          </w:p>
        </w:tc>
      </w:tr>
      <w:tr w14:paraId="73113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560" w:type="dxa"/>
            <w:gridSpan w:val="4"/>
            <w:vAlign w:val="center"/>
          </w:tcPr>
          <w:p w14:paraId="4E12CDF3">
            <w:pPr>
              <w:pStyle w:val="44"/>
              <w:rPr>
                <w:b/>
                <w:bCs w:val="0"/>
                <w:color w:val="auto"/>
              </w:rPr>
            </w:pPr>
            <w:r>
              <w:rPr>
                <w:rFonts w:hint="eastAsia"/>
                <w:b/>
                <w:bCs w:val="0"/>
                <w:color w:val="auto"/>
              </w:rPr>
              <w:t>检查项目合计</w:t>
            </w:r>
          </w:p>
        </w:tc>
        <w:tc>
          <w:tcPr>
            <w:tcW w:w="720" w:type="dxa"/>
            <w:vAlign w:val="center"/>
          </w:tcPr>
          <w:p w14:paraId="70086B6A">
            <w:pPr>
              <w:pStyle w:val="44"/>
              <w:rPr>
                <w:color w:val="auto"/>
              </w:rPr>
            </w:pPr>
            <w:r>
              <w:rPr>
                <w:rFonts w:hint="eastAsia"/>
                <w:color w:val="auto"/>
              </w:rPr>
              <w:t>100</w:t>
            </w:r>
          </w:p>
        </w:tc>
        <w:tc>
          <w:tcPr>
            <w:tcW w:w="720" w:type="dxa"/>
            <w:vAlign w:val="center"/>
          </w:tcPr>
          <w:p w14:paraId="155C59A5">
            <w:pPr>
              <w:pStyle w:val="44"/>
              <w:rPr>
                <w:color w:val="auto"/>
              </w:rPr>
            </w:pPr>
          </w:p>
        </w:tc>
        <w:tc>
          <w:tcPr>
            <w:tcW w:w="720" w:type="dxa"/>
            <w:vAlign w:val="center"/>
          </w:tcPr>
          <w:p w14:paraId="55CA80FF">
            <w:pPr>
              <w:pStyle w:val="44"/>
              <w:rPr>
                <w:color w:val="auto"/>
              </w:rPr>
            </w:pPr>
          </w:p>
        </w:tc>
      </w:tr>
    </w:tbl>
    <w:p w14:paraId="16EDA2CF">
      <w:pPr>
        <w:pStyle w:val="5"/>
      </w:pPr>
      <w:r>
        <w:rPr>
          <w:rFonts w:hint="eastAsia"/>
        </w:rPr>
        <w:br w:type="page"/>
      </w:r>
      <w:bookmarkStart w:id="58" w:name="_Toc24809"/>
      <w:bookmarkStart w:id="59" w:name="_Toc24930"/>
      <w:bookmarkStart w:id="60" w:name="_Toc17949"/>
      <w:r>
        <w:rPr>
          <w:rFonts w:hint="eastAsia"/>
        </w:rPr>
        <w:t>表B.1</w:t>
      </w:r>
      <w:r>
        <w:t>7</w:t>
      </w:r>
      <w:r>
        <w:rPr>
          <w:rFonts w:hint="eastAsia"/>
        </w:rPr>
        <w:t xml:space="preserve">  梁柱式模板支撑架检查</w:t>
      </w:r>
      <w:r>
        <w:t>评分表</w:t>
      </w:r>
      <w:bookmarkEnd w:id="58"/>
      <w:bookmarkEnd w:id="59"/>
      <w:bookmarkEnd w:id="60"/>
    </w:p>
    <w:tbl>
      <w:tblPr>
        <w:tblStyle w:val="19"/>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5F1CB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jc w:val="center"/>
        </w:trPr>
        <w:tc>
          <w:tcPr>
            <w:tcW w:w="539" w:type="dxa"/>
            <w:vAlign w:val="center"/>
          </w:tcPr>
          <w:p w14:paraId="7DD6BA37">
            <w:pPr>
              <w:pStyle w:val="44"/>
              <w:keepNext/>
              <w:keepLines/>
              <w:spacing w:before="156" w:beforeLines="50" w:after="156" w:afterLines="50"/>
              <w:outlineLvl w:val="0"/>
              <w:rPr>
                <w:color w:val="auto"/>
              </w:rPr>
            </w:pPr>
            <w:r>
              <w:rPr>
                <w:rFonts w:hint="eastAsia"/>
                <w:color w:val="auto"/>
              </w:rPr>
              <w:t>序号</w:t>
            </w:r>
          </w:p>
        </w:tc>
        <w:tc>
          <w:tcPr>
            <w:tcW w:w="1441" w:type="dxa"/>
            <w:gridSpan w:val="2"/>
            <w:vAlign w:val="center"/>
          </w:tcPr>
          <w:p w14:paraId="1EC72EC1">
            <w:pPr>
              <w:pStyle w:val="44"/>
              <w:keepNext/>
              <w:keepLines/>
              <w:spacing w:before="156" w:beforeLines="50" w:after="156" w:afterLines="50"/>
              <w:outlineLvl w:val="0"/>
              <w:rPr>
                <w:color w:val="auto"/>
              </w:rPr>
            </w:pPr>
            <w:r>
              <w:rPr>
                <w:rFonts w:hint="eastAsia"/>
                <w:color w:val="auto"/>
              </w:rPr>
              <w:t>检查项目</w:t>
            </w:r>
          </w:p>
        </w:tc>
        <w:tc>
          <w:tcPr>
            <w:tcW w:w="5580" w:type="dxa"/>
            <w:vAlign w:val="center"/>
          </w:tcPr>
          <w:p w14:paraId="2E550159">
            <w:pPr>
              <w:pStyle w:val="44"/>
              <w:keepNext/>
              <w:keepLines/>
              <w:spacing w:before="156" w:beforeLines="50" w:after="156" w:afterLines="50"/>
              <w:outlineLvl w:val="0"/>
              <w:rPr>
                <w:color w:val="auto"/>
              </w:rPr>
            </w:pPr>
            <w:r>
              <w:rPr>
                <w:rFonts w:hint="eastAsia"/>
                <w:color w:val="auto"/>
              </w:rPr>
              <w:t>扣</w:t>
            </w:r>
            <w:r>
              <w:rPr>
                <w:color w:val="auto"/>
              </w:rPr>
              <w:t xml:space="preserve"> </w:t>
            </w:r>
            <w:r>
              <w:rPr>
                <w:rFonts w:hint="eastAsia"/>
                <w:color w:val="auto"/>
              </w:rPr>
              <w:t>分</w:t>
            </w:r>
            <w:r>
              <w:rPr>
                <w:color w:val="auto"/>
              </w:rPr>
              <w:t xml:space="preserve"> </w:t>
            </w:r>
            <w:r>
              <w:rPr>
                <w:rFonts w:hint="eastAsia"/>
                <w:color w:val="auto"/>
              </w:rPr>
              <w:t>标</w:t>
            </w:r>
            <w:r>
              <w:rPr>
                <w:color w:val="auto"/>
              </w:rPr>
              <w:t xml:space="preserve"> </w:t>
            </w:r>
            <w:r>
              <w:rPr>
                <w:rFonts w:hint="eastAsia"/>
                <w:color w:val="auto"/>
              </w:rPr>
              <w:t>准</w:t>
            </w:r>
          </w:p>
        </w:tc>
        <w:tc>
          <w:tcPr>
            <w:tcW w:w="720" w:type="dxa"/>
            <w:vAlign w:val="center"/>
          </w:tcPr>
          <w:p w14:paraId="78DD03A3">
            <w:pPr>
              <w:pStyle w:val="44"/>
              <w:keepNext/>
              <w:keepLines/>
              <w:spacing w:before="156" w:beforeLines="50" w:after="156" w:afterLines="50"/>
              <w:outlineLvl w:val="0"/>
              <w:rPr>
                <w:color w:val="auto"/>
              </w:rPr>
            </w:pPr>
            <w:r>
              <w:rPr>
                <w:rFonts w:hint="eastAsia"/>
                <w:color w:val="auto"/>
              </w:rPr>
              <w:t>应得</w:t>
            </w:r>
          </w:p>
          <w:p w14:paraId="23EE5CEA">
            <w:pPr>
              <w:pStyle w:val="44"/>
              <w:keepNext/>
              <w:keepLines/>
              <w:spacing w:before="156" w:beforeLines="50" w:after="156" w:afterLines="50"/>
              <w:outlineLvl w:val="0"/>
              <w:rPr>
                <w:color w:val="auto"/>
              </w:rPr>
            </w:pPr>
            <w:r>
              <w:rPr>
                <w:rFonts w:hint="eastAsia"/>
                <w:color w:val="auto"/>
              </w:rPr>
              <w:t>分数</w:t>
            </w:r>
          </w:p>
        </w:tc>
        <w:tc>
          <w:tcPr>
            <w:tcW w:w="720" w:type="dxa"/>
            <w:vAlign w:val="center"/>
          </w:tcPr>
          <w:p w14:paraId="51BE1505">
            <w:pPr>
              <w:pStyle w:val="44"/>
              <w:keepNext/>
              <w:keepLines/>
              <w:spacing w:before="156" w:beforeLines="50" w:after="156" w:afterLines="50"/>
              <w:outlineLvl w:val="0"/>
              <w:rPr>
                <w:color w:val="auto"/>
              </w:rPr>
            </w:pPr>
            <w:r>
              <w:rPr>
                <w:rFonts w:hint="eastAsia"/>
                <w:color w:val="auto"/>
              </w:rPr>
              <w:t>扣减</w:t>
            </w:r>
          </w:p>
          <w:p w14:paraId="12DD2D33">
            <w:pPr>
              <w:pStyle w:val="44"/>
              <w:keepNext/>
              <w:keepLines/>
              <w:spacing w:before="156" w:beforeLines="50" w:after="156" w:afterLines="50"/>
              <w:outlineLvl w:val="0"/>
              <w:rPr>
                <w:color w:val="auto"/>
              </w:rPr>
            </w:pPr>
            <w:r>
              <w:rPr>
                <w:rFonts w:hint="eastAsia"/>
                <w:color w:val="auto"/>
              </w:rPr>
              <w:t>分数</w:t>
            </w:r>
          </w:p>
        </w:tc>
        <w:tc>
          <w:tcPr>
            <w:tcW w:w="720" w:type="dxa"/>
            <w:vAlign w:val="center"/>
          </w:tcPr>
          <w:p w14:paraId="47E262D5">
            <w:pPr>
              <w:pStyle w:val="44"/>
              <w:keepNext/>
              <w:keepLines/>
              <w:spacing w:before="156" w:beforeLines="50" w:after="156" w:afterLines="50"/>
              <w:outlineLvl w:val="0"/>
              <w:rPr>
                <w:color w:val="auto"/>
              </w:rPr>
            </w:pPr>
            <w:r>
              <w:rPr>
                <w:rFonts w:hint="eastAsia"/>
                <w:color w:val="auto"/>
              </w:rPr>
              <w:t>实得</w:t>
            </w:r>
          </w:p>
          <w:p w14:paraId="6307F620">
            <w:pPr>
              <w:pStyle w:val="44"/>
              <w:keepNext/>
              <w:keepLines/>
              <w:spacing w:before="156" w:beforeLines="50" w:after="156" w:afterLines="50"/>
              <w:outlineLvl w:val="0"/>
              <w:rPr>
                <w:color w:val="auto"/>
              </w:rPr>
            </w:pPr>
            <w:r>
              <w:rPr>
                <w:rFonts w:hint="eastAsia"/>
                <w:color w:val="auto"/>
              </w:rPr>
              <w:t>分数</w:t>
            </w:r>
          </w:p>
        </w:tc>
      </w:tr>
      <w:tr w14:paraId="2FDD1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45A2009E">
            <w:pPr>
              <w:pStyle w:val="44"/>
              <w:keepNext/>
              <w:keepLines/>
              <w:spacing w:before="156" w:beforeLines="50" w:after="156" w:afterLines="50"/>
              <w:outlineLvl w:val="0"/>
              <w:rPr>
                <w:color w:val="auto"/>
              </w:rPr>
            </w:pPr>
            <w:r>
              <w:rPr>
                <w:color w:val="auto"/>
              </w:rPr>
              <w:t>1</w:t>
            </w:r>
          </w:p>
        </w:tc>
        <w:tc>
          <w:tcPr>
            <w:tcW w:w="543" w:type="dxa"/>
            <w:vMerge w:val="restart"/>
            <w:vAlign w:val="center"/>
          </w:tcPr>
          <w:p w14:paraId="3AE57020">
            <w:pPr>
              <w:pStyle w:val="44"/>
              <w:keepNext/>
              <w:keepLines/>
              <w:spacing w:before="156" w:beforeLines="50" w:after="156" w:afterLines="50"/>
              <w:outlineLvl w:val="0"/>
              <w:rPr>
                <w:color w:val="auto"/>
              </w:rPr>
            </w:pPr>
            <w:r>
              <w:rPr>
                <w:rFonts w:hint="eastAsia"/>
                <w:color w:val="auto"/>
              </w:rPr>
              <w:t>保</w:t>
            </w:r>
          </w:p>
          <w:p w14:paraId="0CF6732C">
            <w:pPr>
              <w:pStyle w:val="44"/>
              <w:keepNext/>
              <w:keepLines/>
              <w:spacing w:before="156" w:beforeLines="50" w:after="156" w:afterLines="50"/>
              <w:outlineLvl w:val="0"/>
              <w:rPr>
                <w:color w:val="auto"/>
              </w:rPr>
            </w:pPr>
            <w:r>
              <w:rPr>
                <w:rFonts w:hint="eastAsia"/>
                <w:color w:val="auto"/>
              </w:rPr>
              <w:t>证</w:t>
            </w:r>
          </w:p>
          <w:p w14:paraId="2A7D2938">
            <w:pPr>
              <w:pStyle w:val="44"/>
              <w:keepNext/>
              <w:keepLines/>
              <w:spacing w:before="156" w:beforeLines="50" w:after="156" w:afterLines="50"/>
              <w:outlineLvl w:val="0"/>
              <w:rPr>
                <w:color w:val="auto"/>
              </w:rPr>
            </w:pPr>
            <w:r>
              <w:rPr>
                <w:rFonts w:hint="eastAsia"/>
                <w:color w:val="auto"/>
              </w:rPr>
              <w:t>项</w:t>
            </w:r>
          </w:p>
          <w:p w14:paraId="160A0B65">
            <w:pPr>
              <w:pStyle w:val="44"/>
              <w:keepNext/>
              <w:keepLines/>
              <w:spacing w:before="156" w:beforeLines="50" w:after="156" w:afterLines="50"/>
              <w:outlineLvl w:val="0"/>
              <w:rPr>
                <w:color w:val="auto"/>
              </w:rPr>
            </w:pPr>
            <w:r>
              <w:rPr>
                <w:rFonts w:hint="eastAsia"/>
                <w:color w:val="auto"/>
              </w:rPr>
              <w:t>目</w:t>
            </w:r>
          </w:p>
        </w:tc>
        <w:tc>
          <w:tcPr>
            <w:tcW w:w="898" w:type="dxa"/>
            <w:vAlign w:val="center"/>
          </w:tcPr>
          <w:p w14:paraId="4D0D6747">
            <w:pPr>
              <w:pStyle w:val="44"/>
              <w:keepNext/>
              <w:keepLines/>
              <w:spacing w:before="156" w:beforeLines="50" w:after="156" w:afterLines="50"/>
              <w:outlineLvl w:val="0"/>
              <w:rPr>
                <w:color w:val="auto"/>
              </w:rPr>
            </w:pPr>
            <w:r>
              <w:rPr>
                <w:rFonts w:hint="eastAsia"/>
                <w:color w:val="auto"/>
              </w:rPr>
              <w:t>方案与交底</w:t>
            </w:r>
          </w:p>
        </w:tc>
        <w:tc>
          <w:tcPr>
            <w:tcW w:w="5580" w:type="dxa"/>
            <w:vAlign w:val="center"/>
          </w:tcPr>
          <w:p w14:paraId="50FB4719">
            <w:pPr>
              <w:pStyle w:val="44"/>
              <w:jc w:val="left"/>
              <w:rPr>
                <w:color w:val="auto"/>
              </w:rPr>
            </w:pPr>
            <w:r>
              <w:rPr>
                <w:color w:val="auto"/>
              </w:rPr>
              <w:t>1</w:t>
            </w:r>
            <w:r>
              <w:rPr>
                <w:rFonts w:hint="eastAsia"/>
                <w:color w:val="auto"/>
              </w:rPr>
              <w:t>）未按规定编制专项施工方案，扣</w:t>
            </w:r>
            <w:r>
              <w:rPr>
                <w:color w:val="auto"/>
              </w:rPr>
              <w:t>10</w:t>
            </w:r>
            <w:r>
              <w:rPr>
                <w:rFonts w:hint="eastAsia"/>
                <w:color w:val="auto"/>
              </w:rPr>
              <w:t>分</w:t>
            </w:r>
          </w:p>
          <w:p w14:paraId="3DD4729D">
            <w:pPr>
              <w:pStyle w:val="44"/>
              <w:jc w:val="left"/>
              <w:rPr>
                <w:color w:val="auto"/>
              </w:rPr>
            </w:pPr>
            <w:r>
              <w:rPr>
                <w:color w:val="auto"/>
              </w:rPr>
              <w:t>2</w:t>
            </w:r>
            <w:r>
              <w:rPr>
                <w:rFonts w:hint="eastAsia"/>
                <w:color w:val="auto"/>
              </w:rPr>
              <w:t>）未编制设计文件，扣</w:t>
            </w:r>
            <w:r>
              <w:rPr>
                <w:color w:val="auto"/>
              </w:rPr>
              <w:t>10</w:t>
            </w:r>
            <w:r>
              <w:rPr>
                <w:rFonts w:hint="eastAsia"/>
                <w:color w:val="auto"/>
              </w:rPr>
              <w:t>分</w:t>
            </w:r>
          </w:p>
          <w:p w14:paraId="2BB98717">
            <w:pPr>
              <w:pStyle w:val="44"/>
              <w:jc w:val="left"/>
              <w:rPr>
                <w:color w:val="auto"/>
              </w:rPr>
            </w:pPr>
            <w:r>
              <w:rPr>
                <w:color w:val="auto"/>
              </w:rPr>
              <w:t>3</w:t>
            </w:r>
            <w:r>
              <w:rPr>
                <w:rFonts w:hint="eastAsia"/>
                <w:color w:val="auto"/>
              </w:rPr>
              <w:t>）未对支架结构、构件、地基基础进行设计计算，扣</w:t>
            </w:r>
            <w:r>
              <w:rPr>
                <w:color w:val="auto"/>
              </w:rPr>
              <w:t>10</w:t>
            </w:r>
            <w:r>
              <w:rPr>
                <w:rFonts w:hint="eastAsia"/>
                <w:color w:val="auto"/>
              </w:rPr>
              <w:t>分</w:t>
            </w:r>
          </w:p>
          <w:p w14:paraId="4A64D9B2">
            <w:pPr>
              <w:pStyle w:val="44"/>
              <w:jc w:val="left"/>
              <w:rPr>
                <w:color w:val="auto"/>
              </w:rPr>
            </w:pPr>
            <w:r>
              <w:rPr>
                <w:color w:val="auto"/>
              </w:rPr>
              <w:t>4</w:t>
            </w:r>
            <w:r>
              <w:rPr>
                <w:rFonts w:hint="eastAsia"/>
                <w:color w:val="auto"/>
              </w:rPr>
              <w:t>）设计文件中图纸或计算书不齐全，扣</w:t>
            </w:r>
            <w:r>
              <w:rPr>
                <w:color w:val="auto"/>
              </w:rPr>
              <w:t>2-10</w:t>
            </w:r>
            <w:r>
              <w:rPr>
                <w:rFonts w:hint="eastAsia"/>
                <w:color w:val="auto"/>
              </w:rPr>
              <w:t>分</w:t>
            </w:r>
          </w:p>
          <w:p w14:paraId="6EE9A8F9">
            <w:pPr>
              <w:pStyle w:val="44"/>
              <w:jc w:val="left"/>
              <w:rPr>
                <w:color w:val="auto"/>
              </w:rPr>
            </w:pPr>
            <w:r>
              <w:rPr>
                <w:color w:val="auto"/>
              </w:rPr>
              <w:t>5</w:t>
            </w:r>
            <w:r>
              <w:rPr>
                <w:rFonts w:hint="eastAsia"/>
                <w:color w:val="auto"/>
              </w:rPr>
              <w:t>）专项方案未按规定进行审核、审批，扣</w:t>
            </w:r>
            <w:r>
              <w:rPr>
                <w:color w:val="auto"/>
              </w:rPr>
              <w:t>10</w:t>
            </w:r>
            <w:r>
              <w:rPr>
                <w:rFonts w:hint="eastAsia"/>
                <w:color w:val="auto"/>
              </w:rPr>
              <w:t>分</w:t>
            </w:r>
          </w:p>
          <w:p w14:paraId="00E9231C">
            <w:pPr>
              <w:pStyle w:val="44"/>
              <w:jc w:val="left"/>
              <w:rPr>
                <w:color w:val="auto"/>
              </w:rPr>
            </w:pPr>
            <w:r>
              <w:rPr>
                <w:color w:val="auto"/>
              </w:rPr>
              <w:t>6</w:t>
            </w:r>
            <w:r>
              <w:rPr>
                <w:rFonts w:hint="eastAsia"/>
                <w:color w:val="auto"/>
              </w:rPr>
              <w:t>）超规模的支架，其专项施工方案未按规定组织专家论证，扣</w:t>
            </w:r>
            <w:r>
              <w:rPr>
                <w:color w:val="auto"/>
              </w:rPr>
              <w:t>10</w:t>
            </w:r>
            <w:r>
              <w:rPr>
                <w:rFonts w:hint="eastAsia"/>
                <w:color w:val="auto"/>
              </w:rPr>
              <w:t>分</w:t>
            </w:r>
          </w:p>
          <w:p w14:paraId="526AD7F7">
            <w:pPr>
              <w:pStyle w:val="44"/>
              <w:jc w:val="left"/>
              <w:rPr>
                <w:color w:val="auto"/>
              </w:rPr>
            </w:pPr>
            <w:r>
              <w:rPr>
                <w:color w:val="auto"/>
              </w:rPr>
              <w:t>7</w:t>
            </w:r>
            <w:r>
              <w:rPr>
                <w:rFonts w:hint="eastAsia"/>
                <w:color w:val="auto"/>
              </w:rPr>
              <w:t>）专项施工方案实施前，未进行安全技术交底，扣</w:t>
            </w:r>
            <w:r>
              <w:rPr>
                <w:color w:val="auto"/>
              </w:rPr>
              <w:t>10</w:t>
            </w:r>
            <w:r>
              <w:rPr>
                <w:rFonts w:hint="eastAsia"/>
                <w:color w:val="auto"/>
              </w:rPr>
              <w:t>分；交底无针对性或无文字记录，扣</w:t>
            </w:r>
            <w:r>
              <w:rPr>
                <w:color w:val="auto"/>
              </w:rPr>
              <w:t>2-5</w:t>
            </w:r>
            <w:r>
              <w:rPr>
                <w:rFonts w:hint="eastAsia"/>
                <w:color w:val="auto"/>
              </w:rPr>
              <w:t>分</w:t>
            </w:r>
          </w:p>
        </w:tc>
        <w:tc>
          <w:tcPr>
            <w:tcW w:w="720" w:type="dxa"/>
            <w:vAlign w:val="center"/>
          </w:tcPr>
          <w:p w14:paraId="355CE136">
            <w:pPr>
              <w:pStyle w:val="44"/>
              <w:keepNext/>
              <w:keepLines/>
              <w:spacing w:before="156" w:beforeLines="50" w:after="156" w:afterLines="50"/>
              <w:outlineLvl w:val="0"/>
              <w:rPr>
                <w:color w:val="auto"/>
              </w:rPr>
            </w:pPr>
            <w:r>
              <w:rPr>
                <w:color w:val="auto"/>
              </w:rPr>
              <w:t>10</w:t>
            </w:r>
          </w:p>
        </w:tc>
        <w:tc>
          <w:tcPr>
            <w:tcW w:w="720" w:type="dxa"/>
            <w:vAlign w:val="center"/>
          </w:tcPr>
          <w:p w14:paraId="128E2079">
            <w:pPr>
              <w:pStyle w:val="44"/>
              <w:rPr>
                <w:color w:val="auto"/>
              </w:rPr>
            </w:pPr>
          </w:p>
        </w:tc>
        <w:tc>
          <w:tcPr>
            <w:tcW w:w="720" w:type="dxa"/>
            <w:vAlign w:val="center"/>
          </w:tcPr>
          <w:p w14:paraId="0CFDB677">
            <w:pPr>
              <w:pStyle w:val="44"/>
              <w:rPr>
                <w:color w:val="auto"/>
              </w:rPr>
            </w:pPr>
          </w:p>
        </w:tc>
      </w:tr>
      <w:tr w14:paraId="736B2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53B4124C">
            <w:pPr>
              <w:pStyle w:val="44"/>
              <w:rPr>
                <w:color w:val="auto"/>
              </w:rPr>
            </w:pPr>
            <w:r>
              <w:rPr>
                <w:color w:val="auto"/>
              </w:rPr>
              <w:t>2</w:t>
            </w:r>
          </w:p>
        </w:tc>
        <w:tc>
          <w:tcPr>
            <w:tcW w:w="543" w:type="dxa"/>
            <w:vMerge w:val="continue"/>
          </w:tcPr>
          <w:p w14:paraId="51334143">
            <w:pPr>
              <w:pStyle w:val="44"/>
              <w:rPr>
                <w:color w:val="auto"/>
              </w:rPr>
            </w:pPr>
          </w:p>
        </w:tc>
        <w:tc>
          <w:tcPr>
            <w:tcW w:w="898" w:type="dxa"/>
            <w:vAlign w:val="center"/>
          </w:tcPr>
          <w:p w14:paraId="5FD12BC3">
            <w:pPr>
              <w:pStyle w:val="44"/>
              <w:rPr>
                <w:color w:val="auto"/>
              </w:rPr>
            </w:pPr>
            <w:r>
              <w:rPr>
                <w:rFonts w:hint="eastAsia"/>
                <w:color w:val="auto"/>
              </w:rPr>
              <w:t>构配件材质</w:t>
            </w:r>
          </w:p>
        </w:tc>
        <w:tc>
          <w:tcPr>
            <w:tcW w:w="5580" w:type="dxa"/>
            <w:vAlign w:val="center"/>
          </w:tcPr>
          <w:p w14:paraId="7E9FBA65">
            <w:pPr>
              <w:pStyle w:val="44"/>
              <w:jc w:val="left"/>
              <w:rPr>
                <w:color w:val="auto"/>
              </w:rPr>
            </w:pPr>
            <w:r>
              <w:rPr>
                <w:color w:val="auto"/>
              </w:rPr>
              <w:t>1</w:t>
            </w:r>
            <w:r>
              <w:rPr>
                <w:rFonts w:hint="eastAsia"/>
                <w:color w:val="auto"/>
              </w:rPr>
              <w:t>）构配件无质量合格证、产品性能检验报告，扣</w:t>
            </w:r>
            <w:r>
              <w:rPr>
                <w:color w:val="auto"/>
              </w:rPr>
              <w:t>10</w:t>
            </w:r>
            <w:r>
              <w:rPr>
                <w:rFonts w:hint="eastAsia"/>
                <w:color w:val="auto"/>
              </w:rPr>
              <w:t>分</w:t>
            </w:r>
          </w:p>
          <w:p w14:paraId="3140AED9">
            <w:pPr>
              <w:pStyle w:val="44"/>
              <w:jc w:val="left"/>
              <w:rPr>
                <w:color w:val="auto"/>
              </w:rPr>
            </w:pPr>
            <w:r>
              <w:rPr>
                <w:color w:val="auto"/>
              </w:rPr>
              <w:t>2</w:t>
            </w:r>
            <w:r>
              <w:rPr>
                <w:rFonts w:hint="eastAsia"/>
                <w:color w:val="auto"/>
              </w:rPr>
              <w:t>）构配件品种、规格、型号、材质不符合专项施工方案和有关标准要求，扣</w:t>
            </w:r>
            <w:r>
              <w:rPr>
                <w:color w:val="auto"/>
              </w:rPr>
              <w:t>5-10</w:t>
            </w:r>
            <w:r>
              <w:rPr>
                <w:rFonts w:hint="eastAsia"/>
                <w:color w:val="auto"/>
              </w:rPr>
              <w:t>分</w:t>
            </w:r>
          </w:p>
          <w:p w14:paraId="4962BDD3">
            <w:pPr>
              <w:pStyle w:val="44"/>
              <w:jc w:val="left"/>
              <w:rPr>
                <w:color w:val="auto"/>
              </w:rPr>
            </w:pPr>
            <w:r>
              <w:rPr>
                <w:color w:val="auto"/>
              </w:rPr>
              <w:t>3</w:t>
            </w:r>
            <w:r>
              <w:rPr>
                <w:rFonts w:hint="eastAsia"/>
                <w:color w:val="auto"/>
              </w:rPr>
              <w:t>）所采用的常备式定型钢构件的质量不符合相关使用手册的要求，扣</w:t>
            </w:r>
            <w:r>
              <w:rPr>
                <w:color w:val="auto"/>
              </w:rPr>
              <w:t>10</w:t>
            </w:r>
            <w:r>
              <w:rPr>
                <w:rFonts w:hint="eastAsia"/>
                <w:color w:val="auto"/>
              </w:rPr>
              <w:t>分</w:t>
            </w:r>
          </w:p>
          <w:p w14:paraId="79C7E202">
            <w:pPr>
              <w:pStyle w:val="44"/>
              <w:jc w:val="left"/>
              <w:rPr>
                <w:color w:val="auto"/>
              </w:rPr>
            </w:pPr>
            <w:r>
              <w:rPr>
                <w:color w:val="auto"/>
              </w:rPr>
              <w:t>4</w:t>
            </w:r>
            <w:r>
              <w:rPr>
                <w:rFonts w:hint="eastAsia"/>
                <w:color w:val="auto"/>
              </w:rPr>
              <w:t>）常备式定型钢构件无使用说明书等技术文件，扣</w:t>
            </w:r>
            <w:r>
              <w:rPr>
                <w:color w:val="auto"/>
              </w:rPr>
              <w:t>5</w:t>
            </w:r>
            <w:r>
              <w:rPr>
                <w:rFonts w:hint="eastAsia"/>
                <w:color w:val="auto"/>
              </w:rPr>
              <w:t>分</w:t>
            </w:r>
          </w:p>
          <w:p w14:paraId="013B46B5">
            <w:pPr>
              <w:pStyle w:val="44"/>
              <w:jc w:val="left"/>
              <w:rPr>
                <w:color w:val="auto"/>
              </w:rPr>
            </w:pPr>
            <w:r>
              <w:rPr>
                <w:color w:val="auto"/>
              </w:rPr>
              <w:t>5</w:t>
            </w:r>
            <w:r>
              <w:rPr>
                <w:rFonts w:hint="eastAsia"/>
                <w:color w:val="auto"/>
              </w:rPr>
              <w:t>）主体结构构件、连接件有显著的变形、超标的挠度或严重锈蚀剥皮，扣</w:t>
            </w:r>
            <w:r>
              <w:rPr>
                <w:color w:val="auto"/>
              </w:rPr>
              <w:t>10</w:t>
            </w:r>
            <w:r>
              <w:rPr>
                <w:rFonts w:hint="eastAsia"/>
                <w:color w:val="auto"/>
              </w:rPr>
              <w:t>分</w:t>
            </w:r>
          </w:p>
        </w:tc>
        <w:tc>
          <w:tcPr>
            <w:tcW w:w="720" w:type="dxa"/>
            <w:vAlign w:val="center"/>
          </w:tcPr>
          <w:p w14:paraId="4C353D55">
            <w:pPr>
              <w:pStyle w:val="44"/>
              <w:rPr>
                <w:color w:val="auto"/>
              </w:rPr>
            </w:pPr>
            <w:r>
              <w:rPr>
                <w:color w:val="auto"/>
              </w:rPr>
              <w:t>10</w:t>
            </w:r>
          </w:p>
        </w:tc>
        <w:tc>
          <w:tcPr>
            <w:tcW w:w="720" w:type="dxa"/>
            <w:vAlign w:val="center"/>
          </w:tcPr>
          <w:p w14:paraId="5BFFCF55">
            <w:pPr>
              <w:pStyle w:val="44"/>
              <w:rPr>
                <w:color w:val="auto"/>
              </w:rPr>
            </w:pPr>
          </w:p>
        </w:tc>
        <w:tc>
          <w:tcPr>
            <w:tcW w:w="720" w:type="dxa"/>
            <w:vAlign w:val="center"/>
          </w:tcPr>
          <w:p w14:paraId="54E35581">
            <w:pPr>
              <w:pStyle w:val="44"/>
              <w:rPr>
                <w:color w:val="auto"/>
              </w:rPr>
            </w:pPr>
          </w:p>
        </w:tc>
      </w:tr>
      <w:tr w14:paraId="0B3DC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52D21F0">
            <w:pPr>
              <w:pStyle w:val="44"/>
              <w:rPr>
                <w:color w:val="auto"/>
              </w:rPr>
            </w:pPr>
            <w:r>
              <w:rPr>
                <w:color w:val="auto"/>
              </w:rPr>
              <w:t>3</w:t>
            </w:r>
          </w:p>
        </w:tc>
        <w:tc>
          <w:tcPr>
            <w:tcW w:w="543" w:type="dxa"/>
            <w:vMerge w:val="continue"/>
          </w:tcPr>
          <w:p w14:paraId="640FCBE5">
            <w:pPr>
              <w:pStyle w:val="44"/>
              <w:rPr>
                <w:color w:val="auto"/>
              </w:rPr>
            </w:pPr>
          </w:p>
        </w:tc>
        <w:tc>
          <w:tcPr>
            <w:tcW w:w="898" w:type="dxa"/>
            <w:vAlign w:val="center"/>
          </w:tcPr>
          <w:p w14:paraId="72013052">
            <w:pPr>
              <w:pStyle w:val="44"/>
              <w:rPr>
                <w:color w:val="auto"/>
              </w:rPr>
            </w:pPr>
            <w:r>
              <w:rPr>
                <w:rFonts w:hint="eastAsia"/>
                <w:color w:val="auto"/>
              </w:rPr>
              <w:t>基础</w:t>
            </w:r>
          </w:p>
        </w:tc>
        <w:tc>
          <w:tcPr>
            <w:tcW w:w="5580" w:type="dxa"/>
            <w:vAlign w:val="center"/>
          </w:tcPr>
          <w:p w14:paraId="5E615A0D">
            <w:pPr>
              <w:pStyle w:val="44"/>
              <w:jc w:val="left"/>
              <w:rPr>
                <w:color w:val="auto"/>
              </w:rPr>
            </w:pPr>
            <w:r>
              <w:rPr>
                <w:color w:val="auto"/>
              </w:rPr>
              <w:t>1</w:t>
            </w:r>
            <w:r>
              <w:rPr>
                <w:rFonts w:hint="eastAsia"/>
                <w:color w:val="auto"/>
              </w:rPr>
              <w:t>）软弱地基未按相关标准的规定进行处理，扣</w:t>
            </w:r>
            <w:r>
              <w:rPr>
                <w:color w:val="auto"/>
              </w:rPr>
              <w:t>10</w:t>
            </w:r>
            <w:r>
              <w:rPr>
                <w:rFonts w:hint="eastAsia"/>
                <w:color w:val="auto"/>
              </w:rPr>
              <w:t>分</w:t>
            </w:r>
          </w:p>
          <w:p w14:paraId="0D78EA7A">
            <w:pPr>
              <w:pStyle w:val="44"/>
              <w:jc w:val="left"/>
              <w:rPr>
                <w:color w:val="auto"/>
              </w:rPr>
            </w:pPr>
            <w:r>
              <w:rPr>
                <w:color w:val="auto"/>
              </w:rPr>
              <w:t>2</w:t>
            </w:r>
            <w:r>
              <w:rPr>
                <w:rFonts w:hint="eastAsia"/>
                <w:color w:val="auto"/>
              </w:rPr>
              <w:t>）地基承载力无检测报告，或承载力特征值不符合专项方案的要求，扣</w:t>
            </w:r>
            <w:r>
              <w:rPr>
                <w:color w:val="auto"/>
              </w:rPr>
              <w:t>10</w:t>
            </w:r>
            <w:r>
              <w:rPr>
                <w:rFonts w:hint="eastAsia"/>
                <w:color w:val="auto"/>
              </w:rPr>
              <w:t>分</w:t>
            </w:r>
          </w:p>
          <w:p w14:paraId="1369BBE2">
            <w:pPr>
              <w:pStyle w:val="44"/>
              <w:jc w:val="left"/>
              <w:rPr>
                <w:color w:val="auto"/>
              </w:rPr>
            </w:pPr>
            <w:r>
              <w:rPr>
                <w:color w:val="auto"/>
              </w:rPr>
              <w:t>3</w:t>
            </w:r>
            <w:r>
              <w:rPr>
                <w:rFonts w:hint="eastAsia"/>
                <w:color w:val="auto"/>
              </w:rPr>
              <w:t>）基础型式、尺寸、材料不符合专项施工方案的要求，扣</w:t>
            </w:r>
            <w:r>
              <w:rPr>
                <w:color w:val="auto"/>
              </w:rPr>
              <w:t>5-10</w:t>
            </w:r>
            <w:r>
              <w:rPr>
                <w:rFonts w:hint="eastAsia"/>
                <w:color w:val="auto"/>
              </w:rPr>
              <w:t>分</w:t>
            </w:r>
          </w:p>
          <w:p w14:paraId="552F05EF">
            <w:pPr>
              <w:pStyle w:val="44"/>
              <w:jc w:val="left"/>
              <w:rPr>
                <w:color w:val="auto"/>
              </w:rPr>
            </w:pPr>
            <w:r>
              <w:rPr>
                <w:color w:val="auto"/>
              </w:rPr>
              <w:t>4</w:t>
            </w:r>
            <w:r>
              <w:rPr>
                <w:rFonts w:hint="eastAsia"/>
                <w:color w:val="auto"/>
              </w:rPr>
              <w:t>）基础周围未按专项施工方案的要求设置防、排水措施，扣</w:t>
            </w:r>
            <w:r>
              <w:rPr>
                <w:color w:val="auto"/>
              </w:rPr>
              <w:t>5-8</w:t>
            </w:r>
            <w:r>
              <w:rPr>
                <w:rFonts w:hint="eastAsia"/>
                <w:color w:val="auto"/>
              </w:rPr>
              <w:t>分</w:t>
            </w:r>
          </w:p>
          <w:p w14:paraId="4C649860">
            <w:pPr>
              <w:pStyle w:val="44"/>
              <w:jc w:val="left"/>
              <w:rPr>
                <w:color w:val="auto"/>
              </w:rPr>
            </w:pPr>
            <w:r>
              <w:rPr>
                <w:color w:val="auto"/>
              </w:rPr>
              <w:t>5</w:t>
            </w:r>
            <w:r>
              <w:rPr>
                <w:rFonts w:hint="eastAsia"/>
                <w:color w:val="auto"/>
              </w:rPr>
              <w:t>）基础预埋件的设置不符合专项方案的要求，扣</w:t>
            </w:r>
            <w:r>
              <w:rPr>
                <w:color w:val="auto"/>
              </w:rPr>
              <w:t>5</w:t>
            </w:r>
            <w:r>
              <w:rPr>
                <w:rFonts w:hint="eastAsia"/>
                <w:color w:val="auto"/>
              </w:rPr>
              <w:t>分</w:t>
            </w:r>
          </w:p>
        </w:tc>
        <w:tc>
          <w:tcPr>
            <w:tcW w:w="720" w:type="dxa"/>
            <w:vAlign w:val="center"/>
          </w:tcPr>
          <w:p w14:paraId="622FC138">
            <w:pPr>
              <w:pStyle w:val="44"/>
              <w:rPr>
                <w:color w:val="auto"/>
              </w:rPr>
            </w:pPr>
            <w:r>
              <w:rPr>
                <w:color w:val="auto"/>
              </w:rPr>
              <w:t>10</w:t>
            </w:r>
          </w:p>
        </w:tc>
        <w:tc>
          <w:tcPr>
            <w:tcW w:w="720" w:type="dxa"/>
            <w:vAlign w:val="center"/>
          </w:tcPr>
          <w:p w14:paraId="4A36C0F5">
            <w:pPr>
              <w:pStyle w:val="44"/>
              <w:rPr>
                <w:color w:val="auto"/>
              </w:rPr>
            </w:pPr>
          </w:p>
        </w:tc>
        <w:tc>
          <w:tcPr>
            <w:tcW w:w="720" w:type="dxa"/>
            <w:vAlign w:val="center"/>
          </w:tcPr>
          <w:p w14:paraId="2AD81476">
            <w:pPr>
              <w:pStyle w:val="44"/>
              <w:rPr>
                <w:color w:val="auto"/>
              </w:rPr>
            </w:pPr>
          </w:p>
        </w:tc>
      </w:tr>
      <w:tr w14:paraId="46D15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26CCDA6">
            <w:pPr>
              <w:pStyle w:val="44"/>
              <w:rPr>
                <w:color w:val="auto"/>
              </w:rPr>
            </w:pPr>
            <w:r>
              <w:rPr>
                <w:color w:val="auto"/>
              </w:rPr>
              <w:t>4</w:t>
            </w:r>
          </w:p>
        </w:tc>
        <w:tc>
          <w:tcPr>
            <w:tcW w:w="543" w:type="dxa"/>
            <w:vMerge w:val="continue"/>
          </w:tcPr>
          <w:p w14:paraId="4B98B08B">
            <w:pPr>
              <w:pStyle w:val="44"/>
              <w:rPr>
                <w:color w:val="auto"/>
              </w:rPr>
            </w:pPr>
          </w:p>
        </w:tc>
        <w:tc>
          <w:tcPr>
            <w:tcW w:w="898" w:type="dxa"/>
            <w:vAlign w:val="center"/>
          </w:tcPr>
          <w:p w14:paraId="5B714E2A">
            <w:pPr>
              <w:pStyle w:val="44"/>
              <w:rPr>
                <w:color w:val="auto"/>
              </w:rPr>
            </w:pPr>
            <w:r>
              <w:rPr>
                <w:rFonts w:hint="eastAsia"/>
                <w:color w:val="auto"/>
              </w:rPr>
              <w:t>立柱或托架构造</w:t>
            </w:r>
          </w:p>
        </w:tc>
        <w:tc>
          <w:tcPr>
            <w:tcW w:w="5580" w:type="dxa"/>
            <w:vAlign w:val="center"/>
          </w:tcPr>
          <w:p w14:paraId="615B1E50">
            <w:pPr>
              <w:pStyle w:val="44"/>
              <w:jc w:val="left"/>
              <w:rPr>
                <w:color w:val="auto"/>
              </w:rPr>
            </w:pPr>
            <w:r>
              <w:rPr>
                <w:color w:val="auto"/>
              </w:rPr>
              <w:t>1</w:t>
            </w:r>
            <w:r>
              <w:rPr>
                <w:rFonts w:hint="eastAsia"/>
                <w:color w:val="auto"/>
              </w:rPr>
              <w:t>）立柱设置位置不符合专项施工方案要求，扣</w:t>
            </w:r>
            <w:r>
              <w:rPr>
                <w:color w:val="auto"/>
              </w:rPr>
              <w:t>5-10</w:t>
            </w:r>
            <w:r>
              <w:rPr>
                <w:rFonts w:hint="eastAsia"/>
                <w:color w:val="auto"/>
              </w:rPr>
              <w:t>分</w:t>
            </w:r>
          </w:p>
          <w:p w14:paraId="7BAF2DD8">
            <w:pPr>
              <w:pStyle w:val="44"/>
              <w:jc w:val="left"/>
              <w:rPr>
                <w:color w:val="auto"/>
              </w:rPr>
            </w:pPr>
            <w:r>
              <w:rPr>
                <w:color w:val="auto"/>
              </w:rPr>
              <w:t>2</w:t>
            </w:r>
            <w:r>
              <w:rPr>
                <w:rFonts w:hint="eastAsia"/>
                <w:color w:val="auto"/>
              </w:rPr>
              <w:t>）立柱柱身垂直度大于立柱高度的</w:t>
            </w:r>
            <w:r>
              <w:rPr>
                <w:color w:val="auto"/>
              </w:rPr>
              <w:t>1/500</w:t>
            </w:r>
            <w:r>
              <w:rPr>
                <w:rFonts w:hint="eastAsia"/>
                <w:color w:val="auto"/>
              </w:rPr>
              <w:t>，或大于</w:t>
            </w:r>
            <w:r>
              <w:rPr>
                <w:color w:val="auto"/>
              </w:rPr>
              <w:t>50mm</w:t>
            </w:r>
            <w:r>
              <w:rPr>
                <w:rFonts w:hint="eastAsia"/>
                <w:color w:val="auto"/>
              </w:rPr>
              <w:t>，扣</w:t>
            </w:r>
            <w:r>
              <w:rPr>
                <w:color w:val="auto"/>
              </w:rPr>
              <w:t>5-8</w:t>
            </w:r>
            <w:r>
              <w:rPr>
                <w:rFonts w:hint="eastAsia"/>
                <w:color w:val="auto"/>
              </w:rPr>
              <w:t>分</w:t>
            </w:r>
          </w:p>
          <w:p w14:paraId="47E8D9C0">
            <w:pPr>
              <w:pStyle w:val="44"/>
              <w:jc w:val="left"/>
              <w:rPr>
                <w:color w:val="auto"/>
              </w:rPr>
            </w:pPr>
            <w:r>
              <w:rPr>
                <w:color w:val="auto"/>
              </w:rPr>
              <w:t>3</w:t>
            </w:r>
            <w:r>
              <w:rPr>
                <w:rFonts w:hint="eastAsia"/>
                <w:color w:val="auto"/>
              </w:rPr>
              <w:t>）相邻立柱间的横向连接系、立柱与既有结构的连接件的位置和设置数量不符合专项施工方案的要求，扣</w:t>
            </w:r>
            <w:r>
              <w:rPr>
                <w:color w:val="auto"/>
              </w:rPr>
              <w:t>5-10</w:t>
            </w:r>
            <w:r>
              <w:rPr>
                <w:rFonts w:hint="eastAsia"/>
                <w:color w:val="auto"/>
              </w:rPr>
              <w:t>分</w:t>
            </w:r>
          </w:p>
          <w:p w14:paraId="4CFD9C14">
            <w:pPr>
              <w:pStyle w:val="44"/>
              <w:jc w:val="left"/>
              <w:rPr>
                <w:color w:val="auto"/>
              </w:rPr>
            </w:pPr>
            <w:r>
              <w:rPr>
                <w:color w:val="auto"/>
              </w:rPr>
              <w:t>4</w:t>
            </w:r>
            <w:r>
              <w:rPr>
                <w:rFonts w:hint="eastAsia"/>
                <w:color w:val="auto"/>
              </w:rPr>
              <w:t>）格构柱的缀件的位置或设置数量、节点连接不符合专项施工方案的要求，扣</w:t>
            </w:r>
            <w:r>
              <w:rPr>
                <w:color w:val="auto"/>
              </w:rPr>
              <w:t>5-10</w:t>
            </w:r>
            <w:r>
              <w:rPr>
                <w:rFonts w:hint="eastAsia"/>
                <w:color w:val="auto"/>
              </w:rPr>
              <w:t>分。</w:t>
            </w:r>
          </w:p>
          <w:p w14:paraId="1A2C5EF5">
            <w:pPr>
              <w:pStyle w:val="44"/>
              <w:jc w:val="left"/>
              <w:rPr>
                <w:color w:val="auto"/>
              </w:rPr>
            </w:pPr>
            <w:r>
              <w:rPr>
                <w:color w:val="auto"/>
              </w:rPr>
              <w:t>5</w:t>
            </w:r>
            <w:r>
              <w:rPr>
                <w:rFonts w:hint="eastAsia"/>
                <w:color w:val="auto"/>
              </w:rPr>
              <w:t>）立柱柱头和柱脚未按照专项施工方案的有求作加强处理，或与上部横梁、下部基础紧密不接触、连接不牢固。扣</w:t>
            </w:r>
            <w:r>
              <w:rPr>
                <w:color w:val="auto"/>
              </w:rPr>
              <w:t>5</w:t>
            </w:r>
            <w:r>
              <w:rPr>
                <w:rFonts w:hint="eastAsia"/>
                <w:color w:val="auto"/>
              </w:rPr>
              <w:t>分</w:t>
            </w:r>
          </w:p>
          <w:p w14:paraId="6F706032">
            <w:pPr>
              <w:pStyle w:val="44"/>
              <w:jc w:val="left"/>
              <w:rPr>
                <w:color w:val="auto"/>
              </w:rPr>
            </w:pPr>
            <w:r>
              <w:rPr>
                <w:color w:val="auto"/>
              </w:rPr>
              <w:t>6</w:t>
            </w:r>
            <w:r>
              <w:rPr>
                <w:rFonts w:hint="eastAsia"/>
                <w:color w:val="auto"/>
              </w:rPr>
              <w:t>）托架的附墩连接方式和构造不符合专项施工方案的规定，扣</w:t>
            </w:r>
            <w:r>
              <w:rPr>
                <w:color w:val="auto"/>
              </w:rPr>
              <w:t>10</w:t>
            </w:r>
            <w:r>
              <w:rPr>
                <w:rFonts w:hint="eastAsia"/>
                <w:color w:val="auto"/>
              </w:rPr>
              <w:t>分</w:t>
            </w:r>
          </w:p>
        </w:tc>
        <w:tc>
          <w:tcPr>
            <w:tcW w:w="720" w:type="dxa"/>
            <w:vAlign w:val="center"/>
          </w:tcPr>
          <w:p w14:paraId="5BC082C9">
            <w:pPr>
              <w:pStyle w:val="44"/>
              <w:rPr>
                <w:color w:val="auto"/>
              </w:rPr>
            </w:pPr>
            <w:r>
              <w:rPr>
                <w:color w:val="auto"/>
              </w:rPr>
              <w:t>10</w:t>
            </w:r>
          </w:p>
        </w:tc>
        <w:tc>
          <w:tcPr>
            <w:tcW w:w="720" w:type="dxa"/>
            <w:vAlign w:val="center"/>
          </w:tcPr>
          <w:p w14:paraId="5E0D668B">
            <w:pPr>
              <w:pStyle w:val="44"/>
              <w:rPr>
                <w:color w:val="auto"/>
              </w:rPr>
            </w:pPr>
          </w:p>
        </w:tc>
        <w:tc>
          <w:tcPr>
            <w:tcW w:w="720" w:type="dxa"/>
            <w:vAlign w:val="center"/>
          </w:tcPr>
          <w:p w14:paraId="74642C02">
            <w:pPr>
              <w:pStyle w:val="44"/>
              <w:rPr>
                <w:color w:val="auto"/>
              </w:rPr>
            </w:pPr>
          </w:p>
        </w:tc>
      </w:tr>
      <w:tr w14:paraId="74F13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5A770AAB">
            <w:pPr>
              <w:pStyle w:val="44"/>
              <w:rPr>
                <w:color w:val="auto"/>
              </w:rPr>
            </w:pPr>
            <w:r>
              <w:rPr>
                <w:color w:val="auto"/>
              </w:rPr>
              <w:t>5</w:t>
            </w:r>
          </w:p>
        </w:tc>
        <w:tc>
          <w:tcPr>
            <w:tcW w:w="543" w:type="dxa"/>
            <w:vMerge w:val="continue"/>
          </w:tcPr>
          <w:p w14:paraId="0E15AABB">
            <w:pPr>
              <w:pStyle w:val="44"/>
              <w:rPr>
                <w:color w:val="auto"/>
              </w:rPr>
            </w:pPr>
          </w:p>
        </w:tc>
        <w:tc>
          <w:tcPr>
            <w:tcW w:w="898" w:type="dxa"/>
            <w:vAlign w:val="center"/>
          </w:tcPr>
          <w:p w14:paraId="1252FC7C">
            <w:pPr>
              <w:pStyle w:val="44"/>
              <w:rPr>
                <w:color w:val="auto"/>
              </w:rPr>
            </w:pPr>
            <w:r>
              <w:rPr>
                <w:rFonts w:hint="eastAsia"/>
                <w:color w:val="auto"/>
              </w:rPr>
              <w:t>纵梁和横梁构造</w:t>
            </w:r>
          </w:p>
        </w:tc>
        <w:tc>
          <w:tcPr>
            <w:tcW w:w="5580" w:type="dxa"/>
            <w:vAlign w:val="center"/>
          </w:tcPr>
          <w:p w14:paraId="5A1EBC57">
            <w:pPr>
              <w:pStyle w:val="44"/>
              <w:jc w:val="left"/>
              <w:rPr>
                <w:color w:val="auto"/>
              </w:rPr>
            </w:pPr>
            <w:r>
              <w:rPr>
                <w:color w:val="auto"/>
              </w:rPr>
              <w:t>1</w:t>
            </w:r>
            <w:r>
              <w:rPr>
                <w:rFonts w:hint="eastAsia"/>
                <w:color w:val="auto"/>
              </w:rPr>
              <w:t>）纵横梁的设置位置、间距不符合专项施工方案的要求，扣</w:t>
            </w:r>
            <w:r>
              <w:rPr>
                <w:color w:val="auto"/>
              </w:rPr>
              <w:t>5-8</w:t>
            </w:r>
            <w:r>
              <w:rPr>
                <w:rFonts w:hint="eastAsia"/>
                <w:color w:val="auto"/>
              </w:rPr>
              <w:t>分</w:t>
            </w:r>
          </w:p>
          <w:p w14:paraId="0EFEFD89">
            <w:pPr>
              <w:pStyle w:val="44"/>
              <w:jc w:val="left"/>
              <w:rPr>
                <w:color w:val="auto"/>
              </w:rPr>
            </w:pPr>
            <w:r>
              <w:rPr>
                <w:color w:val="auto"/>
              </w:rPr>
              <w:t>2</w:t>
            </w:r>
            <w:r>
              <w:rPr>
                <w:rFonts w:hint="eastAsia"/>
                <w:color w:val="auto"/>
              </w:rPr>
              <w:t>）在有较大集中荷载的型钢纵、横梁支承位置未按专项施工方案的规定设置支承加劲肋，或加劲肋与纵、横梁连接不牢固，扣</w:t>
            </w:r>
            <w:r>
              <w:rPr>
                <w:color w:val="auto"/>
              </w:rPr>
              <w:t>3</w:t>
            </w:r>
            <w:r>
              <w:rPr>
                <w:rFonts w:hint="eastAsia"/>
                <w:color w:val="auto"/>
              </w:rPr>
              <w:t>分</w:t>
            </w:r>
          </w:p>
          <w:p w14:paraId="1E786CC7">
            <w:pPr>
              <w:pStyle w:val="44"/>
              <w:jc w:val="left"/>
              <w:rPr>
                <w:color w:val="auto"/>
              </w:rPr>
            </w:pPr>
            <w:r>
              <w:rPr>
                <w:color w:val="auto"/>
              </w:rPr>
              <w:t>3</w:t>
            </w:r>
            <w:r>
              <w:rPr>
                <w:rFonts w:hint="eastAsia"/>
                <w:color w:val="auto"/>
              </w:rPr>
              <w:t>）型钢纵梁间未设置横向连接系将同跨内全部纵梁连接成整体，扣</w:t>
            </w:r>
            <w:r>
              <w:rPr>
                <w:color w:val="auto"/>
              </w:rPr>
              <w:t>3</w:t>
            </w:r>
            <w:r>
              <w:rPr>
                <w:rFonts w:hint="eastAsia"/>
                <w:color w:val="auto"/>
              </w:rPr>
              <w:t>分</w:t>
            </w:r>
          </w:p>
          <w:p w14:paraId="1C5E1347">
            <w:pPr>
              <w:pStyle w:val="44"/>
              <w:jc w:val="left"/>
              <w:rPr>
                <w:color w:val="auto"/>
              </w:rPr>
            </w:pPr>
            <w:r>
              <w:rPr>
                <w:color w:val="auto"/>
              </w:rPr>
              <w:t>4</w:t>
            </w:r>
            <w:r>
              <w:rPr>
                <w:rFonts w:hint="eastAsia"/>
                <w:color w:val="auto"/>
              </w:rPr>
              <w:t>）桁架梁的相邻桁片间未设置通长横向连接系将同跨内全部纵梁连接成整体，扣</w:t>
            </w:r>
            <w:r>
              <w:rPr>
                <w:color w:val="auto"/>
              </w:rPr>
              <w:t>5-8</w:t>
            </w:r>
            <w:r>
              <w:rPr>
                <w:rFonts w:hint="eastAsia"/>
                <w:color w:val="auto"/>
              </w:rPr>
              <w:t>分</w:t>
            </w:r>
          </w:p>
          <w:p w14:paraId="1DE8A19C">
            <w:pPr>
              <w:pStyle w:val="44"/>
              <w:jc w:val="left"/>
              <w:rPr>
                <w:color w:val="auto"/>
              </w:rPr>
            </w:pPr>
            <w:r>
              <w:rPr>
                <w:color w:val="auto"/>
              </w:rPr>
              <w:t>5</w:t>
            </w:r>
            <w:r>
              <w:rPr>
                <w:rFonts w:hint="eastAsia"/>
                <w:color w:val="auto"/>
              </w:rPr>
              <w:t>）贝雷梁两端及支承位置均应设置通长横向连接系扣</w:t>
            </w:r>
            <w:r>
              <w:rPr>
                <w:color w:val="auto"/>
              </w:rPr>
              <w:t>10</w:t>
            </w:r>
            <w:r>
              <w:rPr>
                <w:rFonts w:hint="eastAsia"/>
                <w:color w:val="auto"/>
              </w:rPr>
              <w:t>分，通长横向连接系的间距大于</w:t>
            </w:r>
            <w:r>
              <w:rPr>
                <w:color w:val="auto"/>
              </w:rPr>
              <w:t>9m</w:t>
            </w:r>
            <w:r>
              <w:rPr>
                <w:rFonts w:hint="eastAsia"/>
                <w:color w:val="auto"/>
              </w:rPr>
              <w:t>，扣</w:t>
            </w:r>
            <w:r>
              <w:rPr>
                <w:color w:val="auto"/>
              </w:rPr>
              <w:t>5</w:t>
            </w:r>
            <w:r>
              <w:rPr>
                <w:rFonts w:hint="eastAsia"/>
                <w:color w:val="auto"/>
              </w:rPr>
              <w:t>分</w:t>
            </w:r>
          </w:p>
          <w:p w14:paraId="09C3B0D1">
            <w:pPr>
              <w:pStyle w:val="44"/>
              <w:jc w:val="left"/>
              <w:rPr>
                <w:color w:val="auto"/>
              </w:rPr>
            </w:pPr>
            <w:r>
              <w:rPr>
                <w:color w:val="auto"/>
              </w:rPr>
              <w:t>6</w:t>
            </w:r>
            <w:r>
              <w:rPr>
                <w:rFonts w:hint="eastAsia"/>
                <w:color w:val="auto"/>
              </w:rPr>
              <w:t>）当桁架梁支承位置不在其主节点上时，以及在剪力较大的支座附近未按专项施工方案的要求对桁架竖杆或斜杆进行加强，扣</w:t>
            </w:r>
            <w:r>
              <w:rPr>
                <w:color w:val="auto"/>
              </w:rPr>
              <w:t>5</w:t>
            </w:r>
            <w:r>
              <w:rPr>
                <w:rFonts w:hint="eastAsia"/>
                <w:color w:val="auto"/>
              </w:rPr>
              <w:t>分</w:t>
            </w:r>
          </w:p>
          <w:p w14:paraId="22AF93EC">
            <w:pPr>
              <w:pStyle w:val="44"/>
              <w:jc w:val="left"/>
              <w:rPr>
                <w:color w:val="auto"/>
              </w:rPr>
            </w:pPr>
            <w:r>
              <w:rPr>
                <w:color w:val="auto"/>
              </w:rPr>
              <w:t>7)</w:t>
            </w:r>
            <w:r>
              <w:rPr>
                <w:rFonts w:hint="eastAsia"/>
                <w:color w:val="auto"/>
              </w:rPr>
              <w:t>横梁端部未设置用于纵横梁移除的加长段。</w:t>
            </w:r>
          </w:p>
        </w:tc>
        <w:tc>
          <w:tcPr>
            <w:tcW w:w="720" w:type="dxa"/>
            <w:vAlign w:val="center"/>
          </w:tcPr>
          <w:p w14:paraId="3146C198">
            <w:pPr>
              <w:pStyle w:val="44"/>
              <w:rPr>
                <w:color w:val="auto"/>
              </w:rPr>
            </w:pPr>
            <w:r>
              <w:rPr>
                <w:color w:val="auto"/>
              </w:rPr>
              <w:t>10</w:t>
            </w:r>
          </w:p>
        </w:tc>
        <w:tc>
          <w:tcPr>
            <w:tcW w:w="720" w:type="dxa"/>
            <w:vAlign w:val="center"/>
          </w:tcPr>
          <w:p w14:paraId="681B6DD3">
            <w:pPr>
              <w:pStyle w:val="44"/>
              <w:rPr>
                <w:color w:val="auto"/>
              </w:rPr>
            </w:pPr>
          </w:p>
        </w:tc>
        <w:tc>
          <w:tcPr>
            <w:tcW w:w="720" w:type="dxa"/>
            <w:vAlign w:val="center"/>
          </w:tcPr>
          <w:p w14:paraId="28FE880F">
            <w:pPr>
              <w:pStyle w:val="44"/>
              <w:rPr>
                <w:color w:val="auto"/>
              </w:rPr>
            </w:pPr>
          </w:p>
        </w:tc>
      </w:tr>
      <w:tr w14:paraId="56DC3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C8C677C">
            <w:pPr>
              <w:pStyle w:val="44"/>
              <w:rPr>
                <w:color w:val="auto"/>
              </w:rPr>
            </w:pPr>
            <w:r>
              <w:rPr>
                <w:color w:val="auto"/>
              </w:rPr>
              <w:t>6</w:t>
            </w:r>
          </w:p>
        </w:tc>
        <w:tc>
          <w:tcPr>
            <w:tcW w:w="543" w:type="dxa"/>
            <w:vMerge w:val="continue"/>
            <w:vAlign w:val="center"/>
          </w:tcPr>
          <w:p w14:paraId="6C20B37F">
            <w:pPr>
              <w:pStyle w:val="44"/>
              <w:rPr>
                <w:color w:val="auto"/>
              </w:rPr>
            </w:pPr>
          </w:p>
        </w:tc>
        <w:tc>
          <w:tcPr>
            <w:tcW w:w="898" w:type="dxa"/>
            <w:vAlign w:val="center"/>
          </w:tcPr>
          <w:p w14:paraId="20929859">
            <w:pPr>
              <w:pStyle w:val="44"/>
              <w:rPr>
                <w:color w:val="auto"/>
              </w:rPr>
            </w:pPr>
            <w:r>
              <w:rPr>
                <w:rFonts w:hint="eastAsia"/>
                <w:color w:val="auto"/>
              </w:rPr>
              <w:t>检查验收</w:t>
            </w:r>
          </w:p>
        </w:tc>
        <w:tc>
          <w:tcPr>
            <w:tcW w:w="5580" w:type="dxa"/>
            <w:vAlign w:val="center"/>
          </w:tcPr>
          <w:p w14:paraId="7C330AEE">
            <w:pPr>
              <w:pStyle w:val="44"/>
              <w:jc w:val="left"/>
              <w:rPr>
                <w:color w:val="auto"/>
              </w:rPr>
            </w:pPr>
            <w:r>
              <w:rPr>
                <w:color w:val="auto"/>
              </w:rPr>
              <w:t>1</w:t>
            </w:r>
            <w:r>
              <w:rPr>
                <w:rFonts w:hint="eastAsia"/>
                <w:color w:val="auto"/>
              </w:rPr>
              <w:t>）在原材料进场、基础完工、架体搭设完毕、安全设施安装完成各阶段未进行分阶段验收，扣</w:t>
            </w:r>
            <w:r>
              <w:rPr>
                <w:color w:val="auto"/>
              </w:rPr>
              <w:t>10</w:t>
            </w:r>
            <w:r>
              <w:rPr>
                <w:rFonts w:hint="eastAsia"/>
                <w:color w:val="auto"/>
              </w:rPr>
              <w:t>分</w:t>
            </w:r>
          </w:p>
          <w:p w14:paraId="59A53DBD">
            <w:pPr>
              <w:pStyle w:val="44"/>
              <w:jc w:val="left"/>
              <w:rPr>
                <w:color w:val="auto"/>
              </w:rPr>
            </w:pPr>
            <w:r>
              <w:rPr>
                <w:color w:val="auto"/>
              </w:rPr>
              <w:t>2</w:t>
            </w:r>
            <w:r>
              <w:rPr>
                <w:rFonts w:hint="eastAsia"/>
                <w:color w:val="auto"/>
              </w:rPr>
              <w:t>）基础和架体未按相关规定进行预压，扣</w:t>
            </w:r>
            <w:r>
              <w:rPr>
                <w:color w:val="auto"/>
              </w:rPr>
              <w:t>10</w:t>
            </w:r>
            <w:r>
              <w:rPr>
                <w:rFonts w:hint="eastAsia"/>
                <w:color w:val="auto"/>
              </w:rPr>
              <w:t>分</w:t>
            </w:r>
          </w:p>
          <w:p w14:paraId="1376710E">
            <w:pPr>
              <w:pStyle w:val="44"/>
              <w:jc w:val="left"/>
              <w:rPr>
                <w:color w:val="auto"/>
              </w:rPr>
            </w:pPr>
            <w:r>
              <w:rPr>
                <w:color w:val="auto"/>
              </w:rPr>
              <w:t>3</w:t>
            </w:r>
            <w:r>
              <w:rPr>
                <w:rFonts w:hint="eastAsia"/>
                <w:color w:val="auto"/>
              </w:rPr>
              <w:t>）在支撑架搭设完毕、浇筑混凝土前，未办理完工验收手续，扣</w:t>
            </w:r>
            <w:r>
              <w:rPr>
                <w:color w:val="auto"/>
              </w:rPr>
              <w:t>10</w:t>
            </w:r>
            <w:r>
              <w:rPr>
                <w:rFonts w:hint="eastAsia"/>
                <w:color w:val="auto"/>
              </w:rPr>
              <w:t>分</w:t>
            </w:r>
          </w:p>
          <w:p w14:paraId="6A37CF0B">
            <w:pPr>
              <w:pStyle w:val="44"/>
              <w:jc w:val="left"/>
              <w:rPr>
                <w:color w:val="auto"/>
              </w:rPr>
            </w:pPr>
            <w:r>
              <w:rPr>
                <w:color w:val="auto"/>
              </w:rPr>
              <w:t>4</w:t>
            </w:r>
            <w:r>
              <w:rPr>
                <w:rFonts w:hint="eastAsia"/>
                <w:color w:val="auto"/>
              </w:rPr>
              <w:t>）完工验收未形成记录，或未经责任人签字确认，扣</w:t>
            </w:r>
            <w:r>
              <w:rPr>
                <w:color w:val="auto"/>
              </w:rPr>
              <w:t>5</w:t>
            </w:r>
            <w:r>
              <w:rPr>
                <w:rFonts w:hint="eastAsia"/>
                <w:color w:val="auto"/>
              </w:rPr>
              <w:t>分</w:t>
            </w:r>
          </w:p>
          <w:p w14:paraId="08E24319">
            <w:pPr>
              <w:pStyle w:val="44"/>
              <w:jc w:val="left"/>
              <w:rPr>
                <w:color w:val="auto"/>
              </w:rPr>
            </w:pPr>
            <w:r>
              <w:rPr>
                <w:color w:val="auto"/>
              </w:rPr>
              <w:t>5</w:t>
            </w:r>
            <w:r>
              <w:rPr>
                <w:rFonts w:hint="eastAsia"/>
                <w:color w:val="auto"/>
              </w:rPr>
              <w:t>）各阶段检查验收内容和指标未按标准要求进行量化，扣</w:t>
            </w:r>
            <w:r>
              <w:rPr>
                <w:color w:val="auto"/>
              </w:rPr>
              <w:t>5</w:t>
            </w:r>
            <w:r>
              <w:rPr>
                <w:rFonts w:hint="eastAsia"/>
                <w:color w:val="auto"/>
              </w:rPr>
              <w:t>分</w:t>
            </w:r>
          </w:p>
          <w:p w14:paraId="4EB3AEEE">
            <w:pPr>
              <w:pStyle w:val="44"/>
              <w:jc w:val="left"/>
              <w:rPr>
                <w:color w:val="auto"/>
              </w:rPr>
            </w:pPr>
            <w:r>
              <w:rPr>
                <w:color w:val="auto"/>
              </w:rPr>
              <w:t>6</w:t>
            </w:r>
            <w:r>
              <w:rPr>
                <w:rFonts w:hint="eastAsia"/>
                <w:color w:val="auto"/>
              </w:rPr>
              <w:t>）验收合格后未在明显位置悬挂验收合格牌，扣</w:t>
            </w:r>
            <w:r>
              <w:rPr>
                <w:color w:val="auto"/>
              </w:rPr>
              <w:t>3</w:t>
            </w:r>
            <w:r>
              <w:rPr>
                <w:rFonts w:hint="eastAsia"/>
                <w:color w:val="auto"/>
              </w:rPr>
              <w:t>分</w:t>
            </w:r>
          </w:p>
        </w:tc>
        <w:tc>
          <w:tcPr>
            <w:tcW w:w="720" w:type="dxa"/>
            <w:vAlign w:val="center"/>
          </w:tcPr>
          <w:p w14:paraId="29976E26">
            <w:pPr>
              <w:pStyle w:val="44"/>
              <w:rPr>
                <w:color w:val="auto"/>
              </w:rPr>
            </w:pPr>
            <w:r>
              <w:rPr>
                <w:color w:val="auto"/>
              </w:rPr>
              <w:t>10</w:t>
            </w:r>
          </w:p>
        </w:tc>
        <w:tc>
          <w:tcPr>
            <w:tcW w:w="720" w:type="dxa"/>
            <w:vAlign w:val="center"/>
          </w:tcPr>
          <w:p w14:paraId="1B3CAF73">
            <w:pPr>
              <w:pStyle w:val="44"/>
              <w:rPr>
                <w:color w:val="auto"/>
              </w:rPr>
            </w:pPr>
          </w:p>
        </w:tc>
        <w:tc>
          <w:tcPr>
            <w:tcW w:w="720" w:type="dxa"/>
            <w:vAlign w:val="center"/>
          </w:tcPr>
          <w:p w14:paraId="7B54D367">
            <w:pPr>
              <w:pStyle w:val="44"/>
              <w:rPr>
                <w:color w:val="auto"/>
              </w:rPr>
            </w:pPr>
          </w:p>
        </w:tc>
      </w:tr>
      <w:tr w14:paraId="16213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6612458">
            <w:pPr>
              <w:pStyle w:val="44"/>
              <w:rPr>
                <w:color w:val="auto"/>
              </w:rPr>
            </w:pPr>
            <w:r>
              <w:rPr>
                <w:color w:val="auto"/>
              </w:rPr>
              <w:t>7</w:t>
            </w:r>
          </w:p>
        </w:tc>
        <w:tc>
          <w:tcPr>
            <w:tcW w:w="543" w:type="dxa"/>
            <w:vMerge w:val="continue"/>
            <w:vAlign w:val="center"/>
          </w:tcPr>
          <w:p w14:paraId="00483352">
            <w:pPr>
              <w:pStyle w:val="44"/>
              <w:rPr>
                <w:color w:val="auto"/>
              </w:rPr>
            </w:pPr>
          </w:p>
        </w:tc>
        <w:tc>
          <w:tcPr>
            <w:tcW w:w="898" w:type="dxa"/>
            <w:vAlign w:val="center"/>
          </w:tcPr>
          <w:p w14:paraId="1D857407">
            <w:pPr>
              <w:pStyle w:val="44"/>
              <w:rPr>
                <w:color w:val="auto"/>
              </w:rPr>
            </w:pPr>
            <w:r>
              <w:rPr>
                <w:rFonts w:hint="eastAsia"/>
                <w:color w:val="auto"/>
              </w:rPr>
              <w:t>使用与监测</w:t>
            </w:r>
          </w:p>
        </w:tc>
        <w:tc>
          <w:tcPr>
            <w:tcW w:w="5580" w:type="dxa"/>
            <w:vAlign w:val="center"/>
          </w:tcPr>
          <w:p w14:paraId="1A42F1FD">
            <w:pPr>
              <w:pStyle w:val="44"/>
              <w:jc w:val="left"/>
              <w:rPr>
                <w:color w:val="auto"/>
              </w:rPr>
            </w:pPr>
            <w:r>
              <w:rPr>
                <w:color w:val="auto"/>
              </w:rPr>
              <w:t>1</w:t>
            </w:r>
            <w:r>
              <w:rPr>
                <w:rFonts w:hint="eastAsia"/>
                <w:color w:val="auto"/>
              </w:rPr>
              <w:t>）混凝土浇筑顺序不符合标准和安全专项施工方案的要求，扣</w:t>
            </w:r>
            <w:r>
              <w:rPr>
                <w:color w:val="auto"/>
              </w:rPr>
              <w:t>5</w:t>
            </w:r>
            <w:r>
              <w:rPr>
                <w:rFonts w:hint="eastAsia"/>
                <w:color w:val="auto"/>
              </w:rPr>
              <w:t>分</w:t>
            </w:r>
          </w:p>
          <w:p w14:paraId="6CDDD03B">
            <w:pPr>
              <w:pStyle w:val="44"/>
              <w:jc w:val="left"/>
              <w:rPr>
                <w:color w:val="auto"/>
              </w:rPr>
            </w:pPr>
            <w:r>
              <w:rPr>
                <w:color w:val="auto"/>
              </w:rPr>
              <w:t>2</w:t>
            </w:r>
            <w:r>
              <w:rPr>
                <w:rFonts w:hint="eastAsia"/>
                <w:color w:val="auto"/>
              </w:rPr>
              <w:t>）作业层施工均布荷载或集中荷载超过设计允许范围，</w:t>
            </w:r>
            <w:r>
              <w:rPr>
                <w:color w:val="auto"/>
              </w:rPr>
              <w:t>10</w:t>
            </w:r>
            <w:r>
              <w:rPr>
                <w:rFonts w:hint="eastAsia"/>
                <w:color w:val="auto"/>
              </w:rPr>
              <w:t>分</w:t>
            </w:r>
          </w:p>
          <w:p w14:paraId="0197F0E7">
            <w:pPr>
              <w:pStyle w:val="44"/>
              <w:jc w:val="left"/>
              <w:rPr>
                <w:color w:val="auto"/>
              </w:rPr>
            </w:pPr>
            <w:r>
              <w:rPr>
                <w:color w:val="auto"/>
              </w:rPr>
              <w:t>3</w:t>
            </w:r>
            <w:r>
              <w:rPr>
                <w:rFonts w:hint="eastAsia"/>
                <w:color w:val="auto"/>
              </w:rPr>
              <w:t>）当浇筑混凝土时，未对混凝土的堆积高度进行控制，扣</w:t>
            </w:r>
            <w:r>
              <w:rPr>
                <w:color w:val="auto"/>
              </w:rPr>
              <w:t>5-10</w:t>
            </w:r>
            <w:r>
              <w:rPr>
                <w:rFonts w:hint="eastAsia"/>
                <w:color w:val="auto"/>
              </w:rPr>
              <w:t>分</w:t>
            </w:r>
          </w:p>
          <w:p w14:paraId="3CC27870">
            <w:pPr>
              <w:pStyle w:val="44"/>
              <w:jc w:val="left"/>
              <w:rPr>
                <w:color w:val="auto"/>
              </w:rPr>
            </w:pPr>
            <w:r>
              <w:rPr>
                <w:color w:val="auto"/>
              </w:rPr>
              <w:t>4</w:t>
            </w:r>
            <w:r>
              <w:rPr>
                <w:rFonts w:hint="eastAsia"/>
                <w:color w:val="auto"/>
              </w:rPr>
              <w:t>）支撑架未应按有关规定监测监控措施，或未在架体搭设、钢筋安装、混凝土浇捣过程中及混凝土终凝前后对基础沉降、模板支撑体系的位移进行监测监控，扣</w:t>
            </w:r>
            <w:r>
              <w:rPr>
                <w:color w:val="auto"/>
              </w:rPr>
              <w:t>10</w:t>
            </w:r>
            <w:r>
              <w:rPr>
                <w:rFonts w:hint="eastAsia"/>
                <w:color w:val="auto"/>
              </w:rPr>
              <w:t>分</w:t>
            </w:r>
          </w:p>
          <w:p w14:paraId="15983870">
            <w:pPr>
              <w:pStyle w:val="44"/>
              <w:jc w:val="left"/>
              <w:rPr>
                <w:color w:val="auto"/>
              </w:rPr>
            </w:pPr>
            <w:r>
              <w:rPr>
                <w:color w:val="auto"/>
              </w:rPr>
              <w:t>5</w:t>
            </w:r>
            <w:r>
              <w:rPr>
                <w:rFonts w:hint="eastAsia"/>
                <w:color w:val="auto"/>
              </w:rPr>
              <w:t>）监测监控未记录监测点、监测时间、工况、监测项目和报警值，扣</w:t>
            </w:r>
            <w:r>
              <w:rPr>
                <w:color w:val="auto"/>
              </w:rPr>
              <w:t>10</w:t>
            </w:r>
            <w:r>
              <w:rPr>
                <w:rFonts w:hint="eastAsia"/>
                <w:color w:val="auto"/>
              </w:rPr>
              <w:t>分</w:t>
            </w:r>
          </w:p>
        </w:tc>
        <w:tc>
          <w:tcPr>
            <w:tcW w:w="720" w:type="dxa"/>
            <w:vAlign w:val="center"/>
          </w:tcPr>
          <w:p w14:paraId="0DEAF5C9">
            <w:pPr>
              <w:pStyle w:val="44"/>
              <w:rPr>
                <w:color w:val="auto"/>
              </w:rPr>
            </w:pPr>
            <w:r>
              <w:rPr>
                <w:color w:val="auto"/>
              </w:rPr>
              <w:t>10</w:t>
            </w:r>
          </w:p>
        </w:tc>
        <w:tc>
          <w:tcPr>
            <w:tcW w:w="720" w:type="dxa"/>
            <w:vAlign w:val="center"/>
          </w:tcPr>
          <w:p w14:paraId="1B7143A5">
            <w:pPr>
              <w:pStyle w:val="44"/>
              <w:rPr>
                <w:color w:val="auto"/>
              </w:rPr>
            </w:pPr>
          </w:p>
        </w:tc>
        <w:tc>
          <w:tcPr>
            <w:tcW w:w="720" w:type="dxa"/>
            <w:vAlign w:val="center"/>
          </w:tcPr>
          <w:p w14:paraId="75C90AEA">
            <w:pPr>
              <w:pStyle w:val="44"/>
              <w:rPr>
                <w:color w:val="auto"/>
              </w:rPr>
            </w:pPr>
          </w:p>
        </w:tc>
      </w:tr>
      <w:tr w14:paraId="307C7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64ABCEC">
            <w:pPr>
              <w:pStyle w:val="44"/>
              <w:rPr>
                <w:color w:val="auto"/>
              </w:rPr>
            </w:pPr>
          </w:p>
        </w:tc>
        <w:tc>
          <w:tcPr>
            <w:tcW w:w="543" w:type="dxa"/>
            <w:vMerge w:val="continue"/>
          </w:tcPr>
          <w:p w14:paraId="42D41408">
            <w:pPr>
              <w:pStyle w:val="44"/>
              <w:rPr>
                <w:color w:val="auto"/>
              </w:rPr>
            </w:pPr>
          </w:p>
        </w:tc>
        <w:tc>
          <w:tcPr>
            <w:tcW w:w="6478" w:type="dxa"/>
            <w:gridSpan w:val="2"/>
            <w:vAlign w:val="center"/>
          </w:tcPr>
          <w:p w14:paraId="12824E36">
            <w:pPr>
              <w:pStyle w:val="44"/>
              <w:rPr>
                <w:b/>
                <w:bCs w:val="0"/>
                <w:color w:val="auto"/>
              </w:rPr>
            </w:pPr>
            <w:r>
              <w:rPr>
                <w:rFonts w:hint="eastAsia"/>
                <w:b/>
                <w:bCs w:val="0"/>
                <w:color w:val="auto"/>
              </w:rPr>
              <w:t>小</w:t>
            </w:r>
            <w:r>
              <w:rPr>
                <w:b/>
                <w:bCs w:val="0"/>
                <w:color w:val="auto"/>
              </w:rPr>
              <w:t xml:space="preserve">  </w:t>
            </w:r>
            <w:r>
              <w:rPr>
                <w:rFonts w:hint="eastAsia"/>
                <w:b/>
                <w:bCs w:val="0"/>
                <w:color w:val="auto"/>
              </w:rPr>
              <w:t>计</w:t>
            </w:r>
          </w:p>
        </w:tc>
        <w:tc>
          <w:tcPr>
            <w:tcW w:w="720" w:type="dxa"/>
            <w:vAlign w:val="center"/>
          </w:tcPr>
          <w:p w14:paraId="357FAEE5">
            <w:pPr>
              <w:pStyle w:val="44"/>
              <w:rPr>
                <w:color w:val="auto"/>
              </w:rPr>
            </w:pPr>
            <w:r>
              <w:rPr>
                <w:color w:val="auto"/>
              </w:rPr>
              <w:t>70</w:t>
            </w:r>
          </w:p>
        </w:tc>
        <w:tc>
          <w:tcPr>
            <w:tcW w:w="720" w:type="dxa"/>
            <w:vAlign w:val="center"/>
          </w:tcPr>
          <w:p w14:paraId="4E6CF03F">
            <w:pPr>
              <w:pStyle w:val="44"/>
              <w:rPr>
                <w:color w:val="auto"/>
              </w:rPr>
            </w:pPr>
          </w:p>
        </w:tc>
        <w:tc>
          <w:tcPr>
            <w:tcW w:w="720" w:type="dxa"/>
            <w:vAlign w:val="center"/>
          </w:tcPr>
          <w:p w14:paraId="6639DADA">
            <w:pPr>
              <w:pStyle w:val="44"/>
              <w:rPr>
                <w:color w:val="auto"/>
              </w:rPr>
            </w:pPr>
          </w:p>
        </w:tc>
      </w:tr>
      <w:tr w14:paraId="0FE4E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59D00706">
            <w:pPr>
              <w:pStyle w:val="44"/>
              <w:rPr>
                <w:color w:val="auto"/>
              </w:rPr>
            </w:pPr>
            <w:r>
              <w:rPr>
                <w:color w:val="auto"/>
              </w:rPr>
              <w:t>1</w:t>
            </w:r>
          </w:p>
        </w:tc>
        <w:tc>
          <w:tcPr>
            <w:tcW w:w="543" w:type="dxa"/>
            <w:vMerge w:val="restart"/>
            <w:vAlign w:val="center"/>
          </w:tcPr>
          <w:p w14:paraId="5B18BAD4">
            <w:pPr>
              <w:pStyle w:val="44"/>
              <w:rPr>
                <w:color w:val="auto"/>
              </w:rPr>
            </w:pPr>
            <w:r>
              <w:rPr>
                <w:rFonts w:hint="eastAsia"/>
                <w:color w:val="auto"/>
              </w:rPr>
              <w:t>一</w:t>
            </w:r>
          </w:p>
          <w:p w14:paraId="0F2B329E">
            <w:pPr>
              <w:pStyle w:val="44"/>
              <w:rPr>
                <w:color w:val="auto"/>
              </w:rPr>
            </w:pPr>
            <w:r>
              <w:rPr>
                <w:rFonts w:hint="eastAsia"/>
                <w:color w:val="auto"/>
              </w:rPr>
              <w:t>般</w:t>
            </w:r>
          </w:p>
          <w:p w14:paraId="19AD90BF">
            <w:pPr>
              <w:pStyle w:val="44"/>
              <w:rPr>
                <w:color w:val="auto"/>
              </w:rPr>
            </w:pPr>
            <w:r>
              <w:rPr>
                <w:rFonts w:hint="eastAsia"/>
                <w:color w:val="auto"/>
              </w:rPr>
              <w:t>项</w:t>
            </w:r>
          </w:p>
          <w:p w14:paraId="55E4CC9E">
            <w:pPr>
              <w:pStyle w:val="44"/>
              <w:rPr>
                <w:color w:val="auto"/>
              </w:rPr>
            </w:pPr>
            <w:r>
              <w:rPr>
                <w:rFonts w:hint="eastAsia"/>
                <w:color w:val="auto"/>
              </w:rPr>
              <w:t>目</w:t>
            </w:r>
          </w:p>
        </w:tc>
        <w:tc>
          <w:tcPr>
            <w:tcW w:w="898" w:type="dxa"/>
            <w:vAlign w:val="center"/>
          </w:tcPr>
          <w:p w14:paraId="57592C72">
            <w:pPr>
              <w:pStyle w:val="44"/>
              <w:rPr>
                <w:color w:val="auto"/>
              </w:rPr>
            </w:pPr>
            <w:r>
              <w:rPr>
                <w:rFonts w:hint="eastAsia"/>
                <w:color w:val="auto"/>
              </w:rPr>
              <w:t>构件连接</w:t>
            </w:r>
          </w:p>
        </w:tc>
        <w:tc>
          <w:tcPr>
            <w:tcW w:w="5580" w:type="dxa"/>
            <w:vAlign w:val="center"/>
          </w:tcPr>
          <w:p w14:paraId="63439A67">
            <w:pPr>
              <w:pStyle w:val="44"/>
              <w:jc w:val="left"/>
              <w:rPr>
                <w:color w:val="auto"/>
              </w:rPr>
            </w:pPr>
            <w:r>
              <w:rPr>
                <w:color w:val="auto"/>
              </w:rPr>
              <w:t>1</w:t>
            </w:r>
            <w:r>
              <w:rPr>
                <w:rFonts w:hint="eastAsia"/>
                <w:color w:val="auto"/>
              </w:rPr>
              <w:t>）立柱与基础或立柱与顶部横梁连接部位接触不紧密，或柱头、柱脚的加强构造不符合专项方案的要求，扣</w:t>
            </w:r>
            <w:r>
              <w:rPr>
                <w:color w:val="auto"/>
              </w:rPr>
              <w:t>5-10</w:t>
            </w:r>
            <w:r>
              <w:rPr>
                <w:rFonts w:hint="eastAsia"/>
                <w:color w:val="auto"/>
              </w:rPr>
              <w:t>分</w:t>
            </w:r>
          </w:p>
          <w:p w14:paraId="3D47459E">
            <w:pPr>
              <w:pStyle w:val="44"/>
              <w:jc w:val="left"/>
              <w:rPr>
                <w:color w:val="auto"/>
              </w:rPr>
            </w:pPr>
            <w:r>
              <w:rPr>
                <w:color w:val="auto"/>
              </w:rPr>
              <w:t>2</w:t>
            </w:r>
            <w:r>
              <w:rPr>
                <w:rFonts w:hint="eastAsia"/>
                <w:color w:val="auto"/>
              </w:rPr>
              <w:t>）立柱的竖向连接不牢固、紧密，或相邻立柱接头在同一断面，扣</w:t>
            </w:r>
            <w:r>
              <w:rPr>
                <w:color w:val="auto"/>
              </w:rPr>
              <w:t>5-10</w:t>
            </w:r>
            <w:r>
              <w:rPr>
                <w:rFonts w:hint="eastAsia"/>
                <w:color w:val="auto"/>
              </w:rPr>
              <w:t>分</w:t>
            </w:r>
          </w:p>
          <w:p w14:paraId="354A9667">
            <w:pPr>
              <w:pStyle w:val="44"/>
              <w:jc w:val="left"/>
              <w:rPr>
                <w:color w:val="auto"/>
              </w:rPr>
            </w:pPr>
            <w:r>
              <w:rPr>
                <w:color w:val="auto"/>
              </w:rPr>
              <w:t>3</w:t>
            </w:r>
            <w:r>
              <w:rPr>
                <w:rFonts w:hint="eastAsia"/>
                <w:color w:val="auto"/>
              </w:rPr>
              <w:t>）连接系、支撑件与纵梁、横梁、立柱间的连接不牢固，扣</w:t>
            </w:r>
            <w:r>
              <w:rPr>
                <w:color w:val="auto"/>
              </w:rPr>
              <w:t>5-8</w:t>
            </w:r>
            <w:r>
              <w:rPr>
                <w:rFonts w:hint="eastAsia"/>
                <w:color w:val="auto"/>
              </w:rPr>
              <w:t>分，焊接质量与专项施工方案规定的焊缝等级不匹配，扣</w:t>
            </w:r>
            <w:r>
              <w:rPr>
                <w:color w:val="auto"/>
              </w:rPr>
              <w:t>5-8</w:t>
            </w:r>
            <w:r>
              <w:rPr>
                <w:rFonts w:hint="eastAsia"/>
                <w:color w:val="auto"/>
              </w:rPr>
              <w:t>分</w:t>
            </w:r>
          </w:p>
          <w:p w14:paraId="6BBDD1A3">
            <w:pPr>
              <w:pStyle w:val="44"/>
              <w:jc w:val="left"/>
              <w:rPr>
                <w:color w:val="auto"/>
              </w:rPr>
            </w:pPr>
            <w:r>
              <w:rPr>
                <w:color w:val="auto"/>
              </w:rPr>
              <w:t>4</w:t>
            </w:r>
            <w:r>
              <w:rPr>
                <w:rFonts w:hint="eastAsia"/>
                <w:color w:val="auto"/>
              </w:rPr>
              <w:t>）两根及以上型钢构成的组合梁，未采用垫板、加劲肋将型钢连接成整体，扣</w:t>
            </w:r>
            <w:r>
              <w:rPr>
                <w:color w:val="auto"/>
              </w:rPr>
              <w:t>3</w:t>
            </w:r>
            <w:r>
              <w:rPr>
                <w:rFonts w:hint="eastAsia"/>
                <w:color w:val="auto"/>
              </w:rPr>
              <w:t>分</w:t>
            </w:r>
          </w:p>
          <w:p w14:paraId="17F9A366">
            <w:pPr>
              <w:pStyle w:val="44"/>
              <w:jc w:val="left"/>
              <w:rPr>
                <w:color w:val="auto"/>
              </w:rPr>
            </w:pPr>
            <w:r>
              <w:rPr>
                <w:color w:val="auto"/>
              </w:rPr>
              <w:t>5</w:t>
            </w:r>
            <w:r>
              <w:rPr>
                <w:rFonts w:hint="eastAsia"/>
                <w:color w:val="auto"/>
              </w:rPr>
              <w:t>）桁架梁未在支承位置设置侧向限位装置，扣</w:t>
            </w:r>
            <w:r>
              <w:rPr>
                <w:color w:val="auto"/>
              </w:rPr>
              <w:t>3</w:t>
            </w:r>
            <w:r>
              <w:rPr>
                <w:rFonts w:hint="eastAsia"/>
                <w:color w:val="auto"/>
              </w:rPr>
              <w:t>分</w:t>
            </w:r>
          </w:p>
          <w:p w14:paraId="2FDAA058">
            <w:pPr>
              <w:pStyle w:val="44"/>
              <w:jc w:val="left"/>
              <w:rPr>
                <w:color w:val="auto"/>
              </w:rPr>
            </w:pPr>
            <w:r>
              <w:rPr>
                <w:color w:val="auto"/>
              </w:rPr>
              <w:t>6)</w:t>
            </w:r>
            <w:r>
              <w:rPr>
                <w:rFonts w:hint="eastAsia"/>
                <w:color w:val="auto"/>
              </w:rPr>
              <w:t>倾斜设置的纵梁或横梁支座处未按专项施工方案的要求采取防滑移固定措施，扣</w:t>
            </w:r>
            <w:r>
              <w:rPr>
                <w:color w:val="auto"/>
              </w:rPr>
              <w:t>3-5</w:t>
            </w:r>
            <w:r>
              <w:rPr>
                <w:rFonts w:hint="eastAsia"/>
                <w:color w:val="auto"/>
              </w:rPr>
              <w:t>分</w:t>
            </w:r>
          </w:p>
        </w:tc>
        <w:tc>
          <w:tcPr>
            <w:tcW w:w="720" w:type="dxa"/>
            <w:vAlign w:val="center"/>
          </w:tcPr>
          <w:p w14:paraId="5C46285F">
            <w:pPr>
              <w:pStyle w:val="44"/>
              <w:rPr>
                <w:color w:val="auto"/>
              </w:rPr>
            </w:pPr>
            <w:r>
              <w:rPr>
                <w:color w:val="auto"/>
              </w:rPr>
              <w:t>10</w:t>
            </w:r>
          </w:p>
        </w:tc>
        <w:tc>
          <w:tcPr>
            <w:tcW w:w="720" w:type="dxa"/>
            <w:vAlign w:val="center"/>
          </w:tcPr>
          <w:p w14:paraId="01FB01A3">
            <w:pPr>
              <w:pStyle w:val="44"/>
              <w:rPr>
                <w:color w:val="auto"/>
              </w:rPr>
            </w:pPr>
          </w:p>
        </w:tc>
        <w:tc>
          <w:tcPr>
            <w:tcW w:w="720" w:type="dxa"/>
            <w:vAlign w:val="center"/>
          </w:tcPr>
          <w:p w14:paraId="60B450D8">
            <w:pPr>
              <w:pStyle w:val="44"/>
              <w:rPr>
                <w:color w:val="auto"/>
              </w:rPr>
            </w:pPr>
          </w:p>
        </w:tc>
      </w:tr>
      <w:tr w14:paraId="408EE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35F6B11">
            <w:pPr>
              <w:pStyle w:val="44"/>
              <w:rPr>
                <w:color w:val="auto"/>
              </w:rPr>
            </w:pPr>
            <w:r>
              <w:rPr>
                <w:color w:val="auto"/>
              </w:rPr>
              <w:t>2</w:t>
            </w:r>
          </w:p>
        </w:tc>
        <w:tc>
          <w:tcPr>
            <w:tcW w:w="543" w:type="dxa"/>
            <w:vMerge w:val="continue"/>
          </w:tcPr>
          <w:p w14:paraId="2140A4CF">
            <w:pPr>
              <w:pStyle w:val="44"/>
              <w:rPr>
                <w:color w:val="auto"/>
              </w:rPr>
            </w:pPr>
          </w:p>
        </w:tc>
        <w:tc>
          <w:tcPr>
            <w:tcW w:w="898" w:type="dxa"/>
            <w:vAlign w:val="center"/>
          </w:tcPr>
          <w:p w14:paraId="19248626">
            <w:pPr>
              <w:pStyle w:val="44"/>
              <w:rPr>
                <w:color w:val="auto"/>
              </w:rPr>
            </w:pPr>
            <w:r>
              <w:rPr>
                <w:rFonts w:hint="eastAsia"/>
                <w:color w:val="auto"/>
              </w:rPr>
              <w:t>安全防护</w:t>
            </w:r>
          </w:p>
        </w:tc>
        <w:tc>
          <w:tcPr>
            <w:tcW w:w="5580" w:type="dxa"/>
            <w:vAlign w:val="center"/>
          </w:tcPr>
          <w:p w14:paraId="484C1D3E">
            <w:pPr>
              <w:pStyle w:val="44"/>
              <w:jc w:val="left"/>
              <w:rPr>
                <w:color w:val="auto"/>
              </w:rPr>
            </w:pPr>
            <w:r>
              <w:rPr>
                <w:color w:val="auto"/>
              </w:rPr>
              <w:t>1</w:t>
            </w:r>
            <w:r>
              <w:rPr>
                <w:rFonts w:hint="eastAsia"/>
                <w:color w:val="auto"/>
              </w:rPr>
              <w:t>）架体顶面四周未设置操作平台，扣</w:t>
            </w:r>
            <w:r>
              <w:rPr>
                <w:color w:val="auto"/>
              </w:rPr>
              <w:t>10</w:t>
            </w:r>
            <w:r>
              <w:rPr>
                <w:rFonts w:hint="eastAsia"/>
                <w:color w:val="auto"/>
              </w:rPr>
              <w:t>分</w:t>
            </w:r>
          </w:p>
          <w:p w14:paraId="2C85DB29">
            <w:pPr>
              <w:pStyle w:val="44"/>
              <w:jc w:val="left"/>
              <w:rPr>
                <w:color w:val="auto"/>
              </w:rPr>
            </w:pPr>
            <w:r>
              <w:rPr>
                <w:color w:val="auto"/>
              </w:rPr>
              <w:t>2</w:t>
            </w:r>
            <w:r>
              <w:rPr>
                <w:rFonts w:hint="eastAsia"/>
                <w:color w:val="auto"/>
              </w:rPr>
              <w:t>）平台面未牢固满铺脚手板，扣</w:t>
            </w:r>
            <w:r>
              <w:rPr>
                <w:color w:val="auto"/>
              </w:rPr>
              <w:t>5</w:t>
            </w:r>
            <w:r>
              <w:rPr>
                <w:rFonts w:hint="eastAsia"/>
                <w:color w:val="auto"/>
              </w:rPr>
              <w:t>分</w:t>
            </w:r>
          </w:p>
          <w:p w14:paraId="51102CFD">
            <w:pPr>
              <w:pStyle w:val="44"/>
              <w:jc w:val="left"/>
              <w:rPr>
                <w:color w:val="auto"/>
              </w:rPr>
            </w:pPr>
            <w:r>
              <w:rPr>
                <w:color w:val="auto"/>
              </w:rPr>
              <w:t>3</w:t>
            </w:r>
            <w:r>
              <w:rPr>
                <w:rFonts w:hint="eastAsia"/>
                <w:color w:val="auto"/>
              </w:rPr>
              <w:t>）平台外侧未按临边作业要求设置防护栏杆，扣</w:t>
            </w:r>
            <w:r>
              <w:rPr>
                <w:color w:val="auto"/>
              </w:rPr>
              <w:t>10</w:t>
            </w:r>
            <w:r>
              <w:rPr>
                <w:rFonts w:hint="eastAsia"/>
                <w:color w:val="auto"/>
              </w:rPr>
              <w:t>分</w:t>
            </w:r>
          </w:p>
          <w:p w14:paraId="7C887CBF">
            <w:pPr>
              <w:pStyle w:val="44"/>
              <w:jc w:val="left"/>
              <w:rPr>
                <w:color w:val="auto"/>
              </w:rPr>
            </w:pPr>
            <w:r>
              <w:rPr>
                <w:color w:val="auto"/>
              </w:rPr>
              <w:t>4</w:t>
            </w:r>
            <w:r>
              <w:rPr>
                <w:rFonts w:hint="eastAsia"/>
                <w:color w:val="auto"/>
              </w:rPr>
              <w:t>）未设置供人员上下的专用通道，扣</w:t>
            </w:r>
            <w:r>
              <w:rPr>
                <w:color w:val="auto"/>
              </w:rPr>
              <w:t>10</w:t>
            </w:r>
            <w:r>
              <w:rPr>
                <w:rFonts w:hint="eastAsia"/>
                <w:color w:val="auto"/>
              </w:rPr>
              <w:t>分</w:t>
            </w:r>
          </w:p>
          <w:p w14:paraId="34A9D517">
            <w:pPr>
              <w:pStyle w:val="44"/>
              <w:jc w:val="left"/>
              <w:rPr>
                <w:color w:val="auto"/>
              </w:rPr>
            </w:pPr>
            <w:r>
              <w:rPr>
                <w:color w:val="auto"/>
              </w:rPr>
              <w:t>5</w:t>
            </w:r>
            <w:r>
              <w:rPr>
                <w:rFonts w:hint="eastAsia"/>
                <w:color w:val="auto"/>
              </w:rPr>
              <w:t>）通道设置不符合标准要求或未与既有结构进行可靠连接，扣</w:t>
            </w:r>
            <w:r>
              <w:rPr>
                <w:color w:val="auto"/>
              </w:rPr>
              <w:t>2-5</w:t>
            </w:r>
            <w:r>
              <w:rPr>
                <w:rFonts w:hint="eastAsia"/>
                <w:color w:val="auto"/>
              </w:rPr>
              <w:t>分</w:t>
            </w:r>
          </w:p>
          <w:p w14:paraId="432DE100">
            <w:pPr>
              <w:pStyle w:val="44"/>
              <w:jc w:val="left"/>
              <w:rPr>
                <w:color w:val="auto"/>
              </w:rPr>
            </w:pPr>
            <w:r>
              <w:rPr>
                <w:color w:val="auto"/>
              </w:rPr>
              <w:t>6</w:t>
            </w:r>
            <w:r>
              <w:rPr>
                <w:rFonts w:hint="eastAsia"/>
                <w:color w:val="auto"/>
              </w:rPr>
              <w:t>）支撑架四周的安全区域、围栏、警示标志不符合标准要求，扣</w:t>
            </w:r>
            <w:r>
              <w:rPr>
                <w:color w:val="auto"/>
              </w:rPr>
              <w:t>2-5</w:t>
            </w:r>
            <w:r>
              <w:rPr>
                <w:rFonts w:hint="eastAsia"/>
                <w:color w:val="auto"/>
              </w:rPr>
              <w:t>分</w:t>
            </w:r>
          </w:p>
          <w:p w14:paraId="02A151C2">
            <w:pPr>
              <w:pStyle w:val="44"/>
              <w:jc w:val="left"/>
              <w:rPr>
                <w:color w:val="auto"/>
              </w:rPr>
            </w:pPr>
            <w:r>
              <w:rPr>
                <w:color w:val="auto"/>
              </w:rPr>
              <w:t>7</w:t>
            </w:r>
            <w:r>
              <w:rPr>
                <w:rFonts w:hint="eastAsia"/>
                <w:color w:val="auto"/>
              </w:rPr>
              <w:t>）车行门洞通道未设置顶部全封闭硬防护，扣</w:t>
            </w:r>
            <w:r>
              <w:rPr>
                <w:color w:val="auto"/>
              </w:rPr>
              <w:t>5</w:t>
            </w:r>
            <w:r>
              <w:rPr>
                <w:rFonts w:hint="eastAsia"/>
                <w:color w:val="auto"/>
              </w:rPr>
              <w:t>分</w:t>
            </w:r>
          </w:p>
          <w:p w14:paraId="79761BD8">
            <w:pPr>
              <w:pStyle w:val="44"/>
              <w:jc w:val="left"/>
              <w:rPr>
                <w:color w:val="auto"/>
              </w:rPr>
            </w:pPr>
            <w:r>
              <w:rPr>
                <w:color w:val="auto"/>
              </w:rPr>
              <w:t>8</w:t>
            </w:r>
            <w:r>
              <w:rPr>
                <w:rFonts w:hint="eastAsia"/>
                <w:color w:val="auto"/>
              </w:rPr>
              <w:t>）门洞未按规定设置导向、限高、限宽、减速、防撞设施及标识，扣</w:t>
            </w:r>
            <w:r>
              <w:rPr>
                <w:color w:val="auto"/>
              </w:rPr>
              <w:t>2-5</w:t>
            </w:r>
            <w:r>
              <w:rPr>
                <w:rFonts w:hint="eastAsia"/>
                <w:color w:val="auto"/>
              </w:rPr>
              <w:t>分</w:t>
            </w:r>
          </w:p>
          <w:p w14:paraId="545542CA">
            <w:pPr>
              <w:pStyle w:val="44"/>
              <w:jc w:val="left"/>
              <w:rPr>
                <w:color w:val="auto"/>
              </w:rPr>
            </w:pPr>
            <w:r>
              <w:rPr>
                <w:color w:val="auto"/>
              </w:rPr>
              <w:t>9</w:t>
            </w:r>
            <w:r>
              <w:rPr>
                <w:rFonts w:hint="eastAsia"/>
                <w:color w:val="auto"/>
              </w:rPr>
              <w:t>）当支撑架可能受河水影响时，未采取防冲（撞）击的安全措施，扣</w:t>
            </w:r>
            <w:r>
              <w:rPr>
                <w:color w:val="auto"/>
              </w:rPr>
              <w:t>5-8</w:t>
            </w:r>
            <w:r>
              <w:rPr>
                <w:rFonts w:hint="eastAsia"/>
                <w:color w:val="auto"/>
              </w:rPr>
              <w:t>分</w:t>
            </w:r>
          </w:p>
          <w:p w14:paraId="00B2C0FB">
            <w:pPr>
              <w:pStyle w:val="44"/>
              <w:jc w:val="left"/>
              <w:rPr>
                <w:color w:val="auto"/>
              </w:rPr>
            </w:pPr>
            <w:r>
              <w:rPr>
                <w:color w:val="auto"/>
              </w:rPr>
              <w:t>10</w:t>
            </w:r>
            <w:r>
              <w:rPr>
                <w:rFonts w:hint="eastAsia"/>
                <w:color w:val="auto"/>
              </w:rPr>
              <w:t>）起重设备、混凝土输送管、脚手架、物料周转平台等设施与支撑架相连接，扣</w:t>
            </w:r>
            <w:r>
              <w:rPr>
                <w:color w:val="auto"/>
              </w:rPr>
              <w:t>5-10</w:t>
            </w:r>
            <w:r>
              <w:rPr>
                <w:rFonts w:hint="eastAsia"/>
                <w:color w:val="auto"/>
              </w:rPr>
              <w:t>分</w:t>
            </w:r>
          </w:p>
        </w:tc>
        <w:tc>
          <w:tcPr>
            <w:tcW w:w="720" w:type="dxa"/>
            <w:vAlign w:val="center"/>
          </w:tcPr>
          <w:p w14:paraId="0DC795F9">
            <w:pPr>
              <w:pStyle w:val="44"/>
              <w:rPr>
                <w:color w:val="auto"/>
              </w:rPr>
            </w:pPr>
            <w:r>
              <w:rPr>
                <w:color w:val="auto"/>
              </w:rPr>
              <w:t>10</w:t>
            </w:r>
          </w:p>
        </w:tc>
        <w:tc>
          <w:tcPr>
            <w:tcW w:w="720" w:type="dxa"/>
            <w:vAlign w:val="center"/>
          </w:tcPr>
          <w:p w14:paraId="34CFFCDE">
            <w:pPr>
              <w:pStyle w:val="44"/>
              <w:rPr>
                <w:color w:val="auto"/>
              </w:rPr>
            </w:pPr>
          </w:p>
        </w:tc>
        <w:tc>
          <w:tcPr>
            <w:tcW w:w="720" w:type="dxa"/>
            <w:vAlign w:val="center"/>
          </w:tcPr>
          <w:p w14:paraId="3F67493A">
            <w:pPr>
              <w:pStyle w:val="44"/>
              <w:rPr>
                <w:color w:val="auto"/>
              </w:rPr>
            </w:pPr>
          </w:p>
        </w:tc>
      </w:tr>
      <w:tr w14:paraId="3DCF1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AEFCC5A">
            <w:pPr>
              <w:pStyle w:val="44"/>
              <w:rPr>
                <w:color w:val="auto"/>
              </w:rPr>
            </w:pPr>
            <w:r>
              <w:rPr>
                <w:color w:val="auto"/>
              </w:rPr>
              <w:t>3</w:t>
            </w:r>
          </w:p>
        </w:tc>
        <w:tc>
          <w:tcPr>
            <w:tcW w:w="543" w:type="dxa"/>
            <w:vMerge w:val="continue"/>
          </w:tcPr>
          <w:p w14:paraId="19EADA48">
            <w:pPr>
              <w:pStyle w:val="44"/>
              <w:rPr>
                <w:color w:val="auto"/>
              </w:rPr>
            </w:pPr>
          </w:p>
        </w:tc>
        <w:tc>
          <w:tcPr>
            <w:tcW w:w="898" w:type="dxa"/>
            <w:vAlign w:val="center"/>
          </w:tcPr>
          <w:p w14:paraId="13444F89">
            <w:pPr>
              <w:pStyle w:val="44"/>
              <w:rPr>
                <w:color w:val="auto"/>
              </w:rPr>
            </w:pPr>
            <w:r>
              <w:rPr>
                <w:rFonts w:hint="eastAsia"/>
                <w:color w:val="auto"/>
              </w:rPr>
              <w:t>支撑架拆除</w:t>
            </w:r>
          </w:p>
        </w:tc>
        <w:tc>
          <w:tcPr>
            <w:tcW w:w="5580" w:type="dxa"/>
            <w:vAlign w:val="center"/>
          </w:tcPr>
          <w:p w14:paraId="39FD0079">
            <w:pPr>
              <w:pStyle w:val="44"/>
              <w:jc w:val="left"/>
              <w:rPr>
                <w:color w:val="auto"/>
              </w:rPr>
            </w:pPr>
            <w:r>
              <w:rPr>
                <w:color w:val="auto"/>
              </w:rPr>
              <w:t>1</w:t>
            </w:r>
            <w:r>
              <w:rPr>
                <w:rFonts w:hint="eastAsia"/>
                <w:color w:val="auto"/>
              </w:rPr>
              <w:t>）架体拆除前未进行拆除安全技术交底，扣</w:t>
            </w:r>
            <w:r>
              <w:rPr>
                <w:color w:val="auto"/>
              </w:rPr>
              <w:t>10</w:t>
            </w:r>
            <w:r>
              <w:rPr>
                <w:rFonts w:hint="eastAsia"/>
                <w:color w:val="auto"/>
              </w:rPr>
              <w:t>分；交底无针对性或无文字记录，扣</w:t>
            </w:r>
            <w:r>
              <w:rPr>
                <w:color w:val="auto"/>
              </w:rPr>
              <w:t>2-5</w:t>
            </w:r>
            <w:r>
              <w:rPr>
                <w:rFonts w:hint="eastAsia"/>
                <w:color w:val="auto"/>
              </w:rPr>
              <w:t>分</w:t>
            </w:r>
          </w:p>
          <w:p w14:paraId="6F813B78">
            <w:pPr>
              <w:pStyle w:val="44"/>
              <w:jc w:val="left"/>
              <w:rPr>
                <w:color w:val="auto"/>
              </w:rPr>
            </w:pPr>
            <w:r>
              <w:rPr>
                <w:color w:val="auto"/>
              </w:rPr>
              <w:t>2</w:t>
            </w:r>
            <w:r>
              <w:rPr>
                <w:rFonts w:hint="eastAsia"/>
                <w:color w:val="auto"/>
              </w:rPr>
              <w:t>）支撑架拆除前未确认混凝土达到拆模强度要求，扣</w:t>
            </w:r>
            <w:r>
              <w:rPr>
                <w:color w:val="auto"/>
              </w:rPr>
              <w:t>10</w:t>
            </w:r>
            <w:r>
              <w:rPr>
                <w:rFonts w:hint="eastAsia"/>
                <w:color w:val="auto"/>
              </w:rPr>
              <w:t>分</w:t>
            </w:r>
          </w:p>
          <w:p w14:paraId="57550441">
            <w:pPr>
              <w:pStyle w:val="44"/>
              <w:jc w:val="left"/>
              <w:rPr>
                <w:color w:val="auto"/>
              </w:rPr>
            </w:pPr>
            <w:r>
              <w:rPr>
                <w:color w:val="auto"/>
              </w:rPr>
              <w:t>3</w:t>
            </w:r>
            <w:r>
              <w:rPr>
                <w:rFonts w:hint="eastAsia"/>
                <w:color w:val="auto"/>
              </w:rPr>
              <w:t>）支撑架拆除未填写拆模申请单并履行拆模审批手续，扣</w:t>
            </w:r>
            <w:r>
              <w:rPr>
                <w:color w:val="auto"/>
              </w:rPr>
              <w:t>3</w:t>
            </w:r>
            <w:r>
              <w:rPr>
                <w:rFonts w:hint="eastAsia"/>
                <w:color w:val="auto"/>
              </w:rPr>
              <w:t>分</w:t>
            </w:r>
          </w:p>
          <w:p w14:paraId="469C545C">
            <w:pPr>
              <w:pStyle w:val="44"/>
              <w:jc w:val="left"/>
              <w:rPr>
                <w:color w:val="auto"/>
              </w:rPr>
            </w:pPr>
            <w:r>
              <w:rPr>
                <w:color w:val="auto"/>
              </w:rPr>
              <w:t>4</w:t>
            </w:r>
            <w:r>
              <w:rPr>
                <w:rFonts w:hint="eastAsia"/>
                <w:color w:val="auto"/>
              </w:rPr>
              <w:t>）预应力混凝土结构的支撑架在建立预应力前拆除，扣</w:t>
            </w:r>
            <w:r>
              <w:rPr>
                <w:color w:val="auto"/>
              </w:rPr>
              <w:t>10</w:t>
            </w:r>
            <w:r>
              <w:rPr>
                <w:rFonts w:hint="eastAsia"/>
                <w:color w:val="auto"/>
              </w:rPr>
              <w:t>分</w:t>
            </w:r>
          </w:p>
          <w:p w14:paraId="384872CB">
            <w:pPr>
              <w:pStyle w:val="44"/>
              <w:jc w:val="left"/>
              <w:rPr>
                <w:color w:val="auto"/>
              </w:rPr>
            </w:pPr>
            <w:r>
              <w:rPr>
                <w:color w:val="auto"/>
              </w:rPr>
              <w:t>5</w:t>
            </w:r>
            <w:r>
              <w:rPr>
                <w:rFonts w:hint="eastAsia"/>
                <w:color w:val="auto"/>
              </w:rPr>
              <w:t>）支撑架落架未按专项施工方案规定的顺序分阶段循环进行，扣</w:t>
            </w:r>
            <w:r>
              <w:rPr>
                <w:color w:val="auto"/>
              </w:rPr>
              <w:t>10</w:t>
            </w:r>
            <w:r>
              <w:rPr>
                <w:rFonts w:hint="eastAsia"/>
                <w:color w:val="auto"/>
              </w:rPr>
              <w:t>分</w:t>
            </w:r>
          </w:p>
          <w:p w14:paraId="61251E41">
            <w:pPr>
              <w:pStyle w:val="44"/>
              <w:jc w:val="left"/>
              <w:rPr>
                <w:color w:val="auto"/>
              </w:rPr>
            </w:pPr>
            <w:r>
              <w:rPr>
                <w:color w:val="auto"/>
              </w:rPr>
              <w:t>6</w:t>
            </w:r>
            <w:r>
              <w:rPr>
                <w:rFonts w:hint="eastAsia"/>
                <w:color w:val="auto"/>
              </w:rPr>
              <w:t>）支撑架拆除未按规定设置警戒区或未设专人监护，扣</w:t>
            </w:r>
            <w:r>
              <w:rPr>
                <w:color w:val="auto"/>
              </w:rPr>
              <w:t>5</w:t>
            </w:r>
            <w:r>
              <w:rPr>
                <w:rFonts w:hint="eastAsia"/>
                <w:color w:val="auto"/>
              </w:rPr>
              <w:t>分</w:t>
            </w:r>
          </w:p>
        </w:tc>
        <w:tc>
          <w:tcPr>
            <w:tcW w:w="720" w:type="dxa"/>
            <w:vAlign w:val="center"/>
          </w:tcPr>
          <w:p w14:paraId="7D554C40">
            <w:pPr>
              <w:pStyle w:val="44"/>
              <w:rPr>
                <w:color w:val="auto"/>
              </w:rPr>
            </w:pPr>
            <w:r>
              <w:rPr>
                <w:color w:val="auto"/>
              </w:rPr>
              <w:t>10</w:t>
            </w:r>
          </w:p>
        </w:tc>
        <w:tc>
          <w:tcPr>
            <w:tcW w:w="720" w:type="dxa"/>
            <w:vAlign w:val="center"/>
          </w:tcPr>
          <w:p w14:paraId="318EAFDE">
            <w:pPr>
              <w:pStyle w:val="44"/>
              <w:rPr>
                <w:color w:val="auto"/>
              </w:rPr>
            </w:pPr>
          </w:p>
        </w:tc>
        <w:tc>
          <w:tcPr>
            <w:tcW w:w="720" w:type="dxa"/>
            <w:vAlign w:val="center"/>
          </w:tcPr>
          <w:p w14:paraId="6265A5D9">
            <w:pPr>
              <w:pStyle w:val="44"/>
              <w:rPr>
                <w:color w:val="auto"/>
              </w:rPr>
            </w:pPr>
          </w:p>
        </w:tc>
      </w:tr>
      <w:tr w14:paraId="6FCE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FE8B027">
            <w:pPr>
              <w:pStyle w:val="44"/>
              <w:rPr>
                <w:color w:val="auto"/>
              </w:rPr>
            </w:pPr>
          </w:p>
        </w:tc>
        <w:tc>
          <w:tcPr>
            <w:tcW w:w="543" w:type="dxa"/>
            <w:vMerge w:val="continue"/>
          </w:tcPr>
          <w:p w14:paraId="3A343F70">
            <w:pPr>
              <w:pStyle w:val="44"/>
              <w:rPr>
                <w:color w:val="auto"/>
              </w:rPr>
            </w:pPr>
          </w:p>
        </w:tc>
        <w:tc>
          <w:tcPr>
            <w:tcW w:w="6478" w:type="dxa"/>
            <w:gridSpan w:val="2"/>
            <w:vAlign w:val="center"/>
          </w:tcPr>
          <w:p w14:paraId="36EA4474">
            <w:pPr>
              <w:pStyle w:val="44"/>
              <w:rPr>
                <w:b/>
                <w:bCs w:val="0"/>
                <w:color w:val="auto"/>
              </w:rPr>
            </w:pPr>
            <w:r>
              <w:rPr>
                <w:rFonts w:hint="eastAsia"/>
                <w:b/>
                <w:bCs w:val="0"/>
                <w:color w:val="auto"/>
              </w:rPr>
              <w:t xml:space="preserve">小 </w:t>
            </w:r>
            <w:r>
              <w:rPr>
                <w:b/>
                <w:bCs w:val="0"/>
                <w:color w:val="auto"/>
              </w:rPr>
              <w:t xml:space="preserve"> </w:t>
            </w:r>
            <w:r>
              <w:rPr>
                <w:rFonts w:hint="eastAsia"/>
                <w:b/>
                <w:bCs w:val="0"/>
                <w:color w:val="auto"/>
              </w:rPr>
              <w:t>计</w:t>
            </w:r>
          </w:p>
        </w:tc>
        <w:tc>
          <w:tcPr>
            <w:tcW w:w="720" w:type="dxa"/>
            <w:vAlign w:val="center"/>
          </w:tcPr>
          <w:p w14:paraId="06398580">
            <w:pPr>
              <w:pStyle w:val="44"/>
              <w:rPr>
                <w:color w:val="auto"/>
              </w:rPr>
            </w:pPr>
            <w:r>
              <w:rPr>
                <w:color w:val="auto"/>
              </w:rPr>
              <w:t>30</w:t>
            </w:r>
          </w:p>
        </w:tc>
        <w:tc>
          <w:tcPr>
            <w:tcW w:w="720" w:type="dxa"/>
            <w:vAlign w:val="center"/>
          </w:tcPr>
          <w:p w14:paraId="3F3106D4">
            <w:pPr>
              <w:pStyle w:val="44"/>
              <w:rPr>
                <w:color w:val="auto"/>
              </w:rPr>
            </w:pPr>
          </w:p>
        </w:tc>
        <w:tc>
          <w:tcPr>
            <w:tcW w:w="720" w:type="dxa"/>
            <w:vAlign w:val="center"/>
          </w:tcPr>
          <w:p w14:paraId="3C8AC348">
            <w:pPr>
              <w:pStyle w:val="44"/>
              <w:rPr>
                <w:color w:val="auto"/>
              </w:rPr>
            </w:pPr>
          </w:p>
        </w:tc>
      </w:tr>
      <w:tr w14:paraId="60165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560" w:type="dxa"/>
            <w:gridSpan w:val="4"/>
            <w:vAlign w:val="center"/>
          </w:tcPr>
          <w:p w14:paraId="10F0932F">
            <w:pPr>
              <w:pStyle w:val="44"/>
              <w:rPr>
                <w:b/>
                <w:bCs w:val="0"/>
                <w:color w:val="auto"/>
              </w:rPr>
            </w:pPr>
            <w:r>
              <w:rPr>
                <w:rFonts w:hint="eastAsia"/>
                <w:b/>
                <w:bCs w:val="0"/>
                <w:color w:val="auto"/>
              </w:rPr>
              <w:t>检查项目合计</w:t>
            </w:r>
          </w:p>
        </w:tc>
        <w:tc>
          <w:tcPr>
            <w:tcW w:w="720" w:type="dxa"/>
            <w:vAlign w:val="center"/>
          </w:tcPr>
          <w:p w14:paraId="3AC7C677">
            <w:pPr>
              <w:pStyle w:val="44"/>
              <w:rPr>
                <w:color w:val="auto"/>
              </w:rPr>
            </w:pPr>
            <w:r>
              <w:rPr>
                <w:color w:val="auto"/>
              </w:rPr>
              <w:t>100</w:t>
            </w:r>
          </w:p>
        </w:tc>
        <w:tc>
          <w:tcPr>
            <w:tcW w:w="720" w:type="dxa"/>
            <w:vAlign w:val="center"/>
          </w:tcPr>
          <w:p w14:paraId="7D1F6BEA">
            <w:pPr>
              <w:pStyle w:val="44"/>
              <w:rPr>
                <w:color w:val="auto"/>
              </w:rPr>
            </w:pPr>
          </w:p>
        </w:tc>
        <w:tc>
          <w:tcPr>
            <w:tcW w:w="720" w:type="dxa"/>
            <w:vAlign w:val="center"/>
          </w:tcPr>
          <w:p w14:paraId="713C2623">
            <w:pPr>
              <w:pStyle w:val="44"/>
              <w:rPr>
                <w:color w:val="auto"/>
              </w:rPr>
            </w:pPr>
          </w:p>
        </w:tc>
      </w:tr>
    </w:tbl>
    <w:p w14:paraId="6F993306">
      <w:pPr>
        <w:pStyle w:val="5"/>
      </w:pPr>
      <w:r>
        <w:rPr>
          <w:rFonts w:hint="eastAsia"/>
        </w:rPr>
        <w:br w:type="page"/>
      </w:r>
      <w:bookmarkStart w:id="61" w:name="_Toc5201"/>
      <w:bookmarkStart w:id="62" w:name="_Toc22261"/>
      <w:bookmarkStart w:id="63" w:name="_Toc2856"/>
      <w:r>
        <w:rPr>
          <w:rFonts w:hint="eastAsia"/>
        </w:rPr>
        <w:t>表B.1</w:t>
      </w:r>
      <w:r>
        <w:t>8</w:t>
      </w:r>
      <w:r>
        <w:rPr>
          <w:rFonts w:hint="eastAsia"/>
        </w:rPr>
        <w:t xml:space="preserve">  移动模架检查</w:t>
      </w:r>
      <w:r>
        <w:t>评分表</w:t>
      </w:r>
      <w:bookmarkEnd w:id="61"/>
      <w:bookmarkEnd w:id="62"/>
      <w:bookmarkEnd w:id="63"/>
    </w:p>
    <w:tbl>
      <w:tblPr>
        <w:tblStyle w:val="19"/>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35253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jc w:val="center"/>
        </w:trPr>
        <w:tc>
          <w:tcPr>
            <w:tcW w:w="539" w:type="dxa"/>
            <w:vAlign w:val="center"/>
          </w:tcPr>
          <w:p w14:paraId="0056DDF6">
            <w:pPr>
              <w:pStyle w:val="44"/>
              <w:rPr>
                <w:color w:val="auto"/>
              </w:rPr>
            </w:pPr>
            <w:r>
              <w:rPr>
                <w:rFonts w:hint="eastAsia"/>
                <w:color w:val="auto"/>
              </w:rPr>
              <w:t>序号</w:t>
            </w:r>
          </w:p>
        </w:tc>
        <w:tc>
          <w:tcPr>
            <w:tcW w:w="1441" w:type="dxa"/>
            <w:gridSpan w:val="2"/>
            <w:vAlign w:val="center"/>
          </w:tcPr>
          <w:p w14:paraId="51C9B2D9">
            <w:pPr>
              <w:pStyle w:val="44"/>
              <w:rPr>
                <w:color w:val="auto"/>
              </w:rPr>
            </w:pPr>
            <w:r>
              <w:rPr>
                <w:rFonts w:hint="eastAsia"/>
                <w:color w:val="auto"/>
              </w:rPr>
              <w:t>检查项目</w:t>
            </w:r>
          </w:p>
        </w:tc>
        <w:tc>
          <w:tcPr>
            <w:tcW w:w="5580" w:type="dxa"/>
            <w:vAlign w:val="center"/>
          </w:tcPr>
          <w:p w14:paraId="0E0F1DFE">
            <w:pPr>
              <w:pStyle w:val="44"/>
              <w:rPr>
                <w:color w:val="auto"/>
              </w:rPr>
            </w:pPr>
            <w:r>
              <w:rPr>
                <w:rFonts w:hint="eastAsia"/>
                <w:color w:val="auto"/>
              </w:rPr>
              <w:t>扣</w:t>
            </w:r>
            <w:r>
              <w:rPr>
                <w:color w:val="auto"/>
              </w:rPr>
              <w:t xml:space="preserve"> </w:t>
            </w:r>
            <w:r>
              <w:rPr>
                <w:rFonts w:hint="eastAsia"/>
                <w:color w:val="auto"/>
              </w:rPr>
              <w:t>分</w:t>
            </w:r>
            <w:r>
              <w:rPr>
                <w:color w:val="auto"/>
              </w:rPr>
              <w:t xml:space="preserve"> </w:t>
            </w:r>
            <w:r>
              <w:rPr>
                <w:rFonts w:hint="eastAsia"/>
                <w:color w:val="auto"/>
              </w:rPr>
              <w:t>标</w:t>
            </w:r>
            <w:r>
              <w:rPr>
                <w:color w:val="auto"/>
              </w:rPr>
              <w:t xml:space="preserve"> </w:t>
            </w:r>
            <w:r>
              <w:rPr>
                <w:rFonts w:hint="eastAsia"/>
                <w:color w:val="auto"/>
              </w:rPr>
              <w:t>准</w:t>
            </w:r>
          </w:p>
        </w:tc>
        <w:tc>
          <w:tcPr>
            <w:tcW w:w="720" w:type="dxa"/>
            <w:vAlign w:val="center"/>
          </w:tcPr>
          <w:p w14:paraId="366CCAB7">
            <w:pPr>
              <w:pStyle w:val="44"/>
              <w:rPr>
                <w:color w:val="auto"/>
              </w:rPr>
            </w:pPr>
            <w:r>
              <w:rPr>
                <w:rFonts w:hint="eastAsia"/>
                <w:color w:val="auto"/>
              </w:rPr>
              <w:t>应得</w:t>
            </w:r>
          </w:p>
          <w:p w14:paraId="02E65CF4">
            <w:pPr>
              <w:pStyle w:val="44"/>
              <w:rPr>
                <w:color w:val="auto"/>
              </w:rPr>
            </w:pPr>
            <w:r>
              <w:rPr>
                <w:rFonts w:hint="eastAsia"/>
                <w:color w:val="auto"/>
              </w:rPr>
              <w:t>分数</w:t>
            </w:r>
          </w:p>
        </w:tc>
        <w:tc>
          <w:tcPr>
            <w:tcW w:w="720" w:type="dxa"/>
            <w:vAlign w:val="center"/>
          </w:tcPr>
          <w:p w14:paraId="36F2FDC2">
            <w:pPr>
              <w:pStyle w:val="44"/>
              <w:rPr>
                <w:color w:val="auto"/>
              </w:rPr>
            </w:pPr>
            <w:r>
              <w:rPr>
                <w:rFonts w:hint="eastAsia"/>
                <w:color w:val="auto"/>
              </w:rPr>
              <w:t>扣减</w:t>
            </w:r>
          </w:p>
          <w:p w14:paraId="4A4F0D13">
            <w:pPr>
              <w:pStyle w:val="44"/>
              <w:rPr>
                <w:color w:val="auto"/>
              </w:rPr>
            </w:pPr>
            <w:r>
              <w:rPr>
                <w:rFonts w:hint="eastAsia"/>
                <w:color w:val="auto"/>
              </w:rPr>
              <w:t>分数</w:t>
            </w:r>
          </w:p>
        </w:tc>
        <w:tc>
          <w:tcPr>
            <w:tcW w:w="720" w:type="dxa"/>
            <w:vAlign w:val="center"/>
          </w:tcPr>
          <w:p w14:paraId="5F7C8544">
            <w:pPr>
              <w:pStyle w:val="44"/>
              <w:rPr>
                <w:color w:val="auto"/>
              </w:rPr>
            </w:pPr>
            <w:r>
              <w:rPr>
                <w:rFonts w:hint="eastAsia"/>
                <w:color w:val="auto"/>
              </w:rPr>
              <w:t>实得</w:t>
            </w:r>
          </w:p>
          <w:p w14:paraId="265121E4">
            <w:pPr>
              <w:pStyle w:val="44"/>
              <w:rPr>
                <w:color w:val="auto"/>
              </w:rPr>
            </w:pPr>
            <w:r>
              <w:rPr>
                <w:rFonts w:hint="eastAsia"/>
                <w:color w:val="auto"/>
              </w:rPr>
              <w:t>分数</w:t>
            </w:r>
          </w:p>
        </w:tc>
      </w:tr>
      <w:tr w14:paraId="36861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52CF98F8">
            <w:pPr>
              <w:pStyle w:val="44"/>
              <w:rPr>
                <w:color w:val="auto"/>
              </w:rPr>
            </w:pPr>
            <w:r>
              <w:rPr>
                <w:color w:val="auto"/>
              </w:rPr>
              <w:t>1</w:t>
            </w:r>
          </w:p>
        </w:tc>
        <w:tc>
          <w:tcPr>
            <w:tcW w:w="543" w:type="dxa"/>
            <w:vMerge w:val="restart"/>
            <w:vAlign w:val="center"/>
          </w:tcPr>
          <w:p w14:paraId="248451C7">
            <w:pPr>
              <w:pStyle w:val="44"/>
              <w:rPr>
                <w:color w:val="auto"/>
              </w:rPr>
            </w:pPr>
            <w:r>
              <w:rPr>
                <w:rFonts w:hint="eastAsia"/>
                <w:color w:val="auto"/>
              </w:rPr>
              <w:t>保</w:t>
            </w:r>
          </w:p>
          <w:p w14:paraId="29EAF655">
            <w:pPr>
              <w:pStyle w:val="44"/>
              <w:rPr>
                <w:color w:val="auto"/>
              </w:rPr>
            </w:pPr>
            <w:r>
              <w:rPr>
                <w:rFonts w:hint="eastAsia"/>
                <w:color w:val="auto"/>
              </w:rPr>
              <w:t>证</w:t>
            </w:r>
          </w:p>
          <w:p w14:paraId="58148F41">
            <w:pPr>
              <w:pStyle w:val="44"/>
              <w:rPr>
                <w:color w:val="auto"/>
              </w:rPr>
            </w:pPr>
            <w:r>
              <w:rPr>
                <w:rFonts w:hint="eastAsia"/>
                <w:color w:val="auto"/>
              </w:rPr>
              <w:t>项</w:t>
            </w:r>
          </w:p>
          <w:p w14:paraId="0A203059">
            <w:pPr>
              <w:pStyle w:val="44"/>
              <w:rPr>
                <w:color w:val="auto"/>
              </w:rPr>
            </w:pPr>
            <w:r>
              <w:rPr>
                <w:rFonts w:hint="eastAsia"/>
                <w:color w:val="auto"/>
              </w:rPr>
              <w:t>目</w:t>
            </w:r>
          </w:p>
        </w:tc>
        <w:tc>
          <w:tcPr>
            <w:tcW w:w="898" w:type="dxa"/>
            <w:vAlign w:val="center"/>
          </w:tcPr>
          <w:p w14:paraId="77B4FC6A">
            <w:pPr>
              <w:pStyle w:val="44"/>
              <w:rPr>
                <w:color w:val="auto"/>
              </w:rPr>
            </w:pPr>
            <w:r>
              <w:rPr>
                <w:rFonts w:hint="eastAsia"/>
                <w:color w:val="auto"/>
              </w:rPr>
              <w:t>方案与交底</w:t>
            </w:r>
          </w:p>
        </w:tc>
        <w:tc>
          <w:tcPr>
            <w:tcW w:w="5580" w:type="dxa"/>
            <w:vAlign w:val="center"/>
          </w:tcPr>
          <w:p w14:paraId="0C019645">
            <w:pPr>
              <w:pStyle w:val="44"/>
              <w:jc w:val="left"/>
              <w:rPr>
                <w:color w:val="auto"/>
              </w:rPr>
            </w:pPr>
            <w:r>
              <w:rPr>
                <w:color w:val="auto"/>
              </w:rPr>
              <w:t>1</w:t>
            </w:r>
            <w:r>
              <w:rPr>
                <w:rFonts w:hint="eastAsia"/>
                <w:color w:val="auto"/>
              </w:rPr>
              <w:t>）未按规定编制专项施工方案，或未对临时拼装支架或吊架进行设计计算，扣</w:t>
            </w:r>
            <w:r>
              <w:rPr>
                <w:color w:val="auto"/>
              </w:rPr>
              <w:t>10</w:t>
            </w:r>
            <w:r>
              <w:rPr>
                <w:rFonts w:hint="eastAsia"/>
                <w:color w:val="auto"/>
              </w:rPr>
              <w:t>分；方案编制内容不全或无针对性，扣</w:t>
            </w:r>
            <w:r>
              <w:rPr>
                <w:color w:val="auto"/>
              </w:rPr>
              <w:t>2-10</w:t>
            </w:r>
            <w:r>
              <w:rPr>
                <w:rFonts w:hint="eastAsia"/>
                <w:color w:val="auto"/>
              </w:rPr>
              <w:t>分</w:t>
            </w:r>
          </w:p>
          <w:p w14:paraId="26C6E806">
            <w:pPr>
              <w:pStyle w:val="44"/>
              <w:jc w:val="left"/>
              <w:rPr>
                <w:color w:val="auto"/>
              </w:rPr>
            </w:pPr>
            <w:r>
              <w:rPr>
                <w:color w:val="auto"/>
              </w:rPr>
              <w:t>2</w:t>
            </w:r>
            <w:r>
              <w:rPr>
                <w:rFonts w:hint="eastAsia"/>
                <w:color w:val="auto"/>
              </w:rPr>
              <w:t>）移动模架采用非定型产品时未对移动模架进行专门设计计算或确认，扣</w:t>
            </w:r>
            <w:r>
              <w:rPr>
                <w:color w:val="auto"/>
              </w:rPr>
              <w:t>10</w:t>
            </w:r>
            <w:r>
              <w:rPr>
                <w:rFonts w:hint="eastAsia"/>
                <w:color w:val="auto"/>
              </w:rPr>
              <w:t>分</w:t>
            </w:r>
          </w:p>
          <w:p w14:paraId="3323472A">
            <w:pPr>
              <w:pStyle w:val="44"/>
              <w:jc w:val="left"/>
              <w:rPr>
                <w:color w:val="auto"/>
              </w:rPr>
            </w:pPr>
            <w:r>
              <w:rPr>
                <w:color w:val="auto"/>
              </w:rPr>
              <w:t>3</w:t>
            </w:r>
            <w:r>
              <w:rPr>
                <w:rFonts w:hint="eastAsia"/>
                <w:color w:val="auto"/>
              </w:rPr>
              <w:t>）超过一定规模的移动模架专项施工方案，未按规定组织专家论证的，扣</w:t>
            </w:r>
            <w:r>
              <w:rPr>
                <w:color w:val="auto"/>
              </w:rPr>
              <w:t>10</w:t>
            </w:r>
            <w:r>
              <w:rPr>
                <w:rFonts w:hint="eastAsia"/>
                <w:color w:val="auto"/>
              </w:rPr>
              <w:t>分</w:t>
            </w:r>
          </w:p>
          <w:p w14:paraId="20DF8DD9">
            <w:pPr>
              <w:pStyle w:val="44"/>
              <w:jc w:val="left"/>
              <w:rPr>
                <w:color w:val="auto"/>
              </w:rPr>
            </w:pPr>
            <w:r>
              <w:rPr>
                <w:color w:val="auto"/>
              </w:rPr>
              <w:t>4</w:t>
            </w:r>
            <w:r>
              <w:rPr>
                <w:rFonts w:hint="eastAsia"/>
                <w:color w:val="auto"/>
              </w:rPr>
              <w:t>）专项施工方案未按规定进行审核、审批的，扣</w:t>
            </w:r>
            <w:r>
              <w:rPr>
                <w:color w:val="auto"/>
              </w:rPr>
              <w:t>10</w:t>
            </w:r>
            <w:r>
              <w:rPr>
                <w:rFonts w:hint="eastAsia"/>
                <w:color w:val="auto"/>
              </w:rPr>
              <w:t>分</w:t>
            </w:r>
          </w:p>
          <w:p w14:paraId="65A494BB">
            <w:pPr>
              <w:pStyle w:val="44"/>
              <w:jc w:val="left"/>
              <w:rPr>
                <w:color w:val="auto"/>
              </w:rPr>
            </w:pPr>
            <w:r>
              <w:rPr>
                <w:color w:val="auto"/>
              </w:rPr>
              <w:t>5</w:t>
            </w:r>
            <w:r>
              <w:rPr>
                <w:rFonts w:hint="eastAsia"/>
                <w:color w:val="auto"/>
              </w:rPr>
              <w:t>）专项施工方案实施前，未进行安全技术交底，扣</w:t>
            </w:r>
            <w:r>
              <w:rPr>
                <w:color w:val="auto"/>
              </w:rPr>
              <w:t>10</w:t>
            </w:r>
            <w:r>
              <w:rPr>
                <w:rFonts w:hint="eastAsia"/>
                <w:color w:val="auto"/>
              </w:rPr>
              <w:t>分；交底无针对性或无文字记录，扣</w:t>
            </w:r>
            <w:r>
              <w:rPr>
                <w:color w:val="auto"/>
              </w:rPr>
              <w:t>2-5</w:t>
            </w:r>
            <w:r>
              <w:rPr>
                <w:rFonts w:hint="eastAsia"/>
                <w:color w:val="auto"/>
              </w:rPr>
              <w:t>分</w:t>
            </w:r>
          </w:p>
        </w:tc>
        <w:tc>
          <w:tcPr>
            <w:tcW w:w="720" w:type="dxa"/>
            <w:vAlign w:val="center"/>
          </w:tcPr>
          <w:p w14:paraId="47738232">
            <w:pPr>
              <w:pStyle w:val="44"/>
              <w:rPr>
                <w:color w:val="auto"/>
              </w:rPr>
            </w:pPr>
            <w:r>
              <w:rPr>
                <w:color w:val="auto"/>
              </w:rPr>
              <w:t>10</w:t>
            </w:r>
          </w:p>
        </w:tc>
        <w:tc>
          <w:tcPr>
            <w:tcW w:w="720" w:type="dxa"/>
            <w:vAlign w:val="center"/>
          </w:tcPr>
          <w:p w14:paraId="464E675E">
            <w:pPr>
              <w:pStyle w:val="44"/>
              <w:rPr>
                <w:color w:val="auto"/>
              </w:rPr>
            </w:pPr>
          </w:p>
        </w:tc>
        <w:tc>
          <w:tcPr>
            <w:tcW w:w="720" w:type="dxa"/>
            <w:vAlign w:val="center"/>
          </w:tcPr>
          <w:p w14:paraId="0F3D1269">
            <w:pPr>
              <w:pStyle w:val="44"/>
              <w:rPr>
                <w:color w:val="auto"/>
              </w:rPr>
            </w:pPr>
          </w:p>
        </w:tc>
      </w:tr>
      <w:tr w14:paraId="2B855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29C31BFB">
            <w:pPr>
              <w:pStyle w:val="44"/>
              <w:rPr>
                <w:color w:val="auto"/>
              </w:rPr>
            </w:pPr>
            <w:r>
              <w:rPr>
                <w:color w:val="auto"/>
              </w:rPr>
              <w:t>2</w:t>
            </w:r>
          </w:p>
        </w:tc>
        <w:tc>
          <w:tcPr>
            <w:tcW w:w="543" w:type="dxa"/>
            <w:vMerge w:val="continue"/>
          </w:tcPr>
          <w:p w14:paraId="5CBC0478">
            <w:pPr>
              <w:pStyle w:val="44"/>
              <w:rPr>
                <w:color w:val="auto"/>
              </w:rPr>
            </w:pPr>
          </w:p>
        </w:tc>
        <w:tc>
          <w:tcPr>
            <w:tcW w:w="898" w:type="dxa"/>
            <w:vAlign w:val="center"/>
          </w:tcPr>
          <w:p w14:paraId="0D4E0B77">
            <w:pPr>
              <w:pStyle w:val="44"/>
              <w:rPr>
                <w:color w:val="auto"/>
              </w:rPr>
            </w:pPr>
            <w:r>
              <w:rPr>
                <w:rFonts w:hint="eastAsia"/>
                <w:color w:val="auto"/>
              </w:rPr>
              <w:t>模架产品及材质</w:t>
            </w:r>
          </w:p>
        </w:tc>
        <w:tc>
          <w:tcPr>
            <w:tcW w:w="5580" w:type="dxa"/>
            <w:vAlign w:val="center"/>
          </w:tcPr>
          <w:p w14:paraId="29791E4D">
            <w:pPr>
              <w:pStyle w:val="44"/>
              <w:jc w:val="left"/>
              <w:rPr>
                <w:color w:val="auto"/>
              </w:rPr>
            </w:pPr>
            <w:r>
              <w:rPr>
                <w:color w:val="auto"/>
              </w:rPr>
              <w:t>1</w:t>
            </w:r>
            <w:r>
              <w:rPr>
                <w:rFonts w:hint="eastAsia"/>
                <w:color w:val="auto"/>
              </w:rPr>
              <w:t>）定型移动模架产品无设计制造资质证书、设备出厂合格证，扣</w:t>
            </w:r>
            <w:r>
              <w:rPr>
                <w:color w:val="auto"/>
              </w:rPr>
              <w:t>10</w:t>
            </w:r>
            <w:r>
              <w:rPr>
                <w:rFonts w:hint="eastAsia"/>
                <w:color w:val="auto"/>
              </w:rPr>
              <w:t>分；</w:t>
            </w:r>
          </w:p>
          <w:p w14:paraId="66800C03">
            <w:pPr>
              <w:pStyle w:val="44"/>
              <w:jc w:val="left"/>
              <w:rPr>
                <w:color w:val="auto"/>
              </w:rPr>
            </w:pPr>
            <w:r>
              <w:rPr>
                <w:color w:val="auto"/>
              </w:rPr>
              <w:t>2</w:t>
            </w:r>
            <w:r>
              <w:rPr>
                <w:rFonts w:hint="eastAsia"/>
                <w:color w:val="auto"/>
              </w:rPr>
              <w:t>）定型移动模架无设计及安装技术文件资料，或无操作手册等技术文件，扣</w:t>
            </w:r>
            <w:r>
              <w:rPr>
                <w:color w:val="auto"/>
              </w:rPr>
              <w:t>10</w:t>
            </w:r>
            <w:r>
              <w:rPr>
                <w:rFonts w:hint="eastAsia"/>
                <w:color w:val="auto"/>
              </w:rPr>
              <w:t>分；</w:t>
            </w:r>
          </w:p>
          <w:p w14:paraId="6EFAD6C4">
            <w:pPr>
              <w:pStyle w:val="44"/>
              <w:jc w:val="left"/>
              <w:rPr>
                <w:color w:val="auto"/>
              </w:rPr>
            </w:pPr>
            <w:r>
              <w:rPr>
                <w:color w:val="auto"/>
              </w:rPr>
              <w:t>3</w:t>
            </w:r>
            <w:r>
              <w:rPr>
                <w:rFonts w:hint="eastAsia"/>
                <w:color w:val="auto"/>
              </w:rPr>
              <w:t>）非定型移动模架所用的承重构配件和连接件无质量合格证、材质证明，扣</w:t>
            </w:r>
            <w:r>
              <w:rPr>
                <w:color w:val="auto"/>
              </w:rPr>
              <w:t>10</w:t>
            </w:r>
            <w:r>
              <w:rPr>
                <w:rFonts w:hint="eastAsia"/>
                <w:color w:val="auto"/>
              </w:rPr>
              <w:t>分，其品种、规格、型号、材质不符合有关标准的要求，扣</w:t>
            </w:r>
            <w:r>
              <w:rPr>
                <w:color w:val="auto"/>
              </w:rPr>
              <w:t>5-10</w:t>
            </w:r>
            <w:r>
              <w:rPr>
                <w:rFonts w:hint="eastAsia"/>
                <w:color w:val="auto"/>
              </w:rPr>
              <w:t>分；</w:t>
            </w:r>
          </w:p>
          <w:p w14:paraId="07C33289">
            <w:pPr>
              <w:pStyle w:val="44"/>
              <w:jc w:val="left"/>
              <w:rPr>
                <w:color w:val="auto"/>
              </w:rPr>
            </w:pPr>
            <w:r>
              <w:rPr>
                <w:color w:val="auto"/>
              </w:rPr>
              <w:t>4</w:t>
            </w:r>
            <w:r>
              <w:rPr>
                <w:rFonts w:hint="eastAsia"/>
                <w:color w:val="auto"/>
              </w:rPr>
              <w:t>）所采用的液压或卷扬等装置无产品合格证，扣</w:t>
            </w:r>
            <w:r>
              <w:rPr>
                <w:color w:val="auto"/>
              </w:rPr>
              <w:t>5</w:t>
            </w:r>
            <w:r>
              <w:rPr>
                <w:rFonts w:hint="eastAsia"/>
                <w:color w:val="auto"/>
              </w:rPr>
              <w:t>分；</w:t>
            </w:r>
          </w:p>
          <w:p w14:paraId="5DB52FE2">
            <w:pPr>
              <w:pStyle w:val="44"/>
              <w:jc w:val="left"/>
              <w:rPr>
                <w:color w:val="auto"/>
              </w:rPr>
            </w:pPr>
            <w:r>
              <w:rPr>
                <w:color w:val="auto"/>
              </w:rPr>
              <w:t>5</w:t>
            </w:r>
            <w:r>
              <w:rPr>
                <w:rFonts w:hint="eastAsia"/>
                <w:color w:val="auto"/>
              </w:rPr>
              <w:t>）构配件有无显著的变形、锈蚀及外观缺陷，扣</w:t>
            </w:r>
            <w:r>
              <w:rPr>
                <w:color w:val="auto"/>
              </w:rPr>
              <w:t>10</w:t>
            </w:r>
            <w:r>
              <w:rPr>
                <w:rFonts w:hint="eastAsia"/>
                <w:color w:val="auto"/>
              </w:rPr>
              <w:t>分。</w:t>
            </w:r>
          </w:p>
        </w:tc>
        <w:tc>
          <w:tcPr>
            <w:tcW w:w="720" w:type="dxa"/>
            <w:vAlign w:val="center"/>
          </w:tcPr>
          <w:p w14:paraId="662F8E35">
            <w:pPr>
              <w:pStyle w:val="44"/>
              <w:rPr>
                <w:color w:val="auto"/>
              </w:rPr>
            </w:pPr>
            <w:r>
              <w:rPr>
                <w:color w:val="auto"/>
              </w:rPr>
              <w:t>10</w:t>
            </w:r>
          </w:p>
        </w:tc>
        <w:tc>
          <w:tcPr>
            <w:tcW w:w="720" w:type="dxa"/>
            <w:vAlign w:val="center"/>
          </w:tcPr>
          <w:p w14:paraId="657F705B">
            <w:pPr>
              <w:pStyle w:val="44"/>
              <w:rPr>
                <w:color w:val="auto"/>
              </w:rPr>
            </w:pPr>
          </w:p>
        </w:tc>
        <w:tc>
          <w:tcPr>
            <w:tcW w:w="720" w:type="dxa"/>
            <w:vAlign w:val="center"/>
          </w:tcPr>
          <w:p w14:paraId="6083C28F">
            <w:pPr>
              <w:pStyle w:val="44"/>
              <w:rPr>
                <w:color w:val="auto"/>
              </w:rPr>
            </w:pPr>
          </w:p>
        </w:tc>
      </w:tr>
      <w:tr w14:paraId="1DB03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301722CB">
            <w:pPr>
              <w:pStyle w:val="44"/>
              <w:rPr>
                <w:color w:val="auto"/>
              </w:rPr>
            </w:pPr>
            <w:r>
              <w:rPr>
                <w:color w:val="auto"/>
              </w:rPr>
              <w:t>3</w:t>
            </w:r>
          </w:p>
        </w:tc>
        <w:tc>
          <w:tcPr>
            <w:tcW w:w="543" w:type="dxa"/>
            <w:vMerge w:val="continue"/>
          </w:tcPr>
          <w:p w14:paraId="7BD118AC">
            <w:pPr>
              <w:pStyle w:val="44"/>
              <w:rPr>
                <w:color w:val="auto"/>
              </w:rPr>
            </w:pPr>
          </w:p>
        </w:tc>
        <w:tc>
          <w:tcPr>
            <w:tcW w:w="898" w:type="dxa"/>
            <w:vAlign w:val="center"/>
          </w:tcPr>
          <w:p w14:paraId="32748CF2">
            <w:pPr>
              <w:pStyle w:val="44"/>
              <w:rPr>
                <w:color w:val="auto"/>
              </w:rPr>
            </w:pPr>
            <w:r>
              <w:rPr>
                <w:rFonts w:hint="eastAsia"/>
                <w:color w:val="auto"/>
              </w:rPr>
              <w:t>模架结构</w:t>
            </w:r>
          </w:p>
        </w:tc>
        <w:tc>
          <w:tcPr>
            <w:tcW w:w="5580" w:type="dxa"/>
            <w:vAlign w:val="center"/>
          </w:tcPr>
          <w:p w14:paraId="639CD506">
            <w:pPr>
              <w:pStyle w:val="44"/>
              <w:jc w:val="left"/>
              <w:rPr>
                <w:color w:val="auto"/>
              </w:rPr>
            </w:pPr>
            <w:r>
              <w:rPr>
                <w:color w:val="auto"/>
              </w:rPr>
              <w:t>1</w:t>
            </w:r>
            <w:r>
              <w:rPr>
                <w:rFonts w:hint="eastAsia"/>
                <w:color w:val="auto"/>
              </w:rPr>
              <w:t>）定型移动模架产品及所用构配件与所施工的混凝土梁的各项要求不相适应，扣</w:t>
            </w:r>
            <w:r>
              <w:rPr>
                <w:color w:val="auto"/>
              </w:rPr>
              <w:t>5-8</w:t>
            </w:r>
            <w:r>
              <w:rPr>
                <w:rFonts w:hint="eastAsia"/>
                <w:color w:val="auto"/>
              </w:rPr>
              <w:t>分</w:t>
            </w:r>
          </w:p>
          <w:p w14:paraId="4738B59F">
            <w:pPr>
              <w:pStyle w:val="44"/>
              <w:jc w:val="left"/>
              <w:rPr>
                <w:color w:val="auto"/>
              </w:rPr>
            </w:pPr>
            <w:r>
              <w:rPr>
                <w:color w:val="auto"/>
              </w:rPr>
              <w:t>2</w:t>
            </w:r>
            <w:r>
              <w:rPr>
                <w:rFonts w:hint="eastAsia"/>
                <w:color w:val="auto"/>
              </w:rPr>
              <w:t>）非定型移动模架的主承重梁的支承位置、间距不符合模架设计的规定，扣</w:t>
            </w:r>
            <w:r>
              <w:rPr>
                <w:color w:val="auto"/>
              </w:rPr>
              <w:t>5-10</w:t>
            </w:r>
            <w:r>
              <w:rPr>
                <w:rFonts w:hint="eastAsia"/>
                <w:color w:val="auto"/>
              </w:rPr>
              <w:t>分</w:t>
            </w:r>
          </w:p>
          <w:p w14:paraId="0078522B">
            <w:pPr>
              <w:pStyle w:val="44"/>
              <w:jc w:val="left"/>
              <w:rPr>
                <w:color w:val="auto"/>
              </w:rPr>
            </w:pPr>
            <w:r>
              <w:rPr>
                <w:color w:val="auto"/>
              </w:rPr>
              <w:t>3</w:t>
            </w:r>
            <w:r>
              <w:rPr>
                <w:rFonts w:hint="eastAsia"/>
                <w:color w:val="auto"/>
              </w:rPr>
              <w:t>）非定型移动模架的主承重梁的纵向、横向连接位置或连接方式不符合模架设计的规定，扣</w:t>
            </w:r>
            <w:r>
              <w:rPr>
                <w:color w:val="auto"/>
              </w:rPr>
              <w:t>10</w:t>
            </w:r>
            <w:r>
              <w:rPr>
                <w:rFonts w:hint="eastAsia"/>
                <w:color w:val="auto"/>
              </w:rPr>
              <w:t>分；连接不牢固，扣</w:t>
            </w:r>
            <w:r>
              <w:rPr>
                <w:color w:val="auto"/>
              </w:rPr>
              <w:t>5-10</w:t>
            </w:r>
            <w:r>
              <w:rPr>
                <w:rFonts w:hint="eastAsia"/>
                <w:color w:val="auto"/>
              </w:rPr>
              <w:t>分</w:t>
            </w:r>
          </w:p>
          <w:p w14:paraId="6ACA799D">
            <w:pPr>
              <w:pStyle w:val="44"/>
              <w:jc w:val="left"/>
              <w:rPr>
                <w:color w:val="auto"/>
              </w:rPr>
            </w:pPr>
            <w:r>
              <w:rPr>
                <w:color w:val="auto"/>
              </w:rPr>
              <w:t>4</w:t>
            </w:r>
            <w:r>
              <w:rPr>
                <w:rFonts w:hint="eastAsia"/>
                <w:color w:val="auto"/>
              </w:rPr>
              <w:t>）下行式模架的托架采用对拉连接时，精轧螺纹钢筋的使用次数超过设计规定，扣</w:t>
            </w:r>
            <w:r>
              <w:rPr>
                <w:color w:val="auto"/>
              </w:rPr>
              <w:t>10</w:t>
            </w:r>
            <w:r>
              <w:rPr>
                <w:rFonts w:hint="eastAsia"/>
                <w:color w:val="auto"/>
              </w:rPr>
              <w:t>分</w:t>
            </w:r>
          </w:p>
          <w:p w14:paraId="791F30D6">
            <w:pPr>
              <w:pStyle w:val="44"/>
              <w:jc w:val="left"/>
              <w:rPr>
                <w:color w:val="auto"/>
              </w:rPr>
            </w:pPr>
            <w:r>
              <w:rPr>
                <w:color w:val="auto"/>
              </w:rPr>
              <w:t>5</w:t>
            </w:r>
            <w:r>
              <w:rPr>
                <w:rFonts w:hint="eastAsia"/>
                <w:color w:val="auto"/>
              </w:rPr>
              <w:t>）下行式模架的托架采用非对拉连接安装时，托架位置或构造方式不符合模架设计的要求，扣</w:t>
            </w:r>
            <w:r>
              <w:rPr>
                <w:color w:val="auto"/>
              </w:rPr>
              <w:t>5-10</w:t>
            </w:r>
            <w:r>
              <w:rPr>
                <w:rFonts w:hint="eastAsia"/>
                <w:color w:val="auto"/>
              </w:rPr>
              <w:t>分</w:t>
            </w:r>
          </w:p>
        </w:tc>
        <w:tc>
          <w:tcPr>
            <w:tcW w:w="720" w:type="dxa"/>
            <w:vAlign w:val="center"/>
          </w:tcPr>
          <w:p w14:paraId="611113B1">
            <w:pPr>
              <w:pStyle w:val="44"/>
              <w:rPr>
                <w:color w:val="auto"/>
              </w:rPr>
            </w:pPr>
            <w:r>
              <w:rPr>
                <w:color w:val="auto"/>
              </w:rPr>
              <w:t>10</w:t>
            </w:r>
          </w:p>
        </w:tc>
        <w:tc>
          <w:tcPr>
            <w:tcW w:w="720" w:type="dxa"/>
            <w:vAlign w:val="center"/>
          </w:tcPr>
          <w:p w14:paraId="6C2745BC">
            <w:pPr>
              <w:pStyle w:val="44"/>
              <w:rPr>
                <w:color w:val="auto"/>
              </w:rPr>
            </w:pPr>
          </w:p>
        </w:tc>
        <w:tc>
          <w:tcPr>
            <w:tcW w:w="720" w:type="dxa"/>
            <w:vAlign w:val="center"/>
          </w:tcPr>
          <w:p w14:paraId="0089DE30">
            <w:pPr>
              <w:pStyle w:val="44"/>
              <w:rPr>
                <w:color w:val="auto"/>
              </w:rPr>
            </w:pPr>
          </w:p>
        </w:tc>
      </w:tr>
      <w:tr w14:paraId="6C3BF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894EA51">
            <w:pPr>
              <w:pStyle w:val="44"/>
              <w:rPr>
                <w:color w:val="auto"/>
              </w:rPr>
            </w:pPr>
            <w:r>
              <w:rPr>
                <w:color w:val="auto"/>
              </w:rPr>
              <w:t>4</w:t>
            </w:r>
          </w:p>
        </w:tc>
        <w:tc>
          <w:tcPr>
            <w:tcW w:w="543" w:type="dxa"/>
            <w:vMerge w:val="continue"/>
          </w:tcPr>
          <w:p w14:paraId="2FD94646">
            <w:pPr>
              <w:pStyle w:val="44"/>
              <w:rPr>
                <w:color w:val="auto"/>
              </w:rPr>
            </w:pPr>
          </w:p>
        </w:tc>
        <w:tc>
          <w:tcPr>
            <w:tcW w:w="898" w:type="dxa"/>
            <w:vAlign w:val="center"/>
          </w:tcPr>
          <w:p w14:paraId="2D41EA55">
            <w:pPr>
              <w:pStyle w:val="44"/>
              <w:rPr>
                <w:color w:val="auto"/>
              </w:rPr>
            </w:pPr>
            <w:r>
              <w:rPr>
                <w:rFonts w:hint="eastAsia"/>
                <w:color w:val="auto"/>
              </w:rPr>
              <w:t>安装</w:t>
            </w:r>
          </w:p>
        </w:tc>
        <w:tc>
          <w:tcPr>
            <w:tcW w:w="5580" w:type="dxa"/>
            <w:vAlign w:val="center"/>
          </w:tcPr>
          <w:p w14:paraId="16E79925">
            <w:pPr>
              <w:pStyle w:val="44"/>
              <w:jc w:val="left"/>
              <w:rPr>
                <w:color w:val="auto"/>
              </w:rPr>
            </w:pPr>
            <w:r>
              <w:rPr>
                <w:color w:val="auto"/>
              </w:rPr>
              <w:t>1</w:t>
            </w:r>
            <w:r>
              <w:rPr>
                <w:rFonts w:hint="eastAsia"/>
                <w:color w:val="auto"/>
              </w:rPr>
              <w:t>）移动模架安装无操作手册或未按产品操作手册安装，扣</w:t>
            </w:r>
            <w:r>
              <w:rPr>
                <w:color w:val="auto"/>
              </w:rPr>
              <w:t>10</w:t>
            </w:r>
            <w:r>
              <w:rPr>
                <w:rFonts w:hint="eastAsia"/>
                <w:color w:val="auto"/>
              </w:rPr>
              <w:t>分</w:t>
            </w:r>
          </w:p>
          <w:p w14:paraId="4509B0C1">
            <w:pPr>
              <w:pStyle w:val="44"/>
              <w:jc w:val="left"/>
              <w:rPr>
                <w:color w:val="auto"/>
              </w:rPr>
            </w:pPr>
            <w:r>
              <w:rPr>
                <w:color w:val="auto"/>
              </w:rPr>
              <w:t>2</w:t>
            </w:r>
            <w:r>
              <w:rPr>
                <w:rFonts w:hint="eastAsia"/>
                <w:color w:val="auto"/>
              </w:rPr>
              <w:t>）未在设计制造厂家专人现场指导下进行安装与调试，扣</w:t>
            </w:r>
            <w:r>
              <w:rPr>
                <w:color w:val="auto"/>
              </w:rPr>
              <w:t>10</w:t>
            </w:r>
            <w:r>
              <w:rPr>
                <w:rFonts w:hint="eastAsia"/>
                <w:color w:val="auto"/>
              </w:rPr>
              <w:t>分</w:t>
            </w:r>
          </w:p>
          <w:p w14:paraId="7CD3C17F">
            <w:pPr>
              <w:pStyle w:val="44"/>
              <w:jc w:val="left"/>
              <w:rPr>
                <w:color w:val="auto"/>
              </w:rPr>
            </w:pPr>
            <w:r>
              <w:rPr>
                <w:color w:val="auto"/>
              </w:rPr>
              <w:t>3</w:t>
            </w:r>
            <w:r>
              <w:rPr>
                <w:rFonts w:hint="eastAsia"/>
                <w:color w:val="auto"/>
              </w:rPr>
              <w:t>）临时拼装支架地基基础不牢固或架体结构不满足牢固可靠、构造合理的要求，扣</w:t>
            </w:r>
            <w:r>
              <w:rPr>
                <w:color w:val="auto"/>
              </w:rPr>
              <w:t>10</w:t>
            </w:r>
            <w:r>
              <w:rPr>
                <w:rFonts w:hint="eastAsia"/>
                <w:color w:val="auto"/>
              </w:rPr>
              <w:t>分</w:t>
            </w:r>
          </w:p>
          <w:p w14:paraId="79CA05A6">
            <w:pPr>
              <w:pStyle w:val="44"/>
              <w:jc w:val="left"/>
              <w:rPr>
                <w:color w:val="auto"/>
              </w:rPr>
            </w:pPr>
            <w:r>
              <w:rPr>
                <w:color w:val="auto"/>
              </w:rPr>
              <w:t>4</w:t>
            </w:r>
            <w:r>
              <w:rPr>
                <w:rFonts w:hint="eastAsia"/>
                <w:color w:val="auto"/>
              </w:rPr>
              <w:t>）临时拼装支架材料及构件的质量不符合相关标准的技术要求，扣</w:t>
            </w:r>
            <w:r>
              <w:rPr>
                <w:color w:val="auto"/>
              </w:rPr>
              <w:t>5-10</w:t>
            </w:r>
            <w:r>
              <w:rPr>
                <w:rFonts w:hint="eastAsia"/>
                <w:color w:val="auto"/>
              </w:rPr>
              <w:t>分</w:t>
            </w:r>
          </w:p>
          <w:p w14:paraId="64161687">
            <w:pPr>
              <w:pStyle w:val="44"/>
              <w:jc w:val="left"/>
              <w:rPr>
                <w:color w:val="auto"/>
              </w:rPr>
            </w:pPr>
            <w:r>
              <w:rPr>
                <w:color w:val="auto"/>
              </w:rPr>
              <w:t>5</w:t>
            </w:r>
            <w:r>
              <w:rPr>
                <w:rFonts w:hint="eastAsia"/>
                <w:color w:val="auto"/>
              </w:rPr>
              <w:t>）采用对拉连接的托架，拉杆的预拉力不符合专项施工方案和出厂技术文件要求，扣</w:t>
            </w:r>
            <w:r>
              <w:rPr>
                <w:color w:val="auto"/>
              </w:rPr>
              <w:t>10</w:t>
            </w:r>
            <w:r>
              <w:rPr>
                <w:rFonts w:hint="eastAsia"/>
                <w:color w:val="auto"/>
              </w:rPr>
              <w:t>分</w:t>
            </w:r>
          </w:p>
          <w:p w14:paraId="6F4E4ABB">
            <w:pPr>
              <w:pStyle w:val="44"/>
              <w:jc w:val="left"/>
              <w:rPr>
                <w:color w:val="auto"/>
              </w:rPr>
            </w:pPr>
            <w:r>
              <w:rPr>
                <w:color w:val="auto"/>
              </w:rPr>
              <w:t>6</w:t>
            </w:r>
            <w:r>
              <w:rPr>
                <w:rFonts w:hint="eastAsia"/>
                <w:color w:val="auto"/>
              </w:rPr>
              <w:t>）托架对拉拉精轧螺纹钢筋双帽不紧固，扣</w:t>
            </w:r>
            <w:r>
              <w:rPr>
                <w:color w:val="auto"/>
              </w:rPr>
              <w:t>10</w:t>
            </w:r>
            <w:r>
              <w:rPr>
                <w:rFonts w:hint="eastAsia"/>
                <w:color w:val="auto"/>
              </w:rPr>
              <w:t>分</w:t>
            </w:r>
          </w:p>
          <w:p w14:paraId="7C5C051A">
            <w:pPr>
              <w:pStyle w:val="44"/>
              <w:jc w:val="left"/>
              <w:rPr>
                <w:color w:val="auto"/>
              </w:rPr>
            </w:pPr>
            <w:r>
              <w:rPr>
                <w:color w:val="auto"/>
              </w:rPr>
              <w:t>7</w:t>
            </w:r>
            <w:r>
              <w:rPr>
                <w:rFonts w:hint="eastAsia"/>
                <w:color w:val="auto"/>
              </w:rPr>
              <w:t>）上行式模架后支腿未置于已浇筑梁段腹板中心线上，扣</w:t>
            </w:r>
            <w:r>
              <w:rPr>
                <w:color w:val="auto"/>
              </w:rPr>
              <w:t>2-5</w:t>
            </w:r>
            <w:r>
              <w:rPr>
                <w:rFonts w:hint="eastAsia"/>
                <w:color w:val="auto"/>
              </w:rPr>
              <w:t>分；支承面积未进行计算或不满足模架设计要求，扣</w:t>
            </w:r>
            <w:r>
              <w:rPr>
                <w:color w:val="auto"/>
              </w:rPr>
              <w:t>10</w:t>
            </w:r>
            <w:r>
              <w:rPr>
                <w:rFonts w:hint="eastAsia"/>
                <w:color w:val="auto"/>
              </w:rPr>
              <w:t>分</w:t>
            </w:r>
          </w:p>
          <w:p w14:paraId="3A462EA0">
            <w:pPr>
              <w:pStyle w:val="44"/>
              <w:jc w:val="left"/>
              <w:rPr>
                <w:color w:val="auto"/>
              </w:rPr>
            </w:pPr>
            <w:r>
              <w:rPr>
                <w:color w:val="auto"/>
              </w:rPr>
              <w:t>8</w:t>
            </w:r>
            <w:r>
              <w:rPr>
                <w:rFonts w:hint="eastAsia"/>
                <w:color w:val="auto"/>
              </w:rPr>
              <w:t>）模架拼装过程中，支腿托架、主梁、横联未及时连接，扣</w:t>
            </w:r>
            <w:r>
              <w:rPr>
                <w:color w:val="auto"/>
              </w:rPr>
              <w:t>5</w:t>
            </w:r>
            <w:r>
              <w:rPr>
                <w:rFonts w:hint="eastAsia"/>
                <w:color w:val="auto"/>
              </w:rPr>
              <w:t>分</w:t>
            </w:r>
          </w:p>
          <w:p w14:paraId="2F391720">
            <w:pPr>
              <w:pStyle w:val="44"/>
              <w:jc w:val="left"/>
              <w:rPr>
                <w:color w:val="auto"/>
              </w:rPr>
            </w:pPr>
            <w:r>
              <w:rPr>
                <w:color w:val="auto"/>
              </w:rPr>
              <w:t>9</w:t>
            </w:r>
            <w:r>
              <w:rPr>
                <w:rFonts w:hint="eastAsia"/>
                <w:color w:val="auto"/>
              </w:rPr>
              <w:t>）模架在首孔梁浇筑位置安装就位后未按按规定的荷载进行模拟荷载试验，扣</w:t>
            </w:r>
            <w:r>
              <w:rPr>
                <w:color w:val="auto"/>
              </w:rPr>
              <w:t>10</w:t>
            </w:r>
            <w:r>
              <w:rPr>
                <w:rFonts w:hint="eastAsia"/>
                <w:color w:val="auto"/>
              </w:rPr>
              <w:t>分</w:t>
            </w:r>
          </w:p>
        </w:tc>
        <w:tc>
          <w:tcPr>
            <w:tcW w:w="720" w:type="dxa"/>
            <w:vAlign w:val="center"/>
          </w:tcPr>
          <w:p w14:paraId="45846DA8">
            <w:pPr>
              <w:pStyle w:val="44"/>
              <w:rPr>
                <w:color w:val="auto"/>
              </w:rPr>
            </w:pPr>
            <w:r>
              <w:rPr>
                <w:color w:val="auto"/>
              </w:rPr>
              <w:t>10</w:t>
            </w:r>
          </w:p>
        </w:tc>
        <w:tc>
          <w:tcPr>
            <w:tcW w:w="720" w:type="dxa"/>
            <w:vAlign w:val="center"/>
          </w:tcPr>
          <w:p w14:paraId="5F31C7F1">
            <w:pPr>
              <w:pStyle w:val="44"/>
              <w:rPr>
                <w:color w:val="auto"/>
              </w:rPr>
            </w:pPr>
          </w:p>
        </w:tc>
        <w:tc>
          <w:tcPr>
            <w:tcW w:w="720" w:type="dxa"/>
            <w:vAlign w:val="center"/>
          </w:tcPr>
          <w:p w14:paraId="6A840C7E">
            <w:pPr>
              <w:pStyle w:val="44"/>
              <w:rPr>
                <w:color w:val="auto"/>
              </w:rPr>
            </w:pPr>
          </w:p>
        </w:tc>
      </w:tr>
      <w:tr w14:paraId="75AB2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3E444297">
            <w:pPr>
              <w:pStyle w:val="44"/>
              <w:rPr>
                <w:color w:val="auto"/>
              </w:rPr>
            </w:pPr>
            <w:r>
              <w:rPr>
                <w:color w:val="auto"/>
              </w:rPr>
              <w:t>5</w:t>
            </w:r>
          </w:p>
        </w:tc>
        <w:tc>
          <w:tcPr>
            <w:tcW w:w="543" w:type="dxa"/>
            <w:vMerge w:val="continue"/>
          </w:tcPr>
          <w:p w14:paraId="3826219A">
            <w:pPr>
              <w:pStyle w:val="44"/>
              <w:rPr>
                <w:color w:val="auto"/>
              </w:rPr>
            </w:pPr>
          </w:p>
        </w:tc>
        <w:tc>
          <w:tcPr>
            <w:tcW w:w="898" w:type="dxa"/>
            <w:vAlign w:val="center"/>
          </w:tcPr>
          <w:p w14:paraId="13A85EBE">
            <w:pPr>
              <w:pStyle w:val="44"/>
              <w:rPr>
                <w:color w:val="auto"/>
              </w:rPr>
            </w:pPr>
            <w:r>
              <w:rPr>
                <w:rFonts w:hint="eastAsia"/>
                <w:color w:val="auto"/>
              </w:rPr>
              <w:t>检查验收</w:t>
            </w:r>
          </w:p>
        </w:tc>
        <w:tc>
          <w:tcPr>
            <w:tcW w:w="5580" w:type="dxa"/>
            <w:vAlign w:val="center"/>
          </w:tcPr>
          <w:p w14:paraId="39DEC8CB">
            <w:pPr>
              <w:pStyle w:val="44"/>
              <w:jc w:val="left"/>
              <w:rPr>
                <w:color w:val="auto"/>
              </w:rPr>
            </w:pPr>
            <w:r>
              <w:rPr>
                <w:color w:val="auto"/>
              </w:rPr>
              <w:t>1</w:t>
            </w:r>
            <w:r>
              <w:rPr>
                <w:rFonts w:hint="eastAsia"/>
                <w:color w:val="auto"/>
              </w:rPr>
              <w:t>）移动模架拼装采用的临时支架或吊架施工完成后未办理验收手续，扣</w:t>
            </w:r>
            <w:r>
              <w:rPr>
                <w:color w:val="auto"/>
              </w:rPr>
              <w:t>5</w:t>
            </w:r>
            <w:r>
              <w:rPr>
                <w:rFonts w:hint="eastAsia"/>
                <w:color w:val="auto"/>
              </w:rPr>
              <w:t>分</w:t>
            </w:r>
          </w:p>
          <w:p w14:paraId="621DB54C">
            <w:pPr>
              <w:pStyle w:val="44"/>
              <w:jc w:val="left"/>
              <w:rPr>
                <w:color w:val="auto"/>
              </w:rPr>
            </w:pPr>
            <w:r>
              <w:rPr>
                <w:color w:val="auto"/>
              </w:rPr>
              <w:t>2</w:t>
            </w:r>
            <w:r>
              <w:rPr>
                <w:rFonts w:hint="eastAsia"/>
                <w:color w:val="auto"/>
              </w:rPr>
              <w:t>）移动模架进场后，未清点、检查所有部件，或未对重点部位焊缝进行无损探伤检测，扣</w:t>
            </w:r>
            <w:r>
              <w:rPr>
                <w:color w:val="auto"/>
              </w:rPr>
              <w:t>5-8</w:t>
            </w:r>
            <w:r>
              <w:rPr>
                <w:rFonts w:hint="eastAsia"/>
                <w:color w:val="auto"/>
              </w:rPr>
              <w:t>分</w:t>
            </w:r>
          </w:p>
          <w:p w14:paraId="154FE82D">
            <w:pPr>
              <w:pStyle w:val="44"/>
              <w:jc w:val="left"/>
              <w:rPr>
                <w:color w:val="auto"/>
              </w:rPr>
            </w:pPr>
            <w:r>
              <w:rPr>
                <w:color w:val="auto"/>
              </w:rPr>
              <w:t>3</w:t>
            </w:r>
            <w:r>
              <w:rPr>
                <w:rFonts w:hint="eastAsia"/>
                <w:color w:val="auto"/>
              </w:rPr>
              <w:t>）采用对拉连接的托架安装前，未对精轧螺纹钢筋、夹具及连接器进行外观检查或未进行力学实验，扣</w:t>
            </w:r>
            <w:r>
              <w:rPr>
                <w:color w:val="auto"/>
              </w:rPr>
              <w:t>5</w:t>
            </w:r>
            <w:r>
              <w:rPr>
                <w:rFonts w:hint="eastAsia"/>
                <w:color w:val="auto"/>
              </w:rPr>
              <w:t>分</w:t>
            </w:r>
          </w:p>
          <w:p w14:paraId="3C2A16ED">
            <w:pPr>
              <w:pStyle w:val="44"/>
              <w:jc w:val="left"/>
              <w:rPr>
                <w:color w:val="auto"/>
              </w:rPr>
            </w:pPr>
            <w:r>
              <w:rPr>
                <w:color w:val="auto"/>
              </w:rPr>
              <w:t>4</w:t>
            </w:r>
            <w:r>
              <w:rPr>
                <w:rFonts w:hint="eastAsia"/>
                <w:color w:val="auto"/>
              </w:rPr>
              <w:t>）移动模架拼装完成后未对电路、液压系统的运行情况进行检查，扣</w:t>
            </w:r>
            <w:r>
              <w:rPr>
                <w:color w:val="auto"/>
              </w:rPr>
              <w:t>3</w:t>
            </w:r>
            <w:r>
              <w:rPr>
                <w:rFonts w:hint="eastAsia"/>
                <w:color w:val="auto"/>
              </w:rPr>
              <w:t>分</w:t>
            </w:r>
          </w:p>
          <w:p w14:paraId="1CAC6CD6">
            <w:pPr>
              <w:pStyle w:val="44"/>
              <w:jc w:val="left"/>
              <w:rPr>
                <w:color w:val="auto"/>
              </w:rPr>
            </w:pPr>
            <w:r>
              <w:rPr>
                <w:color w:val="auto"/>
              </w:rPr>
              <w:t>5</w:t>
            </w:r>
            <w:r>
              <w:rPr>
                <w:rFonts w:hint="eastAsia"/>
                <w:color w:val="auto"/>
              </w:rPr>
              <w:t>）移动模架组装后首次使用前未组织设计制造和安装单位进行共同进行检查验收，扣</w:t>
            </w:r>
            <w:r>
              <w:rPr>
                <w:color w:val="auto"/>
              </w:rPr>
              <w:t>10</w:t>
            </w:r>
            <w:r>
              <w:rPr>
                <w:rFonts w:hint="eastAsia"/>
                <w:color w:val="auto"/>
              </w:rPr>
              <w:t>分</w:t>
            </w:r>
          </w:p>
          <w:p w14:paraId="37E8130D">
            <w:pPr>
              <w:pStyle w:val="44"/>
              <w:jc w:val="left"/>
              <w:rPr>
                <w:color w:val="auto"/>
              </w:rPr>
            </w:pPr>
            <w:r>
              <w:rPr>
                <w:color w:val="auto"/>
              </w:rPr>
              <w:t>6</w:t>
            </w:r>
            <w:r>
              <w:rPr>
                <w:rFonts w:hint="eastAsia"/>
                <w:color w:val="auto"/>
              </w:rPr>
              <w:t>）过孔前后未对模架的关键部位和支承系统进行进行全面检查，扣</w:t>
            </w:r>
            <w:r>
              <w:rPr>
                <w:color w:val="auto"/>
              </w:rPr>
              <w:t>5-10</w:t>
            </w:r>
            <w:r>
              <w:rPr>
                <w:rFonts w:hint="eastAsia"/>
                <w:color w:val="auto"/>
              </w:rPr>
              <w:t>分</w:t>
            </w:r>
          </w:p>
          <w:p w14:paraId="25B0E76F">
            <w:pPr>
              <w:pStyle w:val="44"/>
              <w:jc w:val="left"/>
              <w:rPr>
                <w:color w:val="auto"/>
              </w:rPr>
            </w:pPr>
            <w:r>
              <w:rPr>
                <w:color w:val="auto"/>
              </w:rPr>
              <w:t>7</w:t>
            </w:r>
            <w:r>
              <w:rPr>
                <w:rFonts w:hint="eastAsia"/>
                <w:color w:val="auto"/>
              </w:rPr>
              <w:t>）各阶段检查验收未采用经审批的表格形成记录，或未经相关责任人签字确认，扣</w:t>
            </w:r>
            <w:r>
              <w:rPr>
                <w:color w:val="auto"/>
              </w:rPr>
              <w:t>5-10</w:t>
            </w:r>
            <w:r>
              <w:rPr>
                <w:rFonts w:hint="eastAsia"/>
                <w:color w:val="auto"/>
              </w:rPr>
              <w:t>分</w:t>
            </w:r>
          </w:p>
          <w:p w14:paraId="5F41DAA0">
            <w:pPr>
              <w:pStyle w:val="44"/>
              <w:jc w:val="left"/>
              <w:rPr>
                <w:color w:val="auto"/>
              </w:rPr>
            </w:pPr>
            <w:r>
              <w:rPr>
                <w:color w:val="auto"/>
              </w:rPr>
              <w:t>8</w:t>
            </w:r>
            <w:r>
              <w:rPr>
                <w:rFonts w:hint="eastAsia"/>
                <w:color w:val="auto"/>
              </w:rPr>
              <w:t>）验收合格后未在明显位置悬挂验收合格牌，扣</w:t>
            </w:r>
            <w:r>
              <w:rPr>
                <w:color w:val="auto"/>
              </w:rPr>
              <w:t>2</w:t>
            </w:r>
            <w:r>
              <w:rPr>
                <w:rFonts w:hint="eastAsia"/>
                <w:color w:val="auto"/>
              </w:rPr>
              <w:t>分</w:t>
            </w:r>
          </w:p>
        </w:tc>
        <w:tc>
          <w:tcPr>
            <w:tcW w:w="720" w:type="dxa"/>
            <w:vAlign w:val="center"/>
          </w:tcPr>
          <w:p w14:paraId="5723C545">
            <w:pPr>
              <w:pStyle w:val="44"/>
              <w:rPr>
                <w:color w:val="auto"/>
              </w:rPr>
            </w:pPr>
            <w:r>
              <w:rPr>
                <w:color w:val="auto"/>
              </w:rPr>
              <w:t>10</w:t>
            </w:r>
          </w:p>
        </w:tc>
        <w:tc>
          <w:tcPr>
            <w:tcW w:w="720" w:type="dxa"/>
            <w:vAlign w:val="center"/>
          </w:tcPr>
          <w:p w14:paraId="3BDBEA0B">
            <w:pPr>
              <w:pStyle w:val="44"/>
              <w:rPr>
                <w:color w:val="auto"/>
              </w:rPr>
            </w:pPr>
          </w:p>
        </w:tc>
        <w:tc>
          <w:tcPr>
            <w:tcW w:w="720" w:type="dxa"/>
            <w:vAlign w:val="center"/>
          </w:tcPr>
          <w:p w14:paraId="00D51602">
            <w:pPr>
              <w:pStyle w:val="44"/>
              <w:rPr>
                <w:color w:val="auto"/>
              </w:rPr>
            </w:pPr>
          </w:p>
        </w:tc>
      </w:tr>
      <w:tr w14:paraId="18940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2DEC3F9">
            <w:pPr>
              <w:pStyle w:val="44"/>
              <w:rPr>
                <w:color w:val="auto"/>
              </w:rPr>
            </w:pPr>
            <w:r>
              <w:rPr>
                <w:color w:val="auto"/>
              </w:rPr>
              <w:t>6</w:t>
            </w:r>
          </w:p>
        </w:tc>
        <w:tc>
          <w:tcPr>
            <w:tcW w:w="543" w:type="dxa"/>
            <w:vMerge w:val="continue"/>
            <w:vAlign w:val="center"/>
          </w:tcPr>
          <w:p w14:paraId="25C09A46">
            <w:pPr>
              <w:pStyle w:val="44"/>
              <w:rPr>
                <w:color w:val="auto"/>
              </w:rPr>
            </w:pPr>
          </w:p>
        </w:tc>
        <w:tc>
          <w:tcPr>
            <w:tcW w:w="898" w:type="dxa"/>
            <w:vAlign w:val="center"/>
          </w:tcPr>
          <w:p w14:paraId="3E37244C">
            <w:pPr>
              <w:pStyle w:val="44"/>
              <w:rPr>
                <w:color w:val="auto"/>
              </w:rPr>
            </w:pPr>
            <w:r>
              <w:rPr>
                <w:rFonts w:hint="eastAsia"/>
                <w:color w:val="auto"/>
              </w:rPr>
              <w:t>模架过孔</w:t>
            </w:r>
          </w:p>
        </w:tc>
        <w:tc>
          <w:tcPr>
            <w:tcW w:w="5580" w:type="dxa"/>
            <w:vAlign w:val="center"/>
          </w:tcPr>
          <w:p w14:paraId="7880B885">
            <w:pPr>
              <w:pStyle w:val="44"/>
              <w:jc w:val="left"/>
              <w:rPr>
                <w:color w:val="auto"/>
              </w:rPr>
            </w:pPr>
            <w:r>
              <w:rPr>
                <w:color w:val="auto"/>
              </w:rPr>
              <w:t>1</w:t>
            </w:r>
            <w:r>
              <w:rPr>
                <w:rFonts w:hint="eastAsia"/>
                <w:color w:val="auto"/>
              </w:rPr>
              <w:t>）移动模架在梁体初张拉完成前进行过孔操作，扣</w:t>
            </w:r>
            <w:r>
              <w:rPr>
                <w:color w:val="auto"/>
              </w:rPr>
              <w:t>10</w:t>
            </w:r>
            <w:r>
              <w:rPr>
                <w:rFonts w:hint="eastAsia"/>
                <w:color w:val="auto"/>
              </w:rPr>
              <w:t>分</w:t>
            </w:r>
          </w:p>
          <w:p w14:paraId="5098C2B3">
            <w:pPr>
              <w:pStyle w:val="44"/>
              <w:jc w:val="left"/>
              <w:rPr>
                <w:color w:val="auto"/>
              </w:rPr>
            </w:pPr>
            <w:r>
              <w:rPr>
                <w:color w:val="auto"/>
              </w:rPr>
              <w:t>2</w:t>
            </w:r>
            <w:r>
              <w:rPr>
                <w:rFonts w:hint="eastAsia"/>
                <w:color w:val="auto"/>
              </w:rPr>
              <w:t>）</w:t>
            </w:r>
            <w:r>
              <w:rPr>
                <w:color w:val="auto"/>
              </w:rPr>
              <w:t xml:space="preserve"> </w:t>
            </w:r>
            <w:r>
              <w:rPr>
                <w:rFonts w:hint="eastAsia"/>
                <w:color w:val="auto"/>
              </w:rPr>
              <w:t>模架打开过孔前未确认电路、油路运行正常，或未解除所有影响移位的约束，扣</w:t>
            </w:r>
            <w:r>
              <w:rPr>
                <w:color w:val="auto"/>
              </w:rPr>
              <w:t>10</w:t>
            </w:r>
            <w:r>
              <w:rPr>
                <w:rFonts w:hint="eastAsia"/>
                <w:color w:val="auto"/>
              </w:rPr>
              <w:t>分</w:t>
            </w:r>
          </w:p>
          <w:p w14:paraId="30F5AAEE">
            <w:pPr>
              <w:pStyle w:val="44"/>
              <w:jc w:val="left"/>
              <w:rPr>
                <w:color w:val="auto"/>
              </w:rPr>
            </w:pPr>
            <w:r>
              <w:rPr>
                <w:color w:val="auto"/>
              </w:rPr>
              <w:t>3</w:t>
            </w:r>
            <w:r>
              <w:rPr>
                <w:rFonts w:hint="eastAsia"/>
                <w:color w:val="auto"/>
              </w:rPr>
              <w:t>）模架纵向移动时两侧的承重主梁不同步，扣</w:t>
            </w:r>
            <w:r>
              <w:rPr>
                <w:color w:val="auto"/>
              </w:rPr>
              <w:t>5-10</w:t>
            </w:r>
            <w:r>
              <w:rPr>
                <w:rFonts w:hint="eastAsia"/>
                <w:color w:val="auto"/>
              </w:rPr>
              <w:t>分</w:t>
            </w:r>
          </w:p>
          <w:p w14:paraId="28BF4EBC">
            <w:pPr>
              <w:pStyle w:val="44"/>
              <w:jc w:val="left"/>
              <w:rPr>
                <w:color w:val="auto"/>
              </w:rPr>
            </w:pPr>
            <w:r>
              <w:rPr>
                <w:color w:val="auto"/>
              </w:rPr>
              <w:t>4</w:t>
            </w:r>
            <w:r>
              <w:rPr>
                <w:rFonts w:hint="eastAsia"/>
                <w:color w:val="auto"/>
              </w:rPr>
              <w:t>）模架横向开启及合拢过程中，左右两侧模架或同侧移动模架前后端不同步，扣</w:t>
            </w:r>
            <w:r>
              <w:rPr>
                <w:color w:val="auto"/>
              </w:rPr>
              <w:t>5-10</w:t>
            </w:r>
            <w:r>
              <w:rPr>
                <w:rFonts w:hint="eastAsia"/>
                <w:color w:val="auto"/>
              </w:rPr>
              <w:t>分</w:t>
            </w:r>
          </w:p>
          <w:p w14:paraId="38946E79">
            <w:pPr>
              <w:pStyle w:val="44"/>
              <w:jc w:val="left"/>
              <w:rPr>
                <w:color w:val="auto"/>
              </w:rPr>
            </w:pPr>
            <w:r>
              <w:rPr>
                <w:color w:val="auto"/>
              </w:rPr>
              <w:t>5</w:t>
            </w:r>
            <w:r>
              <w:rPr>
                <w:rFonts w:hint="eastAsia"/>
                <w:color w:val="auto"/>
              </w:rPr>
              <w:t>）纵移到最后</w:t>
            </w:r>
            <w:r>
              <w:rPr>
                <w:color w:val="auto"/>
              </w:rPr>
              <w:t>1m</w:t>
            </w:r>
            <w:r>
              <w:rPr>
                <w:rFonts w:hint="eastAsia"/>
                <w:color w:val="auto"/>
              </w:rPr>
              <w:t>时，未按点动按钮前进，扣</w:t>
            </w:r>
            <w:r>
              <w:rPr>
                <w:color w:val="auto"/>
              </w:rPr>
              <w:t>10</w:t>
            </w:r>
            <w:r>
              <w:rPr>
                <w:rFonts w:hint="eastAsia"/>
                <w:color w:val="auto"/>
              </w:rPr>
              <w:t>分</w:t>
            </w:r>
          </w:p>
          <w:p w14:paraId="29DEDFF6">
            <w:pPr>
              <w:pStyle w:val="44"/>
              <w:jc w:val="left"/>
              <w:rPr>
                <w:color w:val="auto"/>
              </w:rPr>
            </w:pPr>
            <w:r>
              <w:rPr>
                <w:color w:val="auto"/>
              </w:rPr>
              <w:t>6</w:t>
            </w:r>
            <w:r>
              <w:rPr>
                <w:rFonts w:hint="eastAsia"/>
                <w:color w:val="auto"/>
              </w:rPr>
              <w:t>）移动模架无可靠的纵向过孔限位和制动装置，扣</w:t>
            </w:r>
            <w:r>
              <w:rPr>
                <w:color w:val="auto"/>
              </w:rPr>
              <w:t>10</w:t>
            </w:r>
            <w:r>
              <w:rPr>
                <w:rFonts w:hint="eastAsia"/>
                <w:color w:val="auto"/>
              </w:rPr>
              <w:t>分</w:t>
            </w:r>
          </w:p>
          <w:p w14:paraId="055C8BF8">
            <w:pPr>
              <w:pStyle w:val="44"/>
              <w:jc w:val="left"/>
              <w:rPr>
                <w:color w:val="auto"/>
              </w:rPr>
            </w:pPr>
            <w:r>
              <w:rPr>
                <w:color w:val="auto"/>
              </w:rPr>
              <w:t>7</w:t>
            </w:r>
            <w:r>
              <w:rPr>
                <w:rFonts w:hint="eastAsia"/>
                <w:color w:val="auto"/>
              </w:rPr>
              <w:t>）移动模架过孔后未及时将外模系统合拢，或未将支腿吊架、主梁、横联及时连接，扣</w:t>
            </w:r>
            <w:r>
              <w:rPr>
                <w:color w:val="auto"/>
              </w:rPr>
              <w:t>5-10</w:t>
            </w:r>
            <w:r>
              <w:rPr>
                <w:rFonts w:hint="eastAsia"/>
                <w:color w:val="auto"/>
              </w:rPr>
              <w:t>分</w:t>
            </w:r>
          </w:p>
          <w:p w14:paraId="0982A178">
            <w:pPr>
              <w:pStyle w:val="44"/>
              <w:jc w:val="left"/>
              <w:rPr>
                <w:color w:val="auto"/>
              </w:rPr>
            </w:pPr>
            <w:r>
              <w:rPr>
                <w:color w:val="auto"/>
              </w:rPr>
              <w:t>8</w:t>
            </w:r>
            <w:r>
              <w:rPr>
                <w:rFonts w:hint="eastAsia"/>
                <w:color w:val="auto"/>
              </w:rPr>
              <w:t>）移动模架安装完成以及纵移定位后，支撑主梁的油缸未处于锁定状态，扣</w:t>
            </w:r>
            <w:r>
              <w:rPr>
                <w:color w:val="auto"/>
              </w:rPr>
              <w:t>10</w:t>
            </w:r>
            <w:r>
              <w:rPr>
                <w:rFonts w:hint="eastAsia"/>
                <w:color w:val="auto"/>
              </w:rPr>
              <w:t>分</w:t>
            </w:r>
          </w:p>
          <w:p w14:paraId="3A659D5B">
            <w:pPr>
              <w:pStyle w:val="44"/>
              <w:jc w:val="left"/>
              <w:rPr>
                <w:color w:val="auto"/>
              </w:rPr>
            </w:pPr>
            <w:r>
              <w:rPr>
                <w:color w:val="auto"/>
              </w:rPr>
              <w:t>9</w:t>
            </w:r>
            <w:r>
              <w:rPr>
                <w:rFonts w:hint="eastAsia"/>
                <w:color w:val="auto"/>
              </w:rPr>
              <w:t>）移动模架在过孔时的抗倾覆稳定系数小于</w:t>
            </w:r>
            <w:r>
              <w:rPr>
                <w:color w:val="auto"/>
              </w:rPr>
              <w:t>1.5</w:t>
            </w:r>
          </w:p>
        </w:tc>
        <w:tc>
          <w:tcPr>
            <w:tcW w:w="720" w:type="dxa"/>
            <w:vAlign w:val="center"/>
          </w:tcPr>
          <w:p w14:paraId="5DB88DAB">
            <w:pPr>
              <w:pStyle w:val="44"/>
              <w:rPr>
                <w:color w:val="auto"/>
              </w:rPr>
            </w:pPr>
            <w:r>
              <w:rPr>
                <w:color w:val="auto"/>
              </w:rPr>
              <w:t>10</w:t>
            </w:r>
          </w:p>
        </w:tc>
        <w:tc>
          <w:tcPr>
            <w:tcW w:w="720" w:type="dxa"/>
            <w:vAlign w:val="center"/>
          </w:tcPr>
          <w:p w14:paraId="4B198D28">
            <w:pPr>
              <w:pStyle w:val="44"/>
              <w:rPr>
                <w:color w:val="auto"/>
              </w:rPr>
            </w:pPr>
          </w:p>
        </w:tc>
        <w:tc>
          <w:tcPr>
            <w:tcW w:w="720" w:type="dxa"/>
            <w:vAlign w:val="center"/>
          </w:tcPr>
          <w:p w14:paraId="301C77DB">
            <w:pPr>
              <w:pStyle w:val="44"/>
              <w:rPr>
                <w:color w:val="auto"/>
              </w:rPr>
            </w:pPr>
          </w:p>
        </w:tc>
      </w:tr>
      <w:tr w14:paraId="453D1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2DF885D">
            <w:pPr>
              <w:pStyle w:val="44"/>
              <w:rPr>
                <w:color w:val="auto"/>
              </w:rPr>
            </w:pPr>
            <w:r>
              <w:rPr>
                <w:color w:val="auto"/>
              </w:rPr>
              <w:t>7</w:t>
            </w:r>
          </w:p>
        </w:tc>
        <w:tc>
          <w:tcPr>
            <w:tcW w:w="543" w:type="dxa"/>
            <w:vMerge w:val="continue"/>
            <w:vAlign w:val="center"/>
          </w:tcPr>
          <w:p w14:paraId="0EFFD829">
            <w:pPr>
              <w:pStyle w:val="44"/>
              <w:rPr>
                <w:color w:val="auto"/>
              </w:rPr>
            </w:pPr>
          </w:p>
        </w:tc>
        <w:tc>
          <w:tcPr>
            <w:tcW w:w="898" w:type="dxa"/>
            <w:vAlign w:val="center"/>
          </w:tcPr>
          <w:p w14:paraId="56740336">
            <w:pPr>
              <w:pStyle w:val="44"/>
              <w:rPr>
                <w:color w:val="auto"/>
              </w:rPr>
            </w:pPr>
            <w:r>
              <w:rPr>
                <w:rFonts w:hint="eastAsia"/>
                <w:color w:val="auto"/>
              </w:rPr>
              <w:t>使用与监测</w:t>
            </w:r>
          </w:p>
        </w:tc>
        <w:tc>
          <w:tcPr>
            <w:tcW w:w="5580" w:type="dxa"/>
            <w:vAlign w:val="center"/>
          </w:tcPr>
          <w:p w14:paraId="6C8BA97C">
            <w:pPr>
              <w:pStyle w:val="44"/>
              <w:jc w:val="left"/>
              <w:rPr>
                <w:color w:val="auto"/>
              </w:rPr>
            </w:pPr>
            <w:r>
              <w:rPr>
                <w:color w:val="auto"/>
              </w:rPr>
              <w:t>1</w:t>
            </w:r>
            <w:r>
              <w:rPr>
                <w:rFonts w:hint="eastAsia"/>
                <w:color w:val="auto"/>
              </w:rPr>
              <w:t>）移动模架使用前，未在显著位置悬挂移动模架安全使用规程的，扣</w:t>
            </w:r>
            <w:r>
              <w:rPr>
                <w:color w:val="auto"/>
              </w:rPr>
              <w:t>5</w:t>
            </w:r>
            <w:r>
              <w:rPr>
                <w:rFonts w:hint="eastAsia"/>
                <w:color w:val="auto"/>
              </w:rPr>
              <w:t>分</w:t>
            </w:r>
          </w:p>
          <w:p w14:paraId="1ACEF228">
            <w:pPr>
              <w:pStyle w:val="44"/>
              <w:jc w:val="left"/>
              <w:rPr>
                <w:color w:val="auto"/>
              </w:rPr>
            </w:pPr>
            <w:r>
              <w:rPr>
                <w:color w:val="auto"/>
              </w:rPr>
              <w:t>2</w:t>
            </w:r>
            <w:r>
              <w:rPr>
                <w:rFonts w:hint="eastAsia"/>
                <w:color w:val="auto"/>
              </w:rPr>
              <w:t>）移动模架移动过孔时，未对模架的运行状态进行监控，扣</w:t>
            </w:r>
            <w:r>
              <w:rPr>
                <w:color w:val="auto"/>
              </w:rPr>
              <w:t>5</w:t>
            </w:r>
            <w:r>
              <w:rPr>
                <w:rFonts w:hint="eastAsia"/>
                <w:color w:val="auto"/>
              </w:rPr>
              <w:t>分</w:t>
            </w:r>
          </w:p>
          <w:p w14:paraId="63DF34A7">
            <w:pPr>
              <w:pStyle w:val="44"/>
              <w:jc w:val="left"/>
              <w:rPr>
                <w:color w:val="auto"/>
              </w:rPr>
            </w:pPr>
            <w:r>
              <w:rPr>
                <w:color w:val="auto"/>
              </w:rPr>
              <w:t>3</w:t>
            </w:r>
            <w:r>
              <w:rPr>
                <w:rFonts w:hint="eastAsia"/>
                <w:color w:val="auto"/>
              </w:rPr>
              <w:t>）浇筑混凝土时，未对承重主梁变形进行监测，或未形成监测记录，扣</w:t>
            </w:r>
            <w:r>
              <w:rPr>
                <w:color w:val="auto"/>
              </w:rPr>
              <w:t>5</w:t>
            </w:r>
            <w:r>
              <w:rPr>
                <w:rFonts w:hint="eastAsia"/>
                <w:color w:val="auto"/>
              </w:rPr>
              <w:t>分</w:t>
            </w:r>
          </w:p>
          <w:p w14:paraId="20001FD8">
            <w:pPr>
              <w:pStyle w:val="44"/>
              <w:jc w:val="left"/>
              <w:rPr>
                <w:color w:val="auto"/>
              </w:rPr>
            </w:pPr>
            <w:r>
              <w:rPr>
                <w:color w:val="auto"/>
              </w:rPr>
              <w:t>4</w:t>
            </w:r>
            <w:r>
              <w:rPr>
                <w:rFonts w:hint="eastAsia"/>
                <w:color w:val="auto"/>
              </w:rPr>
              <w:t>）模架中的动力和照明线路未经专业人员敷设，或未定期检查清理，扣</w:t>
            </w:r>
            <w:r>
              <w:rPr>
                <w:color w:val="auto"/>
              </w:rPr>
              <w:t>3</w:t>
            </w:r>
            <w:r>
              <w:rPr>
                <w:rFonts w:hint="eastAsia"/>
                <w:color w:val="auto"/>
              </w:rPr>
              <w:t>分</w:t>
            </w:r>
          </w:p>
          <w:p w14:paraId="1D769CC5">
            <w:pPr>
              <w:pStyle w:val="44"/>
              <w:jc w:val="left"/>
              <w:rPr>
                <w:color w:val="auto"/>
              </w:rPr>
            </w:pPr>
            <w:r>
              <w:rPr>
                <w:color w:val="auto"/>
              </w:rPr>
              <w:t>5</w:t>
            </w:r>
            <w:r>
              <w:rPr>
                <w:rFonts w:hint="eastAsia"/>
                <w:color w:val="auto"/>
              </w:rPr>
              <w:t>）浇筑作业面上的施工荷载应符合挂篮设计规定，扣</w:t>
            </w:r>
            <w:r>
              <w:rPr>
                <w:color w:val="auto"/>
              </w:rPr>
              <w:t>5-10</w:t>
            </w:r>
            <w:r>
              <w:rPr>
                <w:rFonts w:hint="eastAsia"/>
                <w:color w:val="auto"/>
              </w:rPr>
              <w:t>分</w:t>
            </w:r>
          </w:p>
          <w:p w14:paraId="43E8F1E2">
            <w:pPr>
              <w:pStyle w:val="44"/>
              <w:jc w:val="left"/>
              <w:rPr>
                <w:color w:val="auto"/>
              </w:rPr>
            </w:pPr>
            <w:r>
              <w:rPr>
                <w:color w:val="auto"/>
              </w:rPr>
              <w:t>6</w:t>
            </w:r>
            <w:r>
              <w:rPr>
                <w:rFonts w:hint="eastAsia"/>
                <w:color w:val="auto"/>
              </w:rPr>
              <w:t>）混凝土浇筑未按照由悬臂端向已浇筑梁端的顺序进行，或左右两侧腹板及翼缘混凝土下料不对称，扣</w:t>
            </w:r>
            <w:r>
              <w:rPr>
                <w:color w:val="auto"/>
              </w:rPr>
              <w:t>5-10</w:t>
            </w:r>
            <w:r>
              <w:rPr>
                <w:rFonts w:hint="eastAsia"/>
                <w:color w:val="auto"/>
              </w:rPr>
              <w:t>分</w:t>
            </w:r>
          </w:p>
          <w:p w14:paraId="5F9746ED">
            <w:pPr>
              <w:pStyle w:val="44"/>
              <w:jc w:val="left"/>
              <w:rPr>
                <w:color w:val="auto"/>
              </w:rPr>
            </w:pPr>
            <w:r>
              <w:rPr>
                <w:color w:val="auto"/>
              </w:rPr>
              <w:t>7</w:t>
            </w:r>
            <w:r>
              <w:rPr>
                <w:rFonts w:hint="eastAsia"/>
                <w:color w:val="auto"/>
              </w:rPr>
              <w:t>）风力达到</w:t>
            </w:r>
            <w:r>
              <w:rPr>
                <w:color w:val="auto"/>
              </w:rPr>
              <w:t>6</w:t>
            </w:r>
            <w:r>
              <w:rPr>
                <w:rFonts w:hint="eastAsia"/>
                <w:color w:val="auto"/>
              </w:rPr>
              <w:t>级以上时，未停止移动模架作业，扣</w:t>
            </w:r>
            <w:r>
              <w:rPr>
                <w:color w:val="auto"/>
              </w:rPr>
              <w:t>10</w:t>
            </w:r>
            <w:r>
              <w:rPr>
                <w:rFonts w:hint="eastAsia"/>
                <w:color w:val="auto"/>
              </w:rPr>
              <w:t>分；未将所有支腿均置于锚固和锁定状态，或外模板未闭合，扣</w:t>
            </w:r>
            <w:r>
              <w:rPr>
                <w:color w:val="auto"/>
              </w:rPr>
              <w:t>5</w:t>
            </w:r>
            <w:r>
              <w:rPr>
                <w:rFonts w:hint="eastAsia"/>
                <w:color w:val="auto"/>
              </w:rPr>
              <w:t>分</w:t>
            </w:r>
          </w:p>
          <w:p w14:paraId="7B7E0072">
            <w:pPr>
              <w:pStyle w:val="44"/>
              <w:jc w:val="left"/>
              <w:rPr>
                <w:color w:val="auto"/>
              </w:rPr>
            </w:pPr>
            <w:r>
              <w:rPr>
                <w:color w:val="auto"/>
              </w:rPr>
              <w:t>8</w:t>
            </w:r>
            <w:r>
              <w:rPr>
                <w:rFonts w:hint="eastAsia"/>
                <w:color w:val="auto"/>
              </w:rPr>
              <w:t>）移动模架现场使用单位未对其安全技术记录资料建立安全技术档案，扣</w:t>
            </w:r>
            <w:r>
              <w:rPr>
                <w:color w:val="auto"/>
              </w:rPr>
              <w:t>2-5</w:t>
            </w:r>
            <w:r>
              <w:rPr>
                <w:rFonts w:hint="eastAsia"/>
                <w:color w:val="auto"/>
              </w:rPr>
              <w:t>分</w:t>
            </w:r>
          </w:p>
        </w:tc>
        <w:tc>
          <w:tcPr>
            <w:tcW w:w="720" w:type="dxa"/>
            <w:vAlign w:val="center"/>
          </w:tcPr>
          <w:p w14:paraId="3D131EB7">
            <w:pPr>
              <w:pStyle w:val="44"/>
              <w:rPr>
                <w:color w:val="auto"/>
              </w:rPr>
            </w:pPr>
            <w:r>
              <w:rPr>
                <w:color w:val="auto"/>
              </w:rPr>
              <w:t>10</w:t>
            </w:r>
          </w:p>
        </w:tc>
        <w:tc>
          <w:tcPr>
            <w:tcW w:w="720" w:type="dxa"/>
            <w:vAlign w:val="center"/>
          </w:tcPr>
          <w:p w14:paraId="6AAC53D6">
            <w:pPr>
              <w:pStyle w:val="44"/>
              <w:rPr>
                <w:color w:val="auto"/>
              </w:rPr>
            </w:pPr>
          </w:p>
        </w:tc>
        <w:tc>
          <w:tcPr>
            <w:tcW w:w="720" w:type="dxa"/>
            <w:vAlign w:val="center"/>
          </w:tcPr>
          <w:p w14:paraId="593607F4">
            <w:pPr>
              <w:pStyle w:val="44"/>
              <w:rPr>
                <w:color w:val="auto"/>
              </w:rPr>
            </w:pPr>
          </w:p>
        </w:tc>
      </w:tr>
      <w:tr w14:paraId="4D4AD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B770A7D">
            <w:pPr>
              <w:pStyle w:val="44"/>
              <w:rPr>
                <w:color w:val="auto"/>
              </w:rPr>
            </w:pPr>
          </w:p>
        </w:tc>
        <w:tc>
          <w:tcPr>
            <w:tcW w:w="543" w:type="dxa"/>
            <w:vMerge w:val="continue"/>
          </w:tcPr>
          <w:p w14:paraId="0FAFF47B">
            <w:pPr>
              <w:pStyle w:val="44"/>
              <w:rPr>
                <w:color w:val="auto"/>
              </w:rPr>
            </w:pPr>
          </w:p>
        </w:tc>
        <w:tc>
          <w:tcPr>
            <w:tcW w:w="6478" w:type="dxa"/>
            <w:gridSpan w:val="2"/>
            <w:vAlign w:val="center"/>
          </w:tcPr>
          <w:p w14:paraId="0D2E2FCA">
            <w:pPr>
              <w:pStyle w:val="44"/>
              <w:rPr>
                <w:b/>
                <w:bCs w:val="0"/>
                <w:color w:val="auto"/>
              </w:rPr>
            </w:pPr>
            <w:r>
              <w:rPr>
                <w:rFonts w:hint="eastAsia"/>
                <w:b/>
                <w:bCs w:val="0"/>
                <w:color w:val="auto"/>
              </w:rPr>
              <w:t>小</w:t>
            </w:r>
            <w:r>
              <w:rPr>
                <w:b/>
                <w:bCs w:val="0"/>
                <w:color w:val="auto"/>
              </w:rPr>
              <w:t xml:space="preserve">  </w:t>
            </w:r>
            <w:r>
              <w:rPr>
                <w:rFonts w:hint="eastAsia"/>
                <w:b/>
                <w:bCs w:val="0"/>
                <w:color w:val="auto"/>
              </w:rPr>
              <w:t>计</w:t>
            </w:r>
          </w:p>
        </w:tc>
        <w:tc>
          <w:tcPr>
            <w:tcW w:w="720" w:type="dxa"/>
            <w:vAlign w:val="center"/>
          </w:tcPr>
          <w:p w14:paraId="79C382CD">
            <w:pPr>
              <w:pStyle w:val="44"/>
              <w:rPr>
                <w:color w:val="auto"/>
              </w:rPr>
            </w:pPr>
            <w:r>
              <w:rPr>
                <w:color w:val="auto"/>
              </w:rPr>
              <w:t>70</w:t>
            </w:r>
          </w:p>
        </w:tc>
        <w:tc>
          <w:tcPr>
            <w:tcW w:w="720" w:type="dxa"/>
            <w:vAlign w:val="center"/>
          </w:tcPr>
          <w:p w14:paraId="239336F0">
            <w:pPr>
              <w:pStyle w:val="44"/>
              <w:rPr>
                <w:color w:val="auto"/>
              </w:rPr>
            </w:pPr>
          </w:p>
        </w:tc>
        <w:tc>
          <w:tcPr>
            <w:tcW w:w="720" w:type="dxa"/>
            <w:vAlign w:val="center"/>
          </w:tcPr>
          <w:p w14:paraId="5BE6B097">
            <w:pPr>
              <w:pStyle w:val="44"/>
              <w:rPr>
                <w:color w:val="auto"/>
              </w:rPr>
            </w:pPr>
          </w:p>
        </w:tc>
      </w:tr>
      <w:tr w14:paraId="031AD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747C2DAE">
            <w:pPr>
              <w:pStyle w:val="44"/>
              <w:rPr>
                <w:color w:val="auto"/>
              </w:rPr>
            </w:pPr>
            <w:r>
              <w:rPr>
                <w:color w:val="auto"/>
              </w:rPr>
              <w:t>1</w:t>
            </w:r>
          </w:p>
        </w:tc>
        <w:tc>
          <w:tcPr>
            <w:tcW w:w="543" w:type="dxa"/>
            <w:vMerge w:val="restart"/>
            <w:vAlign w:val="center"/>
          </w:tcPr>
          <w:p w14:paraId="5CA37458">
            <w:pPr>
              <w:pStyle w:val="44"/>
              <w:rPr>
                <w:color w:val="auto"/>
              </w:rPr>
            </w:pPr>
            <w:r>
              <w:rPr>
                <w:rFonts w:hint="eastAsia"/>
                <w:color w:val="auto"/>
              </w:rPr>
              <w:t>一</w:t>
            </w:r>
          </w:p>
          <w:p w14:paraId="116F456D">
            <w:pPr>
              <w:pStyle w:val="44"/>
              <w:rPr>
                <w:color w:val="auto"/>
              </w:rPr>
            </w:pPr>
            <w:r>
              <w:rPr>
                <w:rFonts w:hint="eastAsia"/>
                <w:color w:val="auto"/>
              </w:rPr>
              <w:t>般</w:t>
            </w:r>
          </w:p>
          <w:p w14:paraId="4D52BE41">
            <w:pPr>
              <w:pStyle w:val="44"/>
              <w:rPr>
                <w:color w:val="auto"/>
              </w:rPr>
            </w:pPr>
            <w:r>
              <w:rPr>
                <w:rFonts w:hint="eastAsia"/>
                <w:color w:val="auto"/>
              </w:rPr>
              <w:t>项</w:t>
            </w:r>
          </w:p>
          <w:p w14:paraId="124CFF8F">
            <w:pPr>
              <w:pStyle w:val="44"/>
              <w:rPr>
                <w:color w:val="auto"/>
              </w:rPr>
            </w:pPr>
            <w:r>
              <w:rPr>
                <w:rFonts w:hint="eastAsia"/>
                <w:color w:val="auto"/>
              </w:rPr>
              <w:t>目</w:t>
            </w:r>
          </w:p>
        </w:tc>
        <w:tc>
          <w:tcPr>
            <w:tcW w:w="898" w:type="dxa"/>
            <w:vAlign w:val="center"/>
          </w:tcPr>
          <w:p w14:paraId="574293E2">
            <w:pPr>
              <w:pStyle w:val="44"/>
              <w:rPr>
                <w:color w:val="auto"/>
              </w:rPr>
            </w:pPr>
            <w:r>
              <w:rPr>
                <w:rFonts w:hint="eastAsia"/>
                <w:color w:val="auto"/>
              </w:rPr>
              <w:t>安全防护</w:t>
            </w:r>
          </w:p>
        </w:tc>
        <w:tc>
          <w:tcPr>
            <w:tcW w:w="5580" w:type="dxa"/>
            <w:vAlign w:val="center"/>
          </w:tcPr>
          <w:p w14:paraId="1426BADB">
            <w:pPr>
              <w:pStyle w:val="44"/>
              <w:jc w:val="left"/>
              <w:rPr>
                <w:color w:val="auto"/>
              </w:rPr>
            </w:pPr>
            <w:r>
              <w:rPr>
                <w:color w:val="auto"/>
              </w:rPr>
              <w:t>1</w:t>
            </w:r>
            <w:r>
              <w:rPr>
                <w:rFonts w:hint="eastAsia"/>
                <w:color w:val="auto"/>
              </w:rPr>
              <w:t>）移动模架上部两侧未设置人行道和栏杆，扣</w:t>
            </w:r>
            <w:r>
              <w:rPr>
                <w:color w:val="auto"/>
              </w:rPr>
              <w:t>5</w:t>
            </w:r>
            <w:r>
              <w:rPr>
                <w:rFonts w:hint="eastAsia"/>
                <w:color w:val="auto"/>
              </w:rPr>
              <w:t>分；未在两个端头设置栏杆，扣</w:t>
            </w:r>
            <w:r>
              <w:rPr>
                <w:color w:val="auto"/>
              </w:rPr>
              <w:t>3</w:t>
            </w:r>
            <w:r>
              <w:rPr>
                <w:rFonts w:hint="eastAsia"/>
                <w:color w:val="auto"/>
              </w:rPr>
              <w:t>分；栏杆外未挂设安全网，扣</w:t>
            </w:r>
            <w:r>
              <w:rPr>
                <w:color w:val="auto"/>
              </w:rPr>
              <w:t>2</w:t>
            </w:r>
            <w:r>
              <w:rPr>
                <w:rFonts w:hint="eastAsia"/>
                <w:color w:val="auto"/>
              </w:rPr>
              <w:t>分</w:t>
            </w:r>
          </w:p>
          <w:p w14:paraId="06D47DE3">
            <w:pPr>
              <w:pStyle w:val="44"/>
              <w:jc w:val="left"/>
              <w:rPr>
                <w:color w:val="auto"/>
              </w:rPr>
            </w:pPr>
            <w:r>
              <w:rPr>
                <w:color w:val="auto"/>
              </w:rPr>
              <w:t>2</w:t>
            </w:r>
            <w:r>
              <w:rPr>
                <w:rFonts w:hint="eastAsia"/>
                <w:color w:val="auto"/>
              </w:rPr>
              <w:t>）设置的操作平台未按规定设置脚手板、栏杆、挡脚板和安全立网，每项扣</w:t>
            </w:r>
            <w:r>
              <w:rPr>
                <w:color w:val="auto"/>
              </w:rPr>
              <w:t>2</w:t>
            </w:r>
            <w:r>
              <w:rPr>
                <w:rFonts w:hint="eastAsia"/>
                <w:color w:val="auto"/>
              </w:rPr>
              <w:t>分</w:t>
            </w:r>
          </w:p>
          <w:p w14:paraId="6D959CBE">
            <w:pPr>
              <w:pStyle w:val="44"/>
              <w:jc w:val="left"/>
              <w:rPr>
                <w:color w:val="auto"/>
              </w:rPr>
            </w:pPr>
            <w:r>
              <w:rPr>
                <w:color w:val="auto"/>
              </w:rPr>
              <w:t>3</w:t>
            </w:r>
            <w:r>
              <w:rPr>
                <w:rFonts w:hint="eastAsia"/>
                <w:color w:val="auto"/>
              </w:rPr>
              <w:t>）跨（临）铁路、道路、航道的移动模架下部未设置能防止穿透的防护棚，扣</w:t>
            </w:r>
            <w:r>
              <w:rPr>
                <w:color w:val="auto"/>
              </w:rPr>
              <w:t>5</w:t>
            </w:r>
            <w:r>
              <w:rPr>
                <w:rFonts w:hint="eastAsia"/>
                <w:color w:val="auto"/>
              </w:rPr>
              <w:t>分</w:t>
            </w:r>
          </w:p>
          <w:p w14:paraId="26064839">
            <w:pPr>
              <w:pStyle w:val="44"/>
              <w:jc w:val="left"/>
              <w:rPr>
                <w:color w:val="auto"/>
              </w:rPr>
            </w:pPr>
            <w:r>
              <w:rPr>
                <w:color w:val="auto"/>
              </w:rPr>
              <w:t>4</w:t>
            </w:r>
            <w:r>
              <w:rPr>
                <w:rFonts w:hint="eastAsia"/>
                <w:color w:val="auto"/>
              </w:rPr>
              <w:t>）起重设备、混凝土输送管、上下通道等设施与移动模架相连接，扣</w:t>
            </w:r>
            <w:r>
              <w:rPr>
                <w:color w:val="auto"/>
              </w:rPr>
              <w:t>3</w:t>
            </w:r>
            <w:r>
              <w:rPr>
                <w:rFonts w:hint="eastAsia"/>
                <w:color w:val="auto"/>
              </w:rPr>
              <w:t>分</w:t>
            </w:r>
          </w:p>
          <w:p w14:paraId="08C6974F">
            <w:pPr>
              <w:pStyle w:val="44"/>
              <w:jc w:val="left"/>
              <w:rPr>
                <w:color w:val="auto"/>
              </w:rPr>
            </w:pPr>
            <w:r>
              <w:rPr>
                <w:color w:val="auto"/>
              </w:rPr>
              <w:t>5</w:t>
            </w:r>
            <w:r>
              <w:rPr>
                <w:rFonts w:hint="eastAsia"/>
                <w:color w:val="auto"/>
              </w:rPr>
              <w:t>）移动模架施工时，未设置防护区并设置明显的警示标志，扣</w:t>
            </w:r>
            <w:r>
              <w:rPr>
                <w:color w:val="auto"/>
              </w:rPr>
              <w:t>2</w:t>
            </w:r>
            <w:r>
              <w:rPr>
                <w:rFonts w:hint="eastAsia"/>
                <w:color w:val="auto"/>
              </w:rPr>
              <w:t>分</w:t>
            </w:r>
          </w:p>
          <w:p w14:paraId="1DC1D3F5">
            <w:pPr>
              <w:pStyle w:val="44"/>
              <w:jc w:val="left"/>
              <w:rPr>
                <w:color w:val="auto"/>
              </w:rPr>
            </w:pPr>
            <w:r>
              <w:rPr>
                <w:color w:val="auto"/>
              </w:rPr>
              <w:t>6</w:t>
            </w:r>
            <w:r>
              <w:rPr>
                <w:rFonts w:hint="eastAsia"/>
                <w:color w:val="auto"/>
              </w:rPr>
              <w:t>）移动模架未配备风速仪、避雷针和防风锚定设施，每缺一项扣</w:t>
            </w:r>
            <w:r>
              <w:rPr>
                <w:color w:val="auto"/>
              </w:rPr>
              <w:t>2</w:t>
            </w:r>
            <w:r>
              <w:rPr>
                <w:rFonts w:hint="eastAsia"/>
                <w:color w:val="auto"/>
              </w:rPr>
              <w:t>分</w:t>
            </w:r>
          </w:p>
        </w:tc>
        <w:tc>
          <w:tcPr>
            <w:tcW w:w="720" w:type="dxa"/>
            <w:vAlign w:val="center"/>
          </w:tcPr>
          <w:p w14:paraId="20328BBB">
            <w:pPr>
              <w:pStyle w:val="44"/>
              <w:rPr>
                <w:color w:val="auto"/>
              </w:rPr>
            </w:pPr>
            <w:r>
              <w:rPr>
                <w:color w:val="auto"/>
              </w:rPr>
              <w:t>10</w:t>
            </w:r>
          </w:p>
        </w:tc>
        <w:tc>
          <w:tcPr>
            <w:tcW w:w="720" w:type="dxa"/>
            <w:vAlign w:val="center"/>
          </w:tcPr>
          <w:p w14:paraId="5ED93967">
            <w:pPr>
              <w:pStyle w:val="44"/>
              <w:rPr>
                <w:color w:val="auto"/>
              </w:rPr>
            </w:pPr>
          </w:p>
        </w:tc>
        <w:tc>
          <w:tcPr>
            <w:tcW w:w="720" w:type="dxa"/>
            <w:vAlign w:val="center"/>
          </w:tcPr>
          <w:p w14:paraId="26E426CD">
            <w:pPr>
              <w:pStyle w:val="44"/>
              <w:rPr>
                <w:color w:val="auto"/>
              </w:rPr>
            </w:pPr>
          </w:p>
        </w:tc>
      </w:tr>
      <w:tr w14:paraId="3F408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F493F04">
            <w:pPr>
              <w:pStyle w:val="44"/>
              <w:rPr>
                <w:color w:val="auto"/>
              </w:rPr>
            </w:pPr>
            <w:r>
              <w:rPr>
                <w:color w:val="auto"/>
              </w:rPr>
              <w:t>2</w:t>
            </w:r>
          </w:p>
        </w:tc>
        <w:tc>
          <w:tcPr>
            <w:tcW w:w="543" w:type="dxa"/>
            <w:vMerge w:val="continue"/>
          </w:tcPr>
          <w:p w14:paraId="4722085E">
            <w:pPr>
              <w:pStyle w:val="44"/>
              <w:rPr>
                <w:color w:val="auto"/>
              </w:rPr>
            </w:pPr>
          </w:p>
        </w:tc>
        <w:tc>
          <w:tcPr>
            <w:tcW w:w="898" w:type="dxa"/>
            <w:vAlign w:val="center"/>
          </w:tcPr>
          <w:p w14:paraId="2201CF6C">
            <w:pPr>
              <w:pStyle w:val="44"/>
              <w:rPr>
                <w:color w:val="auto"/>
              </w:rPr>
            </w:pPr>
            <w:r>
              <w:rPr>
                <w:rFonts w:hint="eastAsia"/>
                <w:color w:val="auto"/>
              </w:rPr>
              <w:t>通道</w:t>
            </w:r>
          </w:p>
        </w:tc>
        <w:tc>
          <w:tcPr>
            <w:tcW w:w="5580" w:type="dxa"/>
            <w:vAlign w:val="center"/>
          </w:tcPr>
          <w:p w14:paraId="7F061E61">
            <w:pPr>
              <w:pStyle w:val="44"/>
              <w:jc w:val="left"/>
              <w:rPr>
                <w:color w:val="auto"/>
              </w:rPr>
            </w:pPr>
            <w:r>
              <w:rPr>
                <w:color w:val="auto"/>
              </w:rPr>
              <w:t>1</w:t>
            </w:r>
            <w:r>
              <w:rPr>
                <w:rFonts w:hint="eastAsia"/>
                <w:color w:val="auto"/>
              </w:rPr>
              <w:t>）未设置人员上下的专用通道，扣</w:t>
            </w:r>
            <w:r>
              <w:rPr>
                <w:color w:val="auto"/>
              </w:rPr>
              <w:t>10</w:t>
            </w:r>
            <w:r>
              <w:rPr>
                <w:rFonts w:hint="eastAsia"/>
                <w:color w:val="auto"/>
              </w:rPr>
              <w:t>分</w:t>
            </w:r>
          </w:p>
          <w:p w14:paraId="27360ABA">
            <w:pPr>
              <w:pStyle w:val="44"/>
              <w:jc w:val="left"/>
              <w:rPr>
                <w:color w:val="auto"/>
              </w:rPr>
            </w:pPr>
            <w:r>
              <w:rPr>
                <w:color w:val="auto"/>
              </w:rPr>
              <w:t>2</w:t>
            </w:r>
            <w:r>
              <w:rPr>
                <w:rFonts w:hint="eastAsia"/>
                <w:color w:val="auto"/>
              </w:rPr>
              <w:t>）通道设置不满足标准要求或未与墩身做可靠连接，扣</w:t>
            </w:r>
            <w:r>
              <w:rPr>
                <w:color w:val="auto"/>
              </w:rPr>
              <w:t>5</w:t>
            </w:r>
            <w:r>
              <w:rPr>
                <w:rFonts w:hint="eastAsia"/>
                <w:color w:val="auto"/>
              </w:rPr>
              <w:t>分</w:t>
            </w:r>
          </w:p>
        </w:tc>
        <w:tc>
          <w:tcPr>
            <w:tcW w:w="720" w:type="dxa"/>
            <w:vAlign w:val="center"/>
          </w:tcPr>
          <w:p w14:paraId="1ADDCD5B">
            <w:pPr>
              <w:pStyle w:val="44"/>
              <w:rPr>
                <w:color w:val="auto"/>
              </w:rPr>
            </w:pPr>
            <w:r>
              <w:rPr>
                <w:color w:val="auto"/>
              </w:rPr>
              <w:t>10</w:t>
            </w:r>
          </w:p>
        </w:tc>
        <w:tc>
          <w:tcPr>
            <w:tcW w:w="720" w:type="dxa"/>
            <w:vAlign w:val="center"/>
          </w:tcPr>
          <w:p w14:paraId="4565FEAA">
            <w:pPr>
              <w:pStyle w:val="44"/>
              <w:rPr>
                <w:color w:val="auto"/>
              </w:rPr>
            </w:pPr>
          </w:p>
        </w:tc>
        <w:tc>
          <w:tcPr>
            <w:tcW w:w="720" w:type="dxa"/>
            <w:vAlign w:val="center"/>
          </w:tcPr>
          <w:p w14:paraId="1B62B468">
            <w:pPr>
              <w:pStyle w:val="44"/>
              <w:rPr>
                <w:color w:val="auto"/>
              </w:rPr>
            </w:pPr>
          </w:p>
        </w:tc>
      </w:tr>
      <w:tr w14:paraId="664AF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998C6F2">
            <w:pPr>
              <w:pStyle w:val="44"/>
              <w:rPr>
                <w:color w:val="auto"/>
              </w:rPr>
            </w:pPr>
            <w:r>
              <w:rPr>
                <w:color w:val="auto"/>
              </w:rPr>
              <w:t>3</w:t>
            </w:r>
          </w:p>
        </w:tc>
        <w:tc>
          <w:tcPr>
            <w:tcW w:w="543" w:type="dxa"/>
            <w:vMerge w:val="continue"/>
          </w:tcPr>
          <w:p w14:paraId="181D3A8B">
            <w:pPr>
              <w:pStyle w:val="44"/>
              <w:rPr>
                <w:color w:val="auto"/>
              </w:rPr>
            </w:pPr>
          </w:p>
        </w:tc>
        <w:tc>
          <w:tcPr>
            <w:tcW w:w="898" w:type="dxa"/>
            <w:vAlign w:val="center"/>
          </w:tcPr>
          <w:p w14:paraId="0D04784A">
            <w:pPr>
              <w:pStyle w:val="44"/>
              <w:rPr>
                <w:color w:val="auto"/>
              </w:rPr>
            </w:pPr>
            <w:r>
              <w:rPr>
                <w:rFonts w:hint="eastAsia"/>
                <w:color w:val="auto"/>
              </w:rPr>
              <w:t>模架拆除</w:t>
            </w:r>
          </w:p>
        </w:tc>
        <w:tc>
          <w:tcPr>
            <w:tcW w:w="5580" w:type="dxa"/>
            <w:vAlign w:val="center"/>
          </w:tcPr>
          <w:p w14:paraId="6227F79F">
            <w:pPr>
              <w:pStyle w:val="44"/>
              <w:jc w:val="left"/>
              <w:rPr>
                <w:color w:val="auto"/>
              </w:rPr>
            </w:pPr>
            <w:r>
              <w:rPr>
                <w:color w:val="auto"/>
              </w:rPr>
              <w:t>1</w:t>
            </w:r>
            <w:r>
              <w:rPr>
                <w:rFonts w:hint="eastAsia"/>
                <w:color w:val="auto"/>
              </w:rPr>
              <w:t>）支撑架拆除前，未设置围栏和警戒标志或未派专人监护的，扣</w:t>
            </w:r>
            <w:r>
              <w:rPr>
                <w:color w:val="auto"/>
              </w:rPr>
              <w:t>2-5</w:t>
            </w:r>
            <w:r>
              <w:rPr>
                <w:rFonts w:hint="eastAsia"/>
                <w:color w:val="auto"/>
              </w:rPr>
              <w:t>分</w:t>
            </w:r>
          </w:p>
          <w:p w14:paraId="60D4614F">
            <w:pPr>
              <w:pStyle w:val="44"/>
              <w:jc w:val="left"/>
              <w:rPr>
                <w:color w:val="auto"/>
              </w:rPr>
            </w:pPr>
            <w:r>
              <w:rPr>
                <w:color w:val="auto"/>
              </w:rPr>
              <w:t>2</w:t>
            </w:r>
            <w:r>
              <w:rPr>
                <w:rFonts w:hint="eastAsia"/>
                <w:color w:val="auto"/>
              </w:rPr>
              <w:t>）移动模架拆除在带电的状态下进行，扣</w:t>
            </w:r>
            <w:r>
              <w:rPr>
                <w:color w:val="auto"/>
              </w:rPr>
              <w:t>10</w:t>
            </w:r>
            <w:r>
              <w:rPr>
                <w:rFonts w:hint="eastAsia"/>
                <w:color w:val="auto"/>
              </w:rPr>
              <w:t>分</w:t>
            </w:r>
          </w:p>
          <w:p w14:paraId="1B7FE7FF">
            <w:pPr>
              <w:pStyle w:val="44"/>
              <w:jc w:val="left"/>
              <w:rPr>
                <w:color w:val="auto"/>
              </w:rPr>
            </w:pPr>
            <w:r>
              <w:rPr>
                <w:color w:val="auto"/>
              </w:rPr>
              <w:t>3</w:t>
            </w:r>
            <w:r>
              <w:rPr>
                <w:rFonts w:hint="eastAsia"/>
                <w:color w:val="auto"/>
              </w:rPr>
              <w:t>）移动模架拆除未按方式对称进行，扣</w:t>
            </w:r>
            <w:r>
              <w:rPr>
                <w:color w:val="auto"/>
              </w:rPr>
              <w:t>10</w:t>
            </w:r>
            <w:r>
              <w:rPr>
                <w:rFonts w:hint="eastAsia"/>
                <w:color w:val="auto"/>
              </w:rPr>
              <w:t>分</w:t>
            </w:r>
          </w:p>
          <w:p w14:paraId="4605B864">
            <w:pPr>
              <w:pStyle w:val="44"/>
              <w:jc w:val="left"/>
              <w:rPr>
                <w:color w:val="auto"/>
              </w:rPr>
            </w:pPr>
            <w:r>
              <w:rPr>
                <w:color w:val="auto"/>
              </w:rPr>
              <w:t>4</w:t>
            </w:r>
            <w:r>
              <w:rPr>
                <w:rFonts w:hint="eastAsia"/>
                <w:color w:val="auto"/>
              </w:rPr>
              <w:t>）拆除主梁等连接设备前，未采取增设缆风绳、临时支撑等措施，扣</w:t>
            </w:r>
            <w:r>
              <w:rPr>
                <w:color w:val="auto"/>
              </w:rPr>
              <w:t>5</w:t>
            </w:r>
            <w:r>
              <w:rPr>
                <w:rFonts w:hint="eastAsia"/>
                <w:color w:val="auto"/>
              </w:rPr>
              <w:t>分</w:t>
            </w:r>
          </w:p>
          <w:p w14:paraId="4F644B5F">
            <w:pPr>
              <w:pStyle w:val="44"/>
              <w:jc w:val="left"/>
              <w:rPr>
                <w:color w:val="auto"/>
              </w:rPr>
            </w:pPr>
            <w:r>
              <w:rPr>
                <w:color w:val="auto"/>
              </w:rPr>
              <w:t>5</w:t>
            </w:r>
            <w:r>
              <w:rPr>
                <w:rFonts w:hint="eastAsia"/>
                <w:color w:val="auto"/>
              </w:rPr>
              <w:t>）拆下的构件堆放不稳定，扣</w:t>
            </w:r>
            <w:r>
              <w:rPr>
                <w:color w:val="auto"/>
              </w:rPr>
              <w:t>10</w:t>
            </w:r>
            <w:r>
              <w:rPr>
                <w:rFonts w:hint="eastAsia"/>
                <w:color w:val="auto"/>
              </w:rPr>
              <w:t>分</w:t>
            </w:r>
          </w:p>
        </w:tc>
        <w:tc>
          <w:tcPr>
            <w:tcW w:w="720" w:type="dxa"/>
            <w:vAlign w:val="center"/>
          </w:tcPr>
          <w:p w14:paraId="362498DB">
            <w:pPr>
              <w:pStyle w:val="44"/>
              <w:rPr>
                <w:color w:val="auto"/>
              </w:rPr>
            </w:pPr>
            <w:r>
              <w:rPr>
                <w:color w:val="auto"/>
              </w:rPr>
              <w:t>10</w:t>
            </w:r>
          </w:p>
        </w:tc>
        <w:tc>
          <w:tcPr>
            <w:tcW w:w="720" w:type="dxa"/>
            <w:vAlign w:val="center"/>
          </w:tcPr>
          <w:p w14:paraId="67B35AA2">
            <w:pPr>
              <w:pStyle w:val="44"/>
              <w:rPr>
                <w:color w:val="auto"/>
              </w:rPr>
            </w:pPr>
          </w:p>
        </w:tc>
        <w:tc>
          <w:tcPr>
            <w:tcW w:w="720" w:type="dxa"/>
            <w:vAlign w:val="center"/>
          </w:tcPr>
          <w:p w14:paraId="4B10346B">
            <w:pPr>
              <w:pStyle w:val="44"/>
              <w:rPr>
                <w:color w:val="auto"/>
              </w:rPr>
            </w:pPr>
          </w:p>
        </w:tc>
      </w:tr>
      <w:tr w14:paraId="5F5F2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35B3E1A7">
            <w:pPr>
              <w:pStyle w:val="44"/>
              <w:rPr>
                <w:color w:val="auto"/>
              </w:rPr>
            </w:pPr>
          </w:p>
        </w:tc>
        <w:tc>
          <w:tcPr>
            <w:tcW w:w="543" w:type="dxa"/>
            <w:vMerge w:val="continue"/>
          </w:tcPr>
          <w:p w14:paraId="3C3795F3">
            <w:pPr>
              <w:pStyle w:val="44"/>
              <w:rPr>
                <w:color w:val="auto"/>
              </w:rPr>
            </w:pPr>
          </w:p>
        </w:tc>
        <w:tc>
          <w:tcPr>
            <w:tcW w:w="6478" w:type="dxa"/>
            <w:gridSpan w:val="2"/>
            <w:vAlign w:val="center"/>
          </w:tcPr>
          <w:p w14:paraId="481A05A5">
            <w:pPr>
              <w:pStyle w:val="44"/>
              <w:rPr>
                <w:b/>
                <w:bCs w:val="0"/>
                <w:color w:val="auto"/>
              </w:rPr>
            </w:pPr>
            <w:r>
              <w:rPr>
                <w:rFonts w:hint="eastAsia"/>
                <w:b/>
                <w:bCs w:val="0"/>
                <w:color w:val="auto"/>
              </w:rPr>
              <w:t>小</w:t>
            </w:r>
            <w:r>
              <w:rPr>
                <w:b/>
                <w:bCs w:val="0"/>
                <w:color w:val="auto"/>
              </w:rPr>
              <w:t xml:space="preserve">  </w:t>
            </w:r>
            <w:r>
              <w:rPr>
                <w:rFonts w:hint="eastAsia"/>
                <w:b/>
                <w:bCs w:val="0"/>
                <w:color w:val="auto"/>
              </w:rPr>
              <w:t>计</w:t>
            </w:r>
          </w:p>
        </w:tc>
        <w:tc>
          <w:tcPr>
            <w:tcW w:w="720" w:type="dxa"/>
            <w:vAlign w:val="center"/>
          </w:tcPr>
          <w:p w14:paraId="2BD4D524">
            <w:pPr>
              <w:pStyle w:val="44"/>
              <w:rPr>
                <w:color w:val="auto"/>
              </w:rPr>
            </w:pPr>
            <w:r>
              <w:rPr>
                <w:color w:val="auto"/>
              </w:rPr>
              <w:t>30</w:t>
            </w:r>
          </w:p>
        </w:tc>
        <w:tc>
          <w:tcPr>
            <w:tcW w:w="720" w:type="dxa"/>
            <w:vAlign w:val="center"/>
          </w:tcPr>
          <w:p w14:paraId="1592D2C8">
            <w:pPr>
              <w:pStyle w:val="44"/>
              <w:rPr>
                <w:color w:val="auto"/>
              </w:rPr>
            </w:pPr>
          </w:p>
        </w:tc>
        <w:tc>
          <w:tcPr>
            <w:tcW w:w="720" w:type="dxa"/>
            <w:vAlign w:val="center"/>
          </w:tcPr>
          <w:p w14:paraId="547A64D3">
            <w:pPr>
              <w:pStyle w:val="44"/>
              <w:rPr>
                <w:color w:val="auto"/>
              </w:rPr>
            </w:pPr>
          </w:p>
        </w:tc>
      </w:tr>
      <w:tr w14:paraId="6294A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560" w:type="dxa"/>
            <w:gridSpan w:val="4"/>
            <w:vAlign w:val="center"/>
          </w:tcPr>
          <w:p w14:paraId="7C3339CF">
            <w:pPr>
              <w:pStyle w:val="44"/>
              <w:rPr>
                <w:b/>
                <w:bCs w:val="0"/>
                <w:color w:val="auto"/>
              </w:rPr>
            </w:pPr>
            <w:r>
              <w:rPr>
                <w:rFonts w:hint="eastAsia"/>
                <w:b/>
                <w:bCs w:val="0"/>
                <w:color w:val="auto"/>
              </w:rPr>
              <w:t>检查项目合计</w:t>
            </w:r>
          </w:p>
        </w:tc>
        <w:tc>
          <w:tcPr>
            <w:tcW w:w="720" w:type="dxa"/>
            <w:vAlign w:val="center"/>
          </w:tcPr>
          <w:p w14:paraId="31AA5626">
            <w:pPr>
              <w:pStyle w:val="44"/>
              <w:rPr>
                <w:color w:val="auto"/>
              </w:rPr>
            </w:pPr>
            <w:r>
              <w:rPr>
                <w:color w:val="auto"/>
              </w:rPr>
              <w:t>100</w:t>
            </w:r>
          </w:p>
        </w:tc>
        <w:tc>
          <w:tcPr>
            <w:tcW w:w="720" w:type="dxa"/>
            <w:vAlign w:val="center"/>
          </w:tcPr>
          <w:p w14:paraId="0284BC60">
            <w:pPr>
              <w:pStyle w:val="44"/>
              <w:rPr>
                <w:color w:val="auto"/>
              </w:rPr>
            </w:pPr>
          </w:p>
        </w:tc>
        <w:tc>
          <w:tcPr>
            <w:tcW w:w="720" w:type="dxa"/>
            <w:vAlign w:val="center"/>
          </w:tcPr>
          <w:p w14:paraId="3CBBFE6A">
            <w:pPr>
              <w:pStyle w:val="44"/>
              <w:rPr>
                <w:color w:val="auto"/>
              </w:rPr>
            </w:pPr>
          </w:p>
        </w:tc>
      </w:tr>
    </w:tbl>
    <w:p w14:paraId="031AC1C1"/>
    <w:p w14:paraId="4048878D">
      <w:pPr>
        <w:pStyle w:val="5"/>
      </w:pPr>
      <w:r>
        <w:rPr>
          <w:rFonts w:hint="eastAsia"/>
        </w:rPr>
        <w:br w:type="page"/>
      </w:r>
      <w:bookmarkStart w:id="64" w:name="_Toc22448"/>
      <w:bookmarkStart w:id="65" w:name="_Toc8724"/>
      <w:bookmarkStart w:id="66" w:name="_Toc17254"/>
      <w:r>
        <w:rPr>
          <w:rFonts w:hint="eastAsia"/>
        </w:rPr>
        <w:t>表B.1</w:t>
      </w:r>
      <w:r>
        <w:t>9</w:t>
      </w:r>
      <w:r>
        <w:rPr>
          <w:rFonts w:hint="eastAsia"/>
        </w:rPr>
        <w:t xml:space="preserve">  悬臂施工挂篮检查</w:t>
      </w:r>
      <w:r>
        <w:t>评分表</w:t>
      </w:r>
      <w:bookmarkEnd w:id="64"/>
      <w:bookmarkEnd w:id="65"/>
      <w:bookmarkEnd w:id="66"/>
    </w:p>
    <w:tbl>
      <w:tblPr>
        <w:tblStyle w:val="19"/>
        <w:tblpPr w:leftFromText="180" w:rightFromText="180" w:vertAnchor="text" w:horzAnchor="page" w:tblpX="1150" w:tblpY="631"/>
        <w:tblOverlap w:val="never"/>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428B3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trPr>
        <w:tc>
          <w:tcPr>
            <w:tcW w:w="539" w:type="dxa"/>
            <w:vAlign w:val="center"/>
          </w:tcPr>
          <w:p w14:paraId="4B333DB6">
            <w:pPr>
              <w:pStyle w:val="44"/>
              <w:rPr>
                <w:color w:val="auto"/>
              </w:rPr>
            </w:pPr>
            <w:r>
              <w:rPr>
                <w:rFonts w:hint="eastAsia"/>
                <w:color w:val="auto"/>
              </w:rPr>
              <w:t>序号</w:t>
            </w:r>
          </w:p>
        </w:tc>
        <w:tc>
          <w:tcPr>
            <w:tcW w:w="1441" w:type="dxa"/>
            <w:gridSpan w:val="2"/>
            <w:vAlign w:val="center"/>
          </w:tcPr>
          <w:p w14:paraId="478539CF">
            <w:pPr>
              <w:pStyle w:val="44"/>
              <w:rPr>
                <w:color w:val="auto"/>
              </w:rPr>
            </w:pPr>
            <w:r>
              <w:rPr>
                <w:rFonts w:hint="eastAsia"/>
                <w:color w:val="auto"/>
              </w:rPr>
              <w:t>检查项目</w:t>
            </w:r>
          </w:p>
        </w:tc>
        <w:tc>
          <w:tcPr>
            <w:tcW w:w="5580" w:type="dxa"/>
            <w:vAlign w:val="center"/>
          </w:tcPr>
          <w:p w14:paraId="426BDF46">
            <w:pPr>
              <w:pStyle w:val="44"/>
              <w:rPr>
                <w:color w:val="auto"/>
              </w:rPr>
            </w:pPr>
            <w:r>
              <w:rPr>
                <w:rFonts w:hint="eastAsia"/>
                <w:color w:val="auto"/>
              </w:rPr>
              <w:t>扣</w:t>
            </w:r>
            <w:r>
              <w:rPr>
                <w:color w:val="auto"/>
              </w:rPr>
              <w:t xml:space="preserve"> </w:t>
            </w:r>
            <w:r>
              <w:rPr>
                <w:rFonts w:hint="eastAsia"/>
                <w:color w:val="auto"/>
              </w:rPr>
              <w:t>分</w:t>
            </w:r>
            <w:r>
              <w:rPr>
                <w:color w:val="auto"/>
              </w:rPr>
              <w:t xml:space="preserve"> </w:t>
            </w:r>
            <w:r>
              <w:rPr>
                <w:rFonts w:hint="eastAsia"/>
                <w:color w:val="auto"/>
              </w:rPr>
              <w:t>标</w:t>
            </w:r>
            <w:r>
              <w:rPr>
                <w:color w:val="auto"/>
              </w:rPr>
              <w:t xml:space="preserve"> </w:t>
            </w:r>
            <w:r>
              <w:rPr>
                <w:rFonts w:hint="eastAsia"/>
                <w:color w:val="auto"/>
              </w:rPr>
              <w:t>准</w:t>
            </w:r>
          </w:p>
        </w:tc>
        <w:tc>
          <w:tcPr>
            <w:tcW w:w="720" w:type="dxa"/>
            <w:vAlign w:val="center"/>
          </w:tcPr>
          <w:p w14:paraId="4CAB20CA">
            <w:pPr>
              <w:pStyle w:val="44"/>
              <w:rPr>
                <w:color w:val="auto"/>
              </w:rPr>
            </w:pPr>
            <w:r>
              <w:rPr>
                <w:rFonts w:hint="eastAsia"/>
                <w:color w:val="auto"/>
              </w:rPr>
              <w:t>应得</w:t>
            </w:r>
          </w:p>
          <w:p w14:paraId="714334AA">
            <w:pPr>
              <w:pStyle w:val="44"/>
              <w:rPr>
                <w:color w:val="auto"/>
              </w:rPr>
            </w:pPr>
            <w:r>
              <w:rPr>
                <w:rFonts w:hint="eastAsia"/>
                <w:color w:val="auto"/>
              </w:rPr>
              <w:t>分数</w:t>
            </w:r>
          </w:p>
        </w:tc>
        <w:tc>
          <w:tcPr>
            <w:tcW w:w="720" w:type="dxa"/>
            <w:vAlign w:val="center"/>
          </w:tcPr>
          <w:p w14:paraId="7C453F7B">
            <w:pPr>
              <w:pStyle w:val="44"/>
              <w:rPr>
                <w:color w:val="auto"/>
              </w:rPr>
            </w:pPr>
            <w:r>
              <w:rPr>
                <w:rFonts w:hint="eastAsia"/>
                <w:color w:val="auto"/>
              </w:rPr>
              <w:t>扣减</w:t>
            </w:r>
          </w:p>
          <w:p w14:paraId="00956A2A">
            <w:pPr>
              <w:pStyle w:val="44"/>
              <w:rPr>
                <w:color w:val="auto"/>
              </w:rPr>
            </w:pPr>
            <w:r>
              <w:rPr>
                <w:rFonts w:hint="eastAsia"/>
                <w:color w:val="auto"/>
              </w:rPr>
              <w:t>分数</w:t>
            </w:r>
          </w:p>
        </w:tc>
        <w:tc>
          <w:tcPr>
            <w:tcW w:w="720" w:type="dxa"/>
            <w:vAlign w:val="center"/>
          </w:tcPr>
          <w:p w14:paraId="1731074C">
            <w:pPr>
              <w:pStyle w:val="44"/>
              <w:rPr>
                <w:color w:val="auto"/>
              </w:rPr>
            </w:pPr>
            <w:r>
              <w:rPr>
                <w:rFonts w:hint="eastAsia"/>
                <w:color w:val="auto"/>
              </w:rPr>
              <w:t>实得</w:t>
            </w:r>
          </w:p>
          <w:p w14:paraId="3466BBD0">
            <w:pPr>
              <w:pStyle w:val="44"/>
              <w:rPr>
                <w:color w:val="auto"/>
              </w:rPr>
            </w:pPr>
            <w:r>
              <w:rPr>
                <w:rFonts w:hint="eastAsia"/>
                <w:color w:val="auto"/>
              </w:rPr>
              <w:t>分数</w:t>
            </w:r>
          </w:p>
        </w:tc>
      </w:tr>
      <w:tr w14:paraId="3A11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trPr>
        <w:tc>
          <w:tcPr>
            <w:tcW w:w="539" w:type="dxa"/>
            <w:vAlign w:val="center"/>
          </w:tcPr>
          <w:p w14:paraId="4C75E731">
            <w:pPr>
              <w:pStyle w:val="44"/>
              <w:rPr>
                <w:color w:val="auto"/>
              </w:rPr>
            </w:pPr>
            <w:r>
              <w:rPr>
                <w:color w:val="auto"/>
              </w:rPr>
              <w:t>1</w:t>
            </w:r>
          </w:p>
        </w:tc>
        <w:tc>
          <w:tcPr>
            <w:tcW w:w="543" w:type="dxa"/>
            <w:vMerge w:val="restart"/>
            <w:vAlign w:val="center"/>
          </w:tcPr>
          <w:p w14:paraId="66F48B3D">
            <w:pPr>
              <w:pStyle w:val="44"/>
              <w:rPr>
                <w:color w:val="auto"/>
              </w:rPr>
            </w:pPr>
            <w:r>
              <w:rPr>
                <w:rFonts w:hint="eastAsia"/>
                <w:color w:val="auto"/>
              </w:rPr>
              <w:t>保</w:t>
            </w:r>
          </w:p>
          <w:p w14:paraId="382E0B2B">
            <w:pPr>
              <w:pStyle w:val="44"/>
              <w:rPr>
                <w:color w:val="auto"/>
              </w:rPr>
            </w:pPr>
            <w:r>
              <w:rPr>
                <w:rFonts w:hint="eastAsia"/>
                <w:color w:val="auto"/>
              </w:rPr>
              <w:t>证</w:t>
            </w:r>
          </w:p>
          <w:p w14:paraId="4F4A2855">
            <w:pPr>
              <w:pStyle w:val="44"/>
              <w:rPr>
                <w:color w:val="auto"/>
              </w:rPr>
            </w:pPr>
            <w:r>
              <w:rPr>
                <w:rFonts w:hint="eastAsia"/>
                <w:color w:val="auto"/>
              </w:rPr>
              <w:t>项</w:t>
            </w:r>
          </w:p>
          <w:p w14:paraId="35B80B30">
            <w:pPr>
              <w:pStyle w:val="44"/>
              <w:rPr>
                <w:color w:val="auto"/>
              </w:rPr>
            </w:pPr>
            <w:r>
              <w:rPr>
                <w:rFonts w:hint="eastAsia"/>
                <w:color w:val="auto"/>
              </w:rPr>
              <w:t>目</w:t>
            </w:r>
          </w:p>
        </w:tc>
        <w:tc>
          <w:tcPr>
            <w:tcW w:w="898" w:type="dxa"/>
            <w:textDirection w:val="tbRlV"/>
            <w:vAlign w:val="center"/>
          </w:tcPr>
          <w:p w14:paraId="64D195AB">
            <w:pPr>
              <w:pStyle w:val="44"/>
              <w:ind w:left="113" w:right="113"/>
              <w:rPr>
                <w:color w:val="auto"/>
                <w:spacing w:val="73"/>
                <w:sz w:val="22"/>
                <w:szCs w:val="22"/>
              </w:rPr>
            </w:pPr>
            <w:r>
              <w:rPr>
                <w:rFonts w:hint="eastAsia"/>
                <w:color w:val="auto"/>
                <w:spacing w:val="27"/>
                <w:kern w:val="0"/>
                <w:sz w:val="22"/>
                <w:szCs w:val="22"/>
                <w:fitText w:val="1320" w:id="-2072795903"/>
              </w:rPr>
              <w:t>方案与交</w:t>
            </w:r>
            <w:r>
              <w:rPr>
                <w:rFonts w:hint="eastAsia"/>
                <w:color w:val="auto"/>
                <w:spacing w:val="2"/>
                <w:kern w:val="0"/>
                <w:sz w:val="22"/>
                <w:szCs w:val="22"/>
                <w:fitText w:val="1320" w:id="-2072795903"/>
              </w:rPr>
              <w:t>底</w:t>
            </w:r>
          </w:p>
        </w:tc>
        <w:tc>
          <w:tcPr>
            <w:tcW w:w="5580" w:type="dxa"/>
            <w:vAlign w:val="center"/>
          </w:tcPr>
          <w:p w14:paraId="3A0E5366">
            <w:pPr>
              <w:pStyle w:val="44"/>
              <w:jc w:val="left"/>
              <w:rPr>
                <w:color w:val="auto"/>
              </w:rPr>
            </w:pPr>
            <w:r>
              <w:rPr>
                <w:color w:val="auto"/>
              </w:rPr>
              <w:t>1</w:t>
            </w:r>
            <w:r>
              <w:rPr>
                <w:rFonts w:hint="eastAsia"/>
                <w:color w:val="auto"/>
              </w:rPr>
              <w:t>）未按规定编制专项施工方案，扣</w:t>
            </w:r>
            <w:r>
              <w:rPr>
                <w:color w:val="auto"/>
              </w:rPr>
              <w:t>10</w:t>
            </w:r>
            <w:r>
              <w:rPr>
                <w:rFonts w:hint="eastAsia"/>
                <w:color w:val="auto"/>
              </w:rPr>
              <w:t>分</w:t>
            </w:r>
          </w:p>
          <w:p w14:paraId="634BF306">
            <w:pPr>
              <w:pStyle w:val="44"/>
              <w:jc w:val="left"/>
              <w:rPr>
                <w:color w:val="auto"/>
              </w:rPr>
            </w:pPr>
            <w:r>
              <w:rPr>
                <w:color w:val="auto"/>
              </w:rPr>
              <w:t>2</w:t>
            </w:r>
            <w:r>
              <w:rPr>
                <w:rFonts w:hint="eastAsia"/>
                <w:color w:val="auto"/>
              </w:rPr>
              <w:t>）未编制设计文件，扣</w:t>
            </w:r>
            <w:r>
              <w:rPr>
                <w:color w:val="auto"/>
              </w:rPr>
              <w:t>10</w:t>
            </w:r>
            <w:r>
              <w:rPr>
                <w:rFonts w:hint="eastAsia"/>
                <w:color w:val="auto"/>
              </w:rPr>
              <w:t>分</w:t>
            </w:r>
          </w:p>
          <w:p w14:paraId="55438C88">
            <w:pPr>
              <w:pStyle w:val="44"/>
              <w:jc w:val="left"/>
              <w:rPr>
                <w:color w:val="auto"/>
              </w:rPr>
            </w:pPr>
            <w:r>
              <w:rPr>
                <w:color w:val="auto"/>
              </w:rPr>
              <w:t>3</w:t>
            </w:r>
            <w:r>
              <w:rPr>
                <w:rFonts w:hint="eastAsia"/>
                <w:color w:val="auto"/>
              </w:rPr>
              <w:t>）未对挂篮结构、构件和附属设施进行设计计算，扣</w:t>
            </w:r>
            <w:r>
              <w:rPr>
                <w:color w:val="auto"/>
              </w:rPr>
              <w:t>10</w:t>
            </w:r>
            <w:r>
              <w:rPr>
                <w:rFonts w:hint="eastAsia"/>
                <w:color w:val="auto"/>
              </w:rPr>
              <w:t>分</w:t>
            </w:r>
          </w:p>
          <w:p w14:paraId="12EF5480">
            <w:pPr>
              <w:pStyle w:val="44"/>
              <w:jc w:val="left"/>
              <w:rPr>
                <w:color w:val="auto"/>
              </w:rPr>
            </w:pPr>
            <w:r>
              <w:rPr>
                <w:color w:val="auto"/>
              </w:rPr>
              <w:t>4</w:t>
            </w:r>
            <w:r>
              <w:rPr>
                <w:rFonts w:hint="eastAsia"/>
                <w:color w:val="auto"/>
              </w:rPr>
              <w:t>）设计文件中图纸或计算书不齐全，扣</w:t>
            </w:r>
            <w:r>
              <w:rPr>
                <w:color w:val="auto"/>
              </w:rPr>
              <w:t>2-10</w:t>
            </w:r>
            <w:r>
              <w:rPr>
                <w:rFonts w:hint="eastAsia"/>
                <w:color w:val="auto"/>
              </w:rPr>
              <w:t>分</w:t>
            </w:r>
          </w:p>
          <w:p w14:paraId="1AF0AD2D">
            <w:pPr>
              <w:pStyle w:val="44"/>
              <w:jc w:val="left"/>
              <w:rPr>
                <w:color w:val="auto"/>
              </w:rPr>
            </w:pPr>
            <w:r>
              <w:rPr>
                <w:color w:val="auto"/>
              </w:rPr>
              <w:t>5</w:t>
            </w:r>
            <w:r>
              <w:rPr>
                <w:rFonts w:hint="eastAsia"/>
                <w:color w:val="auto"/>
              </w:rPr>
              <w:t>）专项施工方案未按规定进行审核、审批，扣</w:t>
            </w:r>
            <w:r>
              <w:rPr>
                <w:color w:val="auto"/>
              </w:rPr>
              <w:t>10</w:t>
            </w:r>
            <w:r>
              <w:rPr>
                <w:rFonts w:hint="eastAsia"/>
                <w:color w:val="auto"/>
              </w:rPr>
              <w:t>分</w:t>
            </w:r>
          </w:p>
          <w:p w14:paraId="2AC553CF">
            <w:pPr>
              <w:pStyle w:val="44"/>
              <w:jc w:val="left"/>
              <w:rPr>
                <w:color w:val="auto"/>
              </w:rPr>
            </w:pPr>
            <w:r>
              <w:rPr>
                <w:color w:val="auto"/>
              </w:rPr>
              <w:t>6</w:t>
            </w:r>
            <w:r>
              <w:rPr>
                <w:rFonts w:hint="eastAsia"/>
                <w:color w:val="auto"/>
              </w:rPr>
              <w:t>）专项施工方案未按规定组织专家论证，扣</w:t>
            </w:r>
            <w:r>
              <w:rPr>
                <w:color w:val="auto"/>
              </w:rPr>
              <w:t>10</w:t>
            </w:r>
            <w:r>
              <w:rPr>
                <w:rFonts w:hint="eastAsia"/>
                <w:color w:val="auto"/>
              </w:rPr>
              <w:t>分</w:t>
            </w:r>
          </w:p>
          <w:p w14:paraId="27908E0E">
            <w:pPr>
              <w:pStyle w:val="44"/>
              <w:jc w:val="left"/>
              <w:rPr>
                <w:color w:val="auto"/>
              </w:rPr>
            </w:pPr>
            <w:r>
              <w:rPr>
                <w:color w:val="auto"/>
              </w:rPr>
              <w:t>7</w:t>
            </w:r>
            <w:r>
              <w:rPr>
                <w:rFonts w:hint="eastAsia"/>
                <w:color w:val="auto"/>
              </w:rPr>
              <w:t>）专项施工方案实施前，未进行安全技术交底，扣</w:t>
            </w:r>
            <w:r>
              <w:rPr>
                <w:color w:val="auto"/>
              </w:rPr>
              <w:t>10</w:t>
            </w:r>
            <w:r>
              <w:rPr>
                <w:rFonts w:hint="eastAsia"/>
                <w:color w:val="auto"/>
              </w:rPr>
              <w:t>分；交底无针对性或无文字记录，扣</w:t>
            </w:r>
            <w:r>
              <w:rPr>
                <w:color w:val="auto"/>
              </w:rPr>
              <w:t>2-5</w:t>
            </w:r>
            <w:r>
              <w:rPr>
                <w:rFonts w:hint="eastAsia"/>
                <w:color w:val="auto"/>
              </w:rPr>
              <w:t>分</w:t>
            </w:r>
          </w:p>
        </w:tc>
        <w:tc>
          <w:tcPr>
            <w:tcW w:w="720" w:type="dxa"/>
            <w:vAlign w:val="center"/>
          </w:tcPr>
          <w:p w14:paraId="1A69D279">
            <w:pPr>
              <w:pStyle w:val="44"/>
              <w:rPr>
                <w:color w:val="auto"/>
              </w:rPr>
            </w:pPr>
            <w:r>
              <w:rPr>
                <w:color w:val="auto"/>
              </w:rPr>
              <w:t>10</w:t>
            </w:r>
          </w:p>
        </w:tc>
        <w:tc>
          <w:tcPr>
            <w:tcW w:w="720" w:type="dxa"/>
            <w:vAlign w:val="center"/>
          </w:tcPr>
          <w:p w14:paraId="4195EEC7">
            <w:pPr>
              <w:pStyle w:val="44"/>
              <w:rPr>
                <w:color w:val="auto"/>
              </w:rPr>
            </w:pPr>
          </w:p>
        </w:tc>
        <w:tc>
          <w:tcPr>
            <w:tcW w:w="720" w:type="dxa"/>
            <w:vAlign w:val="center"/>
          </w:tcPr>
          <w:p w14:paraId="52013361">
            <w:pPr>
              <w:pStyle w:val="44"/>
              <w:rPr>
                <w:color w:val="auto"/>
              </w:rPr>
            </w:pPr>
          </w:p>
        </w:tc>
      </w:tr>
      <w:tr w14:paraId="394F2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134" w:hRule="atLeast"/>
        </w:trPr>
        <w:tc>
          <w:tcPr>
            <w:tcW w:w="539" w:type="dxa"/>
            <w:vAlign w:val="center"/>
          </w:tcPr>
          <w:p w14:paraId="5B0A352B">
            <w:pPr>
              <w:pStyle w:val="44"/>
              <w:rPr>
                <w:color w:val="auto"/>
              </w:rPr>
            </w:pPr>
            <w:r>
              <w:rPr>
                <w:color w:val="auto"/>
              </w:rPr>
              <w:t>2</w:t>
            </w:r>
          </w:p>
        </w:tc>
        <w:tc>
          <w:tcPr>
            <w:tcW w:w="543" w:type="dxa"/>
            <w:vMerge w:val="continue"/>
          </w:tcPr>
          <w:p w14:paraId="7088C250">
            <w:pPr>
              <w:pStyle w:val="44"/>
              <w:rPr>
                <w:color w:val="auto"/>
              </w:rPr>
            </w:pPr>
          </w:p>
        </w:tc>
        <w:tc>
          <w:tcPr>
            <w:tcW w:w="898" w:type="dxa"/>
            <w:textDirection w:val="tbRlV"/>
            <w:vAlign w:val="center"/>
          </w:tcPr>
          <w:p w14:paraId="124DF954">
            <w:pPr>
              <w:pStyle w:val="44"/>
              <w:ind w:left="113" w:right="113"/>
              <w:rPr>
                <w:color w:val="auto"/>
                <w:spacing w:val="73"/>
                <w:sz w:val="22"/>
                <w:szCs w:val="22"/>
              </w:rPr>
            </w:pPr>
            <w:r>
              <w:rPr>
                <w:rFonts w:hint="eastAsia"/>
                <w:color w:val="auto"/>
                <w:spacing w:val="27"/>
                <w:kern w:val="0"/>
                <w:sz w:val="22"/>
                <w:szCs w:val="22"/>
                <w:fitText w:val="1320" w:id="-2072795903"/>
              </w:rPr>
              <w:t>构配件材</w:t>
            </w:r>
            <w:r>
              <w:rPr>
                <w:rFonts w:hint="eastAsia"/>
                <w:color w:val="auto"/>
                <w:spacing w:val="2"/>
                <w:kern w:val="0"/>
                <w:sz w:val="22"/>
                <w:szCs w:val="22"/>
                <w:fitText w:val="1320" w:id="-2072795903"/>
              </w:rPr>
              <w:t>质</w:t>
            </w:r>
          </w:p>
        </w:tc>
        <w:tc>
          <w:tcPr>
            <w:tcW w:w="5580" w:type="dxa"/>
            <w:vAlign w:val="center"/>
          </w:tcPr>
          <w:p w14:paraId="7B1E8AF7">
            <w:pPr>
              <w:pStyle w:val="44"/>
              <w:jc w:val="left"/>
              <w:rPr>
                <w:color w:val="auto"/>
              </w:rPr>
            </w:pPr>
            <w:r>
              <w:rPr>
                <w:color w:val="auto"/>
              </w:rPr>
              <w:t>1</w:t>
            </w:r>
            <w:r>
              <w:rPr>
                <w:rFonts w:hint="eastAsia"/>
                <w:color w:val="auto"/>
              </w:rPr>
              <w:t>）挂篮所用的承重构配件和连接件无质量合格证、材质证明，扣</w:t>
            </w:r>
            <w:r>
              <w:rPr>
                <w:color w:val="auto"/>
              </w:rPr>
              <w:t>10</w:t>
            </w:r>
            <w:r>
              <w:rPr>
                <w:rFonts w:hint="eastAsia"/>
                <w:color w:val="auto"/>
              </w:rPr>
              <w:t>分</w:t>
            </w:r>
          </w:p>
          <w:p w14:paraId="08981ABC">
            <w:pPr>
              <w:pStyle w:val="44"/>
              <w:jc w:val="left"/>
              <w:rPr>
                <w:color w:val="auto"/>
              </w:rPr>
            </w:pPr>
            <w:r>
              <w:rPr>
                <w:color w:val="auto"/>
              </w:rPr>
              <w:t>2</w:t>
            </w:r>
            <w:r>
              <w:rPr>
                <w:rFonts w:hint="eastAsia"/>
                <w:color w:val="auto"/>
              </w:rPr>
              <w:t>）构配件品种、规格、型号、材质不符合专项施工方案和有关标准的要求，扣</w:t>
            </w:r>
            <w:r>
              <w:rPr>
                <w:color w:val="auto"/>
              </w:rPr>
              <w:t>5-10</w:t>
            </w:r>
            <w:r>
              <w:rPr>
                <w:rFonts w:hint="eastAsia"/>
                <w:color w:val="auto"/>
              </w:rPr>
              <w:t>分</w:t>
            </w:r>
          </w:p>
          <w:p w14:paraId="29E75351">
            <w:pPr>
              <w:pStyle w:val="44"/>
              <w:jc w:val="left"/>
              <w:rPr>
                <w:color w:val="auto"/>
              </w:rPr>
            </w:pPr>
            <w:r>
              <w:rPr>
                <w:color w:val="auto"/>
              </w:rPr>
              <w:t>3</w:t>
            </w:r>
            <w:r>
              <w:rPr>
                <w:rFonts w:hint="eastAsia"/>
                <w:color w:val="auto"/>
              </w:rPr>
              <w:t>）挂篮所采用的钢吊带或吊杆（含销轴）应无无损探伤检测记录，扣</w:t>
            </w:r>
            <w:r>
              <w:rPr>
                <w:color w:val="auto"/>
              </w:rPr>
              <w:t>5</w:t>
            </w:r>
            <w:r>
              <w:rPr>
                <w:rFonts w:hint="eastAsia"/>
                <w:color w:val="auto"/>
              </w:rPr>
              <w:t>分</w:t>
            </w:r>
          </w:p>
          <w:p w14:paraId="11402662">
            <w:pPr>
              <w:pStyle w:val="44"/>
              <w:jc w:val="left"/>
              <w:rPr>
                <w:color w:val="auto"/>
              </w:rPr>
            </w:pPr>
            <w:r>
              <w:rPr>
                <w:color w:val="auto"/>
              </w:rPr>
              <w:t>4</w:t>
            </w:r>
            <w:r>
              <w:rPr>
                <w:rFonts w:hint="eastAsia"/>
                <w:color w:val="auto"/>
              </w:rPr>
              <w:t>）挂篮所采用的液压或卷扬等装置无产品合格证，扣</w:t>
            </w:r>
            <w:r>
              <w:rPr>
                <w:color w:val="auto"/>
              </w:rPr>
              <w:t>5</w:t>
            </w:r>
            <w:r>
              <w:rPr>
                <w:rFonts w:hint="eastAsia"/>
                <w:color w:val="auto"/>
              </w:rPr>
              <w:t>分</w:t>
            </w:r>
          </w:p>
          <w:p w14:paraId="3D76F1E3">
            <w:pPr>
              <w:pStyle w:val="44"/>
              <w:jc w:val="left"/>
              <w:rPr>
                <w:color w:val="auto"/>
              </w:rPr>
            </w:pPr>
            <w:r>
              <w:rPr>
                <w:color w:val="auto"/>
              </w:rPr>
              <w:t>5</w:t>
            </w:r>
            <w:r>
              <w:rPr>
                <w:rFonts w:hint="eastAsia"/>
                <w:color w:val="auto"/>
              </w:rPr>
              <w:t>）主体结构构件、连接件有显著的变形、超标的挠度或严重锈蚀剥皮，扣</w:t>
            </w:r>
            <w:r>
              <w:rPr>
                <w:color w:val="auto"/>
              </w:rPr>
              <w:t>10</w:t>
            </w:r>
            <w:r>
              <w:rPr>
                <w:rFonts w:hint="eastAsia"/>
                <w:color w:val="auto"/>
              </w:rPr>
              <w:t>分</w:t>
            </w:r>
          </w:p>
        </w:tc>
        <w:tc>
          <w:tcPr>
            <w:tcW w:w="720" w:type="dxa"/>
            <w:vAlign w:val="center"/>
          </w:tcPr>
          <w:p w14:paraId="6ECA6324">
            <w:pPr>
              <w:pStyle w:val="44"/>
              <w:rPr>
                <w:color w:val="auto"/>
              </w:rPr>
            </w:pPr>
            <w:r>
              <w:rPr>
                <w:color w:val="auto"/>
              </w:rPr>
              <w:t>10</w:t>
            </w:r>
          </w:p>
        </w:tc>
        <w:tc>
          <w:tcPr>
            <w:tcW w:w="720" w:type="dxa"/>
            <w:vAlign w:val="center"/>
          </w:tcPr>
          <w:p w14:paraId="1051E49B">
            <w:pPr>
              <w:pStyle w:val="44"/>
              <w:rPr>
                <w:color w:val="auto"/>
              </w:rPr>
            </w:pPr>
          </w:p>
        </w:tc>
        <w:tc>
          <w:tcPr>
            <w:tcW w:w="720" w:type="dxa"/>
            <w:vAlign w:val="center"/>
          </w:tcPr>
          <w:p w14:paraId="7FB3161F">
            <w:pPr>
              <w:pStyle w:val="44"/>
              <w:rPr>
                <w:color w:val="auto"/>
              </w:rPr>
            </w:pPr>
          </w:p>
        </w:tc>
      </w:tr>
      <w:tr w14:paraId="1DB84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134" w:hRule="atLeast"/>
        </w:trPr>
        <w:tc>
          <w:tcPr>
            <w:tcW w:w="539" w:type="dxa"/>
            <w:vAlign w:val="center"/>
          </w:tcPr>
          <w:p w14:paraId="59DD993B">
            <w:pPr>
              <w:pStyle w:val="44"/>
              <w:rPr>
                <w:color w:val="auto"/>
              </w:rPr>
            </w:pPr>
            <w:r>
              <w:rPr>
                <w:color w:val="auto"/>
              </w:rPr>
              <w:t>3</w:t>
            </w:r>
          </w:p>
        </w:tc>
        <w:tc>
          <w:tcPr>
            <w:tcW w:w="543" w:type="dxa"/>
            <w:vMerge w:val="continue"/>
          </w:tcPr>
          <w:p w14:paraId="09DED28D">
            <w:pPr>
              <w:pStyle w:val="44"/>
              <w:rPr>
                <w:color w:val="auto"/>
              </w:rPr>
            </w:pPr>
          </w:p>
        </w:tc>
        <w:tc>
          <w:tcPr>
            <w:tcW w:w="898" w:type="dxa"/>
            <w:textDirection w:val="tbRlV"/>
            <w:vAlign w:val="center"/>
          </w:tcPr>
          <w:p w14:paraId="498796EE">
            <w:pPr>
              <w:pStyle w:val="44"/>
              <w:ind w:left="113" w:right="113"/>
              <w:rPr>
                <w:color w:val="auto"/>
                <w:spacing w:val="73"/>
                <w:sz w:val="22"/>
                <w:szCs w:val="22"/>
              </w:rPr>
            </w:pPr>
            <w:r>
              <w:rPr>
                <w:rFonts w:hint="eastAsia"/>
                <w:color w:val="auto"/>
                <w:spacing w:val="73"/>
                <w:kern w:val="0"/>
                <w:sz w:val="22"/>
                <w:szCs w:val="22"/>
                <w:fitText w:val="1320" w:id="-2072795903"/>
              </w:rPr>
              <w:t>加工制</w:t>
            </w:r>
            <w:r>
              <w:rPr>
                <w:rFonts w:hint="eastAsia"/>
                <w:color w:val="auto"/>
                <w:spacing w:val="1"/>
                <w:kern w:val="0"/>
                <w:sz w:val="22"/>
                <w:szCs w:val="22"/>
                <w:fitText w:val="1320" w:id="-2072795903"/>
              </w:rPr>
              <w:t>作</w:t>
            </w:r>
          </w:p>
        </w:tc>
        <w:tc>
          <w:tcPr>
            <w:tcW w:w="5580" w:type="dxa"/>
            <w:vAlign w:val="center"/>
          </w:tcPr>
          <w:p w14:paraId="3423D46E">
            <w:pPr>
              <w:pStyle w:val="44"/>
              <w:jc w:val="left"/>
              <w:rPr>
                <w:color w:val="auto"/>
              </w:rPr>
            </w:pPr>
            <w:r>
              <w:rPr>
                <w:color w:val="auto"/>
              </w:rPr>
              <w:t>1</w:t>
            </w:r>
            <w:r>
              <w:rPr>
                <w:rFonts w:hint="eastAsia"/>
                <w:color w:val="auto"/>
              </w:rPr>
              <w:t>）挂篮各部件加工完成后未进行试拼装，或无拼装记录扣</w:t>
            </w:r>
            <w:r>
              <w:rPr>
                <w:color w:val="auto"/>
              </w:rPr>
              <w:t>3</w:t>
            </w:r>
            <w:r>
              <w:rPr>
                <w:rFonts w:hint="eastAsia"/>
                <w:color w:val="auto"/>
              </w:rPr>
              <w:t>分</w:t>
            </w:r>
          </w:p>
          <w:p w14:paraId="10F8963D">
            <w:pPr>
              <w:pStyle w:val="44"/>
              <w:jc w:val="left"/>
              <w:rPr>
                <w:color w:val="auto"/>
              </w:rPr>
            </w:pPr>
            <w:r>
              <w:rPr>
                <w:color w:val="auto"/>
              </w:rPr>
              <w:t>2</w:t>
            </w:r>
            <w:r>
              <w:rPr>
                <w:rFonts w:hint="eastAsia"/>
                <w:color w:val="auto"/>
              </w:rPr>
              <w:t>）挂篮采用螺栓连接进行拼装时对螺栓孔进行切割扩孔，扣</w:t>
            </w:r>
            <w:r>
              <w:rPr>
                <w:color w:val="auto"/>
              </w:rPr>
              <w:t>5</w:t>
            </w:r>
            <w:r>
              <w:rPr>
                <w:rFonts w:hint="eastAsia"/>
                <w:color w:val="auto"/>
              </w:rPr>
              <w:t>分</w:t>
            </w:r>
          </w:p>
          <w:p w14:paraId="6163A701">
            <w:pPr>
              <w:pStyle w:val="44"/>
              <w:jc w:val="left"/>
              <w:rPr>
                <w:color w:val="auto"/>
              </w:rPr>
            </w:pPr>
            <w:r>
              <w:rPr>
                <w:color w:val="auto"/>
              </w:rPr>
              <w:t>3</w:t>
            </w:r>
            <w:r>
              <w:rPr>
                <w:rFonts w:hint="eastAsia"/>
                <w:color w:val="auto"/>
              </w:rPr>
              <w:t>）挂篮制作完成后未经厂家自检合格并出具合格证，扣</w:t>
            </w:r>
            <w:r>
              <w:rPr>
                <w:color w:val="auto"/>
              </w:rPr>
              <w:t>5</w:t>
            </w:r>
            <w:r>
              <w:rPr>
                <w:rFonts w:hint="eastAsia"/>
                <w:color w:val="auto"/>
              </w:rPr>
              <w:t>分</w:t>
            </w:r>
          </w:p>
          <w:p w14:paraId="124E8E7A">
            <w:pPr>
              <w:pStyle w:val="44"/>
              <w:jc w:val="left"/>
              <w:rPr>
                <w:color w:val="auto"/>
              </w:rPr>
            </w:pPr>
            <w:r>
              <w:rPr>
                <w:color w:val="auto"/>
              </w:rPr>
              <w:t>4</w:t>
            </w:r>
            <w:r>
              <w:rPr>
                <w:rFonts w:hint="eastAsia"/>
                <w:color w:val="auto"/>
              </w:rPr>
              <w:t>）挂篮焊接各部位焊缝有焊接缺陷，每处扣</w:t>
            </w:r>
            <w:r>
              <w:rPr>
                <w:color w:val="auto"/>
              </w:rPr>
              <w:t>2</w:t>
            </w:r>
            <w:r>
              <w:rPr>
                <w:rFonts w:hint="eastAsia"/>
                <w:color w:val="auto"/>
              </w:rPr>
              <w:t>分</w:t>
            </w:r>
          </w:p>
          <w:p w14:paraId="48D87178">
            <w:pPr>
              <w:pStyle w:val="44"/>
              <w:jc w:val="left"/>
              <w:rPr>
                <w:color w:val="auto"/>
              </w:rPr>
            </w:pPr>
            <w:r>
              <w:rPr>
                <w:color w:val="auto"/>
              </w:rPr>
              <w:t>5</w:t>
            </w:r>
            <w:r>
              <w:rPr>
                <w:rFonts w:hint="eastAsia"/>
                <w:color w:val="auto"/>
              </w:rPr>
              <w:t>）挂篮螺栓连接或销接连接不紧密、可靠，每处扣</w:t>
            </w:r>
            <w:r>
              <w:rPr>
                <w:color w:val="auto"/>
              </w:rPr>
              <w:t>2</w:t>
            </w:r>
            <w:r>
              <w:rPr>
                <w:rFonts w:hint="eastAsia"/>
                <w:color w:val="auto"/>
              </w:rPr>
              <w:t>分</w:t>
            </w:r>
          </w:p>
        </w:tc>
        <w:tc>
          <w:tcPr>
            <w:tcW w:w="720" w:type="dxa"/>
            <w:vAlign w:val="center"/>
          </w:tcPr>
          <w:p w14:paraId="44D0C4F3">
            <w:pPr>
              <w:pStyle w:val="44"/>
              <w:rPr>
                <w:color w:val="auto"/>
              </w:rPr>
            </w:pPr>
            <w:r>
              <w:rPr>
                <w:color w:val="auto"/>
              </w:rPr>
              <w:t>10</w:t>
            </w:r>
          </w:p>
        </w:tc>
        <w:tc>
          <w:tcPr>
            <w:tcW w:w="720" w:type="dxa"/>
            <w:vAlign w:val="center"/>
          </w:tcPr>
          <w:p w14:paraId="5A83E6DD">
            <w:pPr>
              <w:pStyle w:val="44"/>
              <w:rPr>
                <w:color w:val="auto"/>
              </w:rPr>
            </w:pPr>
          </w:p>
        </w:tc>
        <w:tc>
          <w:tcPr>
            <w:tcW w:w="720" w:type="dxa"/>
            <w:vAlign w:val="center"/>
          </w:tcPr>
          <w:p w14:paraId="0A2DD172">
            <w:pPr>
              <w:pStyle w:val="44"/>
              <w:rPr>
                <w:color w:val="auto"/>
              </w:rPr>
            </w:pPr>
          </w:p>
        </w:tc>
      </w:tr>
      <w:tr w14:paraId="255D3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134" w:hRule="atLeast"/>
        </w:trPr>
        <w:tc>
          <w:tcPr>
            <w:tcW w:w="539" w:type="dxa"/>
            <w:vAlign w:val="center"/>
          </w:tcPr>
          <w:p w14:paraId="15A7E6AB">
            <w:pPr>
              <w:pStyle w:val="44"/>
              <w:rPr>
                <w:color w:val="auto"/>
              </w:rPr>
            </w:pPr>
            <w:r>
              <w:rPr>
                <w:color w:val="auto"/>
              </w:rPr>
              <w:t>4</w:t>
            </w:r>
          </w:p>
        </w:tc>
        <w:tc>
          <w:tcPr>
            <w:tcW w:w="543" w:type="dxa"/>
            <w:vMerge w:val="continue"/>
          </w:tcPr>
          <w:p w14:paraId="6875C7F4">
            <w:pPr>
              <w:pStyle w:val="44"/>
              <w:rPr>
                <w:color w:val="auto"/>
              </w:rPr>
            </w:pPr>
          </w:p>
        </w:tc>
        <w:tc>
          <w:tcPr>
            <w:tcW w:w="898" w:type="dxa"/>
            <w:textDirection w:val="tbRlV"/>
            <w:vAlign w:val="center"/>
          </w:tcPr>
          <w:p w14:paraId="75C78EBC">
            <w:pPr>
              <w:pStyle w:val="44"/>
              <w:ind w:left="113" w:right="113"/>
              <w:rPr>
                <w:color w:val="auto"/>
                <w:sz w:val="22"/>
                <w:szCs w:val="22"/>
              </w:rPr>
            </w:pPr>
            <w:r>
              <w:rPr>
                <w:rFonts w:hint="eastAsia"/>
                <w:color w:val="auto"/>
                <w:spacing w:val="73"/>
                <w:kern w:val="0"/>
                <w:sz w:val="22"/>
                <w:szCs w:val="22"/>
                <w:fitText w:val="1320" w:id="-2072795903"/>
              </w:rPr>
              <w:t>挂篮结</w:t>
            </w:r>
            <w:r>
              <w:rPr>
                <w:rFonts w:hint="eastAsia"/>
                <w:color w:val="auto"/>
                <w:spacing w:val="1"/>
                <w:kern w:val="0"/>
                <w:sz w:val="22"/>
                <w:szCs w:val="22"/>
                <w:fitText w:val="1320" w:id="-2072795903"/>
              </w:rPr>
              <w:t>构</w:t>
            </w:r>
          </w:p>
        </w:tc>
        <w:tc>
          <w:tcPr>
            <w:tcW w:w="5580" w:type="dxa"/>
            <w:vAlign w:val="center"/>
          </w:tcPr>
          <w:p w14:paraId="6D77E8D0">
            <w:pPr>
              <w:pStyle w:val="44"/>
              <w:jc w:val="left"/>
              <w:rPr>
                <w:color w:val="auto"/>
              </w:rPr>
            </w:pPr>
            <w:r>
              <w:rPr>
                <w:color w:val="auto"/>
              </w:rPr>
              <w:t>1</w:t>
            </w:r>
            <w:r>
              <w:rPr>
                <w:rFonts w:hint="eastAsia"/>
                <w:color w:val="auto"/>
              </w:rPr>
              <w:t>）挂篮的总重量超出设计规定的限重范围，扣</w:t>
            </w:r>
            <w:r>
              <w:rPr>
                <w:color w:val="auto"/>
              </w:rPr>
              <w:t>5-8</w:t>
            </w:r>
            <w:r>
              <w:rPr>
                <w:rFonts w:hint="eastAsia"/>
                <w:color w:val="auto"/>
              </w:rPr>
              <w:t>分</w:t>
            </w:r>
          </w:p>
          <w:p w14:paraId="37A20F6E">
            <w:pPr>
              <w:pStyle w:val="44"/>
              <w:jc w:val="left"/>
              <w:rPr>
                <w:color w:val="auto"/>
              </w:rPr>
            </w:pPr>
            <w:r>
              <w:rPr>
                <w:color w:val="auto"/>
              </w:rPr>
              <w:t>2</w:t>
            </w:r>
            <w:r>
              <w:rPr>
                <w:rFonts w:hint="eastAsia"/>
                <w:color w:val="auto"/>
              </w:rPr>
              <w:t>）吊篮的主桁架间横联的设置不满足方案设计的规定，扣</w:t>
            </w:r>
            <w:r>
              <w:rPr>
                <w:color w:val="auto"/>
              </w:rPr>
              <w:t>5-10</w:t>
            </w:r>
            <w:r>
              <w:rPr>
                <w:rFonts w:hint="eastAsia"/>
                <w:color w:val="auto"/>
              </w:rPr>
              <w:t>分</w:t>
            </w:r>
          </w:p>
          <w:p w14:paraId="0C5DB864">
            <w:pPr>
              <w:pStyle w:val="44"/>
              <w:jc w:val="left"/>
              <w:rPr>
                <w:color w:val="auto"/>
              </w:rPr>
            </w:pPr>
            <w:r>
              <w:rPr>
                <w:color w:val="auto"/>
              </w:rPr>
              <w:t>3</w:t>
            </w:r>
            <w:r>
              <w:rPr>
                <w:rFonts w:hint="eastAsia"/>
                <w:color w:val="auto"/>
              </w:rPr>
              <w:t>）连续梁墩顶梁段采用挂篮进行悬浇施工时，未按设计规定设置墩梁临时固结装置，扣</w:t>
            </w:r>
            <w:r>
              <w:rPr>
                <w:color w:val="auto"/>
              </w:rPr>
              <w:t>10</w:t>
            </w:r>
            <w:r>
              <w:rPr>
                <w:rFonts w:hint="eastAsia"/>
                <w:color w:val="auto"/>
              </w:rPr>
              <w:t>分</w:t>
            </w:r>
          </w:p>
          <w:p w14:paraId="30EF74FB">
            <w:pPr>
              <w:pStyle w:val="44"/>
              <w:jc w:val="left"/>
              <w:rPr>
                <w:color w:val="auto"/>
              </w:rPr>
            </w:pPr>
            <w:r>
              <w:rPr>
                <w:color w:val="auto"/>
              </w:rPr>
              <w:t>4</w:t>
            </w:r>
            <w:r>
              <w:rPr>
                <w:rFonts w:hint="eastAsia"/>
                <w:color w:val="auto"/>
              </w:rPr>
              <w:t>）采用挂篮浇筑主梁</w:t>
            </w:r>
            <w:r>
              <w:rPr>
                <w:color w:val="auto"/>
              </w:rPr>
              <w:t>0</w:t>
            </w:r>
            <w:r>
              <w:rPr>
                <w:rFonts w:hint="eastAsia"/>
                <w:color w:val="auto"/>
              </w:rPr>
              <w:t>号段及相邻梁段浇筑施工时，采用的支架系统不牢固可靠或构造不合理，扣</w:t>
            </w:r>
            <w:r>
              <w:rPr>
                <w:color w:val="auto"/>
              </w:rPr>
              <w:t>10</w:t>
            </w:r>
            <w:r>
              <w:rPr>
                <w:rFonts w:hint="eastAsia"/>
                <w:color w:val="auto"/>
              </w:rPr>
              <w:t>分</w:t>
            </w:r>
          </w:p>
          <w:p w14:paraId="47BE1359">
            <w:pPr>
              <w:pStyle w:val="44"/>
              <w:jc w:val="left"/>
              <w:rPr>
                <w:color w:val="auto"/>
              </w:rPr>
            </w:pPr>
            <w:r>
              <w:rPr>
                <w:color w:val="auto"/>
              </w:rPr>
              <w:t>5</w:t>
            </w:r>
            <w:r>
              <w:rPr>
                <w:rFonts w:hint="eastAsia"/>
                <w:color w:val="auto"/>
              </w:rPr>
              <w:t>）辅助支架搭设材料及构件的质量不符合相关标准的技术要求，扣</w:t>
            </w:r>
            <w:r>
              <w:rPr>
                <w:color w:val="auto"/>
              </w:rPr>
              <w:t>5-10</w:t>
            </w:r>
            <w:r>
              <w:rPr>
                <w:rFonts w:hint="eastAsia"/>
                <w:color w:val="auto"/>
              </w:rPr>
              <w:t>分</w:t>
            </w:r>
          </w:p>
          <w:p w14:paraId="37F842CC">
            <w:pPr>
              <w:pStyle w:val="44"/>
              <w:jc w:val="left"/>
              <w:rPr>
                <w:color w:val="auto"/>
              </w:rPr>
            </w:pPr>
            <w:r>
              <w:rPr>
                <w:color w:val="auto"/>
              </w:rPr>
              <w:t>6</w:t>
            </w:r>
            <w:r>
              <w:rPr>
                <w:rFonts w:hint="eastAsia"/>
                <w:color w:val="auto"/>
              </w:rPr>
              <w:t>）挂篮悬臂端最大变形应超过</w:t>
            </w:r>
            <w:r>
              <w:rPr>
                <w:color w:val="auto"/>
              </w:rPr>
              <w:t>20mm</w:t>
            </w:r>
            <w:r>
              <w:rPr>
                <w:rFonts w:hint="eastAsia"/>
                <w:color w:val="auto"/>
              </w:rPr>
              <w:t>，扣</w:t>
            </w:r>
            <w:r>
              <w:rPr>
                <w:color w:val="auto"/>
              </w:rPr>
              <w:t>10</w:t>
            </w:r>
            <w:r>
              <w:rPr>
                <w:rFonts w:hint="eastAsia"/>
                <w:color w:val="auto"/>
              </w:rPr>
              <w:t>分</w:t>
            </w:r>
          </w:p>
          <w:p w14:paraId="6C15A13F">
            <w:pPr>
              <w:pStyle w:val="44"/>
              <w:jc w:val="left"/>
              <w:rPr>
                <w:color w:val="auto"/>
              </w:rPr>
            </w:pPr>
            <w:r>
              <w:rPr>
                <w:color w:val="auto"/>
              </w:rPr>
              <w:t>7</w:t>
            </w:r>
            <w:r>
              <w:rPr>
                <w:rFonts w:hint="eastAsia"/>
                <w:color w:val="auto"/>
              </w:rPr>
              <w:t>）采用精轧螺纹钢筋作为吊杆时，未使用双螺帽锁紧，扣</w:t>
            </w:r>
            <w:r>
              <w:rPr>
                <w:color w:val="auto"/>
              </w:rPr>
              <w:t>10</w:t>
            </w:r>
            <w:r>
              <w:rPr>
                <w:rFonts w:hint="eastAsia"/>
                <w:color w:val="auto"/>
              </w:rPr>
              <w:t>分</w:t>
            </w:r>
          </w:p>
          <w:p w14:paraId="65B2D8BF">
            <w:pPr>
              <w:pStyle w:val="44"/>
              <w:jc w:val="left"/>
              <w:rPr>
                <w:color w:val="auto"/>
              </w:rPr>
            </w:pPr>
            <w:r>
              <w:rPr>
                <w:color w:val="auto"/>
              </w:rPr>
              <w:t>8</w:t>
            </w:r>
            <w:r>
              <w:rPr>
                <w:rFonts w:hint="eastAsia"/>
                <w:color w:val="auto"/>
              </w:rPr>
              <w:t>）挂篮的行走装置、锚固装置未按方案设计规定的位置和方式进行设置，扣</w:t>
            </w:r>
            <w:r>
              <w:rPr>
                <w:color w:val="auto"/>
              </w:rPr>
              <w:t>5-10</w:t>
            </w:r>
            <w:r>
              <w:rPr>
                <w:rFonts w:hint="eastAsia"/>
                <w:color w:val="auto"/>
              </w:rPr>
              <w:t>分</w:t>
            </w:r>
          </w:p>
          <w:p w14:paraId="10114E55">
            <w:pPr>
              <w:pStyle w:val="44"/>
              <w:jc w:val="left"/>
              <w:rPr>
                <w:color w:val="auto"/>
              </w:rPr>
            </w:pPr>
            <w:r>
              <w:rPr>
                <w:color w:val="auto"/>
              </w:rPr>
              <w:t>9</w:t>
            </w:r>
            <w:r>
              <w:rPr>
                <w:rFonts w:hint="eastAsia"/>
                <w:color w:val="auto"/>
              </w:rPr>
              <w:t>）挂篮在梁段混凝土浇筑及走行时的抗倾覆安全系数、自锚固系统的安全系数、斜拉水平限位系统的安全系数以及上下水平限位的安全系数，任何一项小于</w:t>
            </w:r>
            <w:r>
              <w:rPr>
                <w:color w:val="auto"/>
              </w:rPr>
              <w:t>2.0</w:t>
            </w:r>
            <w:r>
              <w:rPr>
                <w:rFonts w:hint="eastAsia"/>
                <w:color w:val="auto"/>
              </w:rPr>
              <w:t>，扣</w:t>
            </w:r>
            <w:r>
              <w:rPr>
                <w:color w:val="auto"/>
              </w:rPr>
              <w:t>10</w:t>
            </w:r>
            <w:r>
              <w:rPr>
                <w:rFonts w:hint="eastAsia"/>
                <w:color w:val="auto"/>
              </w:rPr>
              <w:t>分</w:t>
            </w:r>
          </w:p>
        </w:tc>
        <w:tc>
          <w:tcPr>
            <w:tcW w:w="720" w:type="dxa"/>
            <w:vAlign w:val="center"/>
          </w:tcPr>
          <w:p w14:paraId="130F4B55">
            <w:pPr>
              <w:pStyle w:val="44"/>
              <w:rPr>
                <w:color w:val="auto"/>
              </w:rPr>
            </w:pPr>
            <w:r>
              <w:rPr>
                <w:color w:val="auto"/>
              </w:rPr>
              <w:t>10</w:t>
            </w:r>
          </w:p>
        </w:tc>
        <w:tc>
          <w:tcPr>
            <w:tcW w:w="720" w:type="dxa"/>
            <w:vAlign w:val="center"/>
          </w:tcPr>
          <w:p w14:paraId="1F154FDA">
            <w:pPr>
              <w:pStyle w:val="44"/>
              <w:rPr>
                <w:color w:val="auto"/>
              </w:rPr>
            </w:pPr>
          </w:p>
        </w:tc>
        <w:tc>
          <w:tcPr>
            <w:tcW w:w="720" w:type="dxa"/>
            <w:vAlign w:val="center"/>
          </w:tcPr>
          <w:p w14:paraId="16A2CBAF">
            <w:pPr>
              <w:pStyle w:val="44"/>
              <w:rPr>
                <w:color w:val="auto"/>
              </w:rPr>
            </w:pPr>
          </w:p>
        </w:tc>
      </w:tr>
      <w:tr w14:paraId="1BC23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134" w:hRule="atLeast"/>
        </w:trPr>
        <w:tc>
          <w:tcPr>
            <w:tcW w:w="539" w:type="dxa"/>
            <w:vAlign w:val="center"/>
          </w:tcPr>
          <w:p w14:paraId="67C8E379">
            <w:pPr>
              <w:pStyle w:val="44"/>
              <w:rPr>
                <w:color w:val="auto"/>
              </w:rPr>
            </w:pPr>
            <w:r>
              <w:rPr>
                <w:color w:val="auto"/>
              </w:rPr>
              <w:t>5</w:t>
            </w:r>
          </w:p>
        </w:tc>
        <w:tc>
          <w:tcPr>
            <w:tcW w:w="543" w:type="dxa"/>
            <w:vMerge w:val="continue"/>
          </w:tcPr>
          <w:p w14:paraId="37163BB5">
            <w:pPr>
              <w:pStyle w:val="44"/>
              <w:rPr>
                <w:color w:val="auto"/>
              </w:rPr>
            </w:pPr>
          </w:p>
        </w:tc>
        <w:tc>
          <w:tcPr>
            <w:tcW w:w="898" w:type="dxa"/>
            <w:textDirection w:val="tbRlV"/>
            <w:vAlign w:val="center"/>
          </w:tcPr>
          <w:p w14:paraId="44F155E9">
            <w:pPr>
              <w:pStyle w:val="44"/>
              <w:ind w:left="113" w:right="113"/>
              <w:rPr>
                <w:color w:val="auto"/>
                <w:sz w:val="22"/>
                <w:szCs w:val="22"/>
              </w:rPr>
            </w:pPr>
            <w:r>
              <w:rPr>
                <w:rFonts w:hint="eastAsia"/>
                <w:color w:val="auto"/>
                <w:spacing w:val="27"/>
                <w:kern w:val="0"/>
                <w:sz w:val="22"/>
                <w:szCs w:val="22"/>
                <w:fitText w:val="1320" w:id="-2072795903"/>
              </w:rPr>
              <w:t>行走与锚</w:t>
            </w:r>
            <w:r>
              <w:rPr>
                <w:rFonts w:hint="eastAsia"/>
                <w:color w:val="auto"/>
                <w:spacing w:val="2"/>
                <w:kern w:val="0"/>
                <w:sz w:val="22"/>
                <w:szCs w:val="22"/>
                <w:fitText w:val="1320" w:id="-2072795903"/>
              </w:rPr>
              <w:t>固</w:t>
            </w:r>
          </w:p>
        </w:tc>
        <w:tc>
          <w:tcPr>
            <w:tcW w:w="5580" w:type="dxa"/>
            <w:vAlign w:val="center"/>
          </w:tcPr>
          <w:p w14:paraId="77CFFFB3">
            <w:pPr>
              <w:pStyle w:val="44"/>
              <w:jc w:val="left"/>
              <w:rPr>
                <w:color w:val="auto"/>
              </w:rPr>
            </w:pPr>
            <w:r>
              <w:rPr>
                <w:color w:val="auto"/>
              </w:rPr>
              <w:t>1</w:t>
            </w:r>
            <w:r>
              <w:rPr>
                <w:rFonts w:hint="eastAsia"/>
                <w:color w:val="auto"/>
              </w:rPr>
              <w:t>）挂篮行走无专项操作指导书，扣</w:t>
            </w:r>
            <w:r>
              <w:rPr>
                <w:color w:val="auto"/>
              </w:rPr>
              <w:t>3</w:t>
            </w:r>
            <w:r>
              <w:rPr>
                <w:rFonts w:hint="eastAsia"/>
                <w:color w:val="auto"/>
              </w:rPr>
              <w:t>分</w:t>
            </w:r>
          </w:p>
          <w:p w14:paraId="162970DF">
            <w:pPr>
              <w:pStyle w:val="44"/>
              <w:jc w:val="left"/>
              <w:rPr>
                <w:color w:val="auto"/>
              </w:rPr>
            </w:pPr>
            <w:r>
              <w:rPr>
                <w:color w:val="auto"/>
              </w:rPr>
              <w:t>2</w:t>
            </w:r>
            <w:r>
              <w:rPr>
                <w:rFonts w:hint="eastAsia"/>
                <w:color w:val="auto"/>
              </w:rPr>
              <w:t>）滑道或轨道铺设不平顺，扣</w:t>
            </w:r>
            <w:r>
              <w:rPr>
                <w:color w:val="auto"/>
              </w:rPr>
              <w:t>2</w:t>
            </w:r>
            <w:r>
              <w:rPr>
                <w:rFonts w:hint="eastAsia"/>
                <w:color w:val="auto"/>
              </w:rPr>
              <w:t>分</w:t>
            </w:r>
          </w:p>
          <w:p w14:paraId="4F0F3044">
            <w:pPr>
              <w:pStyle w:val="44"/>
              <w:jc w:val="left"/>
              <w:rPr>
                <w:color w:val="auto"/>
              </w:rPr>
            </w:pPr>
            <w:r>
              <w:rPr>
                <w:color w:val="auto"/>
              </w:rPr>
              <w:t>3</w:t>
            </w:r>
            <w:r>
              <w:rPr>
                <w:rFonts w:hint="eastAsia"/>
                <w:color w:val="auto"/>
              </w:rPr>
              <w:t>）滑道或轨道未设置限位器或限位器设置不牢固，扣</w:t>
            </w:r>
            <w:r>
              <w:rPr>
                <w:color w:val="auto"/>
              </w:rPr>
              <w:t>5</w:t>
            </w:r>
            <w:r>
              <w:rPr>
                <w:rFonts w:hint="eastAsia"/>
                <w:color w:val="auto"/>
              </w:rPr>
              <w:t>分</w:t>
            </w:r>
          </w:p>
          <w:p w14:paraId="2FE6665B">
            <w:pPr>
              <w:pStyle w:val="44"/>
              <w:jc w:val="left"/>
              <w:rPr>
                <w:color w:val="auto"/>
              </w:rPr>
            </w:pPr>
            <w:r>
              <w:rPr>
                <w:color w:val="auto"/>
              </w:rPr>
              <w:t>4</w:t>
            </w:r>
            <w:r>
              <w:rPr>
                <w:rFonts w:hint="eastAsia"/>
                <w:color w:val="auto"/>
              </w:rPr>
              <w:t>）挂篮移动前未解除所有吊挂系统和模板系统的约束，或未完成悬吊系统的转换，扣</w:t>
            </w:r>
            <w:r>
              <w:rPr>
                <w:color w:val="auto"/>
              </w:rPr>
              <w:t>10</w:t>
            </w:r>
            <w:r>
              <w:rPr>
                <w:rFonts w:hint="eastAsia"/>
                <w:color w:val="auto"/>
              </w:rPr>
              <w:t>分</w:t>
            </w:r>
          </w:p>
          <w:p w14:paraId="146BF426">
            <w:pPr>
              <w:pStyle w:val="44"/>
              <w:jc w:val="left"/>
              <w:rPr>
                <w:color w:val="auto"/>
              </w:rPr>
            </w:pPr>
            <w:r>
              <w:rPr>
                <w:color w:val="auto"/>
              </w:rPr>
              <w:t>5</w:t>
            </w:r>
            <w:r>
              <w:rPr>
                <w:rFonts w:hint="eastAsia"/>
                <w:color w:val="auto"/>
              </w:rPr>
              <w:t>）挂篮移动前，未完成锚固体系的可靠转换，或未设置保险措施，扣</w:t>
            </w:r>
            <w:r>
              <w:rPr>
                <w:color w:val="auto"/>
              </w:rPr>
              <w:t>10</w:t>
            </w:r>
            <w:r>
              <w:rPr>
                <w:rFonts w:hint="eastAsia"/>
                <w:color w:val="auto"/>
              </w:rPr>
              <w:t>分</w:t>
            </w:r>
          </w:p>
          <w:p w14:paraId="09E8153D">
            <w:pPr>
              <w:pStyle w:val="44"/>
              <w:jc w:val="left"/>
              <w:rPr>
                <w:color w:val="auto"/>
              </w:rPr>
            </w:pPr>
            <w:r>
              <w:rPr>
                <w:color w:val="auto"/>
              </w:rPr>
              <w:t>6</w:t>
            </w:r>
            <w:r>
              <w:rPr>
                <w:rFonts w:hint="eastAsia"/>
                <w:color w:val="auto"/>
              </w:rPr>
              <w:t>）挂篮行走前未检查行走系统、吊挂系统和模板系统，或未形成检查记录，扣</w:t>
            </w:r>
            <w:r>
              <w:rPr>
                <w:color w:val="auto"/>
              </w:rPr>
              <w:t>5</w:t>
            </w:r>
            <w:r>
              <w:rPr>
                <w:rFonts w:hint="eastAsia"/>
                <w:color w:val="auto"/>
              </w:rPr>
              <w:t>分</w:t>
            </w:r>
          </w:p>
          <w:p w14:paraId="6DB90FC9">
            <w:pPr>
              <w:pStyle w:val="44"/>
              <w:jc w:val="left"/>
              <w:rPr>
                <w:color w:val="auto"/>
              </w:rPr>
            </w:pPr>
            <w:r>
              <w:rPr>
                <w:color w:val="auto"/>
              </w:rPr>
              <w:t>7</w:t>
            </w:r>
            <w:r>
              <w:rPr>
                <w:rFonts w:hint="eastAsia"/>
                <w:color w:val="auto"/>
              </w:rPr>
              <w:t>）墩两侧挂篮移动不对称或不平稳，扣</w:t>
            </w:r>
            <w:r>
              <w:rPr>
                <w:color w:val="auto"/>
              </w:rPr>
              <w:t>2</w:t>
            </w:r>
            <w:r>
              <w:rPr>
                <w:rFonts w:hint="eastAsia"/>
                <w:color w:val="auto"/>
              </w:rPr>
              <w:t>分</w:t>
            </w:r>
          </w:p>
          <w:p w14:paraId="74AB9675">
            <w:pPr>
              <w:pStyle w:val="44"/>
              <w:jc w:val="left"/>
              <w:rPr>
                <w:color w:val="auto"/>
              </w:rPr>
            </w:pPr>
            <w:r>
              <w:rPr>
                <w:color w:val="auto"/>
              </w:rPr>
              <w:t>8</w:t>
            </w:r>
            <w:r>
              <w:rPr>
                <w:rFonts w:hint="eastAsia"/>
                <w:color w:val="auto"/>
              </w:rPr>
              <w:t>）挂篮行走速度超过</w:t>
            </w:r>
            <w:r>
              <w:rPr>
                <w:color w:val="auto"/>
              </w:rPr>
              <w:t>0.1m/min</w:t>
            </w:r>
            <w:r>
              <w:rPr>
                <w:rFonts w:hint="eastAsia"/>
                <w:color w:val="auto"/>
              </w:rPr>
              <w:t>，扣</w:t>
            </w:r>
            <w:r>
              <w:rPr>
                <w:color w:val="auto"/>
              </w:rPr>
              <w:t>2</w:t>
            </w:r>
            <w:r>
              <w:rPr>
                <w:rFonts w:hint="eastAsia"/>
                <w:color w:val="auto"/>
              </w:rPr>
              <w:t>分</w:t>
            </w:r>
          </w:p>
          <w:p w14:paraId="7FD0936A">
            <w:pPr>
              <w:pStyle w:val="44"/>
              <w:jc w:val="left"/>
              <w:rPr>
                <w:color w:val="auto"/>
              </w:rPr>
            </w:pPr>
            <w:r>
              <w:rPr>
                <w:color w:val="auto"/>
              </w:rPr>
              <w:t>9</w:t>
            </w:r>
            <w:r>
              <w:rPr>
                <w:rFonts w:hint="eastAsia"/>
                <w:color w:val="auto"/>
              </w:rPr>
              <w:t>）挂篮移动过程中未设置防倾覆装置，扣</w:t>
            </w:r>
            <w:r>
              <w:rPr>
                <w:color w:val="auto"/>
              </w:rPr>
              <w:t>5</w:t>
            </w:r>
            <w:r>
              <w:rPr>
                <w:rFonts w:hint="eastAsia"/>
                <w:color w:val="auto"/>
              </w:rPr>
              <w:t>分</w:t>
            </w:r>
          </w:p>
          <w:p w14:paraId="6BC08BB6">
            <w:pPr>
              <w:pStyle w:val="44"/>
              <w:jc w:val="left"/>
              <w:rPr>
                <w:color w:val="auto"/>
              </w:rPr>
            </w:pPr>
            <w:r>
              <w:rPr>
                <w:color w:val="auto"/>
              </w:rPr>
              <w:t>10</w:t>
            </w:r>
            <w:r>
              <w:rPr>
                <w:rFonts w:hint="eastAsia"/>
                <w:color w:val="auto"/>
              </w:rPr>
              <w:t>）挂篮行走到位后未及时锚固，扣</w:t>
            </w:r>
            <w:r>
              <w:rPr>
                <w:color w:val="auto"/>
              </w:rPr>
              <w:t>5</w:t>
            </w:r>
            <w:r>
              <w:rPr>
                <w:rFonts w:hint="eastAsia"/>
                <w:color w:val="auto"/>
              </w:rPr>
              <w:t>分</w:t>
            </w:r>
          </w:p>
        </w:tc>
        <w:tc>
          <w:tcPr>
            <w:tcW w:w="720" w:type="dxa"/>
            <w:vAlign w:val="center"/>
          </w:tcPr>
          <w:p w14:paraId="2127D3C2">
            <w:pPr>
              <w:pStyle w:val="44"/>
              <w:rPr>
                <w:color w:val="auto"/>
              </w:rPr>
            </w:pPr>
            <w:r>
              <w:rPr>
                <w:color w:val="auto"/>
              </w:rPr>
              <w:t>10</w:t>
            </w:r>
          </w:p>
        </w:tc>
        <w:tc>
          <w:tcPr>
            <w:tcW w:w="720" w:type="dxa"/>
            <w:vAlign w:val="center"/>
          </w:tcPr>
          <w:p w14:paraId="2832B868">
            <w:pPr>
              <w:pStyle w:val="44"/>
              <w:rPr>
                <w:color w:val="auto"/>
              </w:rPr>
            </w:pPr>
          </w:p>
        </w:tc>
        <w:tc>
          <w:tcPr>
            <w:tcW w:w="720" w:type="dxa"/>
            <w:vAlign w:val="center"/>
          </w:tcPr>
          <w:p w14:paraId="4E555008">
            <w:pPr>
              <w:pStyle w:val="44"/>
              <w:rPr>
                <w:color w:val="auto"/>
              </w:rPr>
            </w:pPr>
          </w:p>
        </w:tc>
      </w:tr>
      <w:tr w14:paraId="007EA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134" w:hRule="atLeast"/>
        </w:trPr>
        <w:tc>
          <w:tcPr>
            <w:tcW w:w="539" w:type="dxa"/>
            <w:vAlign w:val="center"/>
          </w:tcPr>
          <w:p w14:paraId="2C77E56F">
            <w:pPr>
              <w:pStyle w:val="44"/>
              <w:rPr>
                <w:color w:val="auto"/>
              </w:rPr>
            </w:pPr>
            <w:r>
              <w:rPr>
                <w:color w:val="auto"/>
              </w:rPr>
              <w:t>6</w:t>
            </w:r>
          </w:p>
        </w:tc>
        <w:tc>
          <w:tcPr>
            <w:tcW w:w="543" w:type="dxa"/>
            <w:vMerge w:val="continue"/>
            <w:vAlign w:val="center"/>
          </w:tcPr>
          <w:p w14:paraId="6315DB16">
            <w:pPr>
              <w:pStyle w:val="44"/>
              <w:rPr>
                <w:color w:val="auto"/>
              </w:rPr>
            </w:pPr>
          </w:p>
        </w:tc>
        <w:tc>
          <w:tcPr>
            <w:tcW w:w="898" w:type="dxa"/>
            <w:textDirection w:val="tbRlV"/>
            <w:vAlign w:val="center"/>
          </w:tcPr>
          <w:p w14:paraId="07A28D03">
            <w:pPr>
              <w:pStyle w:val="44"/>
              <w:ind w:left="113" w:right="113"/>
              <w:rPr>
                <w:color w:val="auto"/>
                <w:spacing w:val="27"/>
                <w:sz w:val="22"/>
                <w:szCs w:val="22"/>
              </w:rPr>
            </w:pPr>
            <w:r>
              <w:rPr>
                <w:rFonts w:hint="eastAsia"/>
                <w:color w:val="auto"/>
                <w:spacing w:val="73"/>
                <w:kern w:val="0"/>
                <w:sz w:val="22"/>
                <w:szCs w:val="22"/>
                <w:fitText w:val="1320" w:id="-2072795903"/>
              </w:rPr>
              <w:t>检查验</w:t>
            </w:r>
            <w:r>
              <w:rPr>
                <w:rFonts w:hint="eastAsia"/>
                <w:color w:val="auto"/>
                <w:spacing w:val="1"/>
                <w:kern w:val="0"/>
                <w:sz w:val="22"/>
                <w:szCs w:val="22"/>
                <w:fitText w:val="1320" w:id="-2072795903"/>
              </w:rPr>
              <w:t>收</w:t>
            </w:r>
          </w:p>
        </w:tc>
        <w:tc>
          <w:tcPr>
            <w:tcW w:w="5580" w:type="dxa"/>
            <w:vAlign w:val="center"/>
          </w:tcPr>
          <w:p w14:paraId="308F57D5">
            <w:pPr>
              <w:pStyle w:val="44"/>
              <w:jc w:val="left"/>
              <w:rPr>
                <w:color w:val="auto"/>
              </w:rPr>
            </w:pPr>
            <w:r>
              <w:rPr>
                <w:color w:val="auto"/>
              </w:rPr>
              <w:t>1</w:t>
            </w:r>
            <w:r>
              <w:rPr>
                <w:rFonts w:hint="eastAsia"/>
                <w:color w:val="auto"/>
              </w:rPr>
              <w:t>）挂篮设备进场时未对各构件规格、型号、尺寸、数量、外观质量和配件及专用工具的配备进行检查验收，扣</w:t>
            </w:r>
            <w:r>
              <w:rPr>
                <w:color w:val="auto"/>
              </w:rPr>
              <w:t>10</w:t>
            </w:r>
            <w:r>
              <w:rPr>
                <w:rFonts w:hint="eastAsia"/>
                <w:color w:val="auto"/>
              </w:rPr>
              <w:t>分</w:t>
            </w:r>
          </w:p>
          <w:p w14:paraId="2106006F">
            <w:pPr>
              <w:pStyle w:val="44"/>
              <w:jc w:val="left"/>
              <w:rPr>
                <w:color w:val="auto"/>
              </w:rPr>
            </w:pPr>
            <w:r>
              <w:rPr>
                <w:color w:val="auto"/>
              </w:rPr>
              <w:t>2</w:t>
            </w:r>
            <w:r>
              <w:rPr>
                <w:rFonts w:hint="eastAsia"/>
                <w:color w:val="auto"/>
              </w:rPr>
              <w:t>）墩顶</w:t>
            </w:r>
            <w:r>
              <w:rPr>
                <w:color w:val="auto"/>
              </w:rPr>
              <w:t>0</w:t>
            </w:r>
            <w:r>
              <w:rPr>
                <w:rFonts w:hint="eastAsia"/>
                <w:color w:val="auto"/>
              </w:rPr>
              <w:t>号段及相邻两端浇筑施工时，采用的支架系统施工完成后未办理验收手续，扣</w:t>
            </w:r>
            <w:r>
              <w:rPr>
                <w:color w:val="auto"/>
              </w:rPr>
              <w:t>5</w:t>
            </w:r>
            <w:r>
              <w:rPr>
                <w:rFonts w:hint="eastAsia"/>
                <w:color w:val="auto"/>
              </w:rPr>
              <w:t>分</w:t>
            </w:r>
          </w:p>
          <w:p w14:paraId="55F89FBD">
            <w:pPr>
              <w:pStyle w:val="44"/>
              <w:jc w:val="left"/>
              <w:rPr>
                <w:color w:val="auto"/>
              </w:rPr>
            </w:pPr>
            <w:r>
              <w:rPr>
                <w:color w:val="auto"/>
              </w:rPr>
              <w:t>3</w:t>
            </w:r>
            <w:r>
              <w:rPr>
                <w:rFonts w:hint="eastAsia"/>
                <w:color w:val="auto"/>
              </w:rPr>
              <w:t>）挂篮拼装完成后未办理检查验收签证手续，扣</w:t>
            </w:r>
            <w:r>
              <w:rPr>
                <w:color w:val="auto"/>
              </w:rPr>
              <w:t>10</w:t>
            </w:r>
            <w:r>
              <w:rPr>
                <w:rFonts w:hint="eastAsia"/>
                <w:color w:val="auto"/>
              </w:rPr>
              <w:t>分</w:t>
            </w:r>
          </w:p>
          <w:p w14:paraId="553B122E">
            <w:pPr>
              <w:pStyle w:val="44"/>
              <w:jc w:val="left"/>
              <w:rPr>
                <w:color w:val="auto"/>
              </w:rPr>
            </w:pPr>
            <w:r>
              <w:rPr>
                <w:color w:val="auto"/>
              </w:rPr>
              <w:t>4</w:t>
            </w:r>
            <w:r>
              <w:rPr>
                <w:rFonts w:hint="eastAsia"/>
                <w:color w:val="auto"/>
              </w:rPr>
              <w:t>）挂篮现场组拼后，未按规定的荷载进行模拟荷载试验，扣</w:t>
            </w:r>
            <w:r>
              <w:rPr>
                <w:color w:val="auto"/>
              </w:rPr>
              <w:t>10</w:t>
            </w:r>
            <w:r>
              <w:rPr>
                <w:rFonts w:hint="eastAsia"/>
                <w:color w:val="auto"/>
              </w:rPr>
              <w:t>分</w:t>
            </w:r>
          </w:p>
          <w:p w14:paraId="6C059CCD">
            <w:pPr>
              <w:pStyle w:val="44"/>
              <w:jc w:val="left"/>
              <w:rPr>
                <w:color w:val="auto"/>
              </w:rPr>
            </w:pPr>
            <w:r>
              <w:rPr>
                <w:color w:val="auto"/>
              </w:rPr>
              <w:t>5</w:t>
            </w:r>
            <w:r>
              <w:rPr>
                <w:rFonts w:hint="eastAsia"/>
                <w:color w:val="auto"/>
              </w:rPr>
              <w:t>）挂篮行走前未检查行走系统、吊挂系统和模板系统，或未形成检查记录，扣</w:t>
            </w:r>
            <w:r>
              <w:rPr>
                <w:color w:val="auto"/>
              </w:rPr>
              <w:t>5</w:t>
            </w:r>
            <w:r>
              <w:rPr>
                <w:rFonts w:hint="eastAsia"/>
                <w:color w:val="auto"/>
              </w:rPr>
              <w:t>分</w:t>
            </w:r>
          </w:p>
          <w:p w14:paraId="73DFC497">
            <w:pPr>
              <w:pStyle w:val="44"/>
              <w:jc w:val="left"/>
              <w:rPr>
                <w:color w:val="auto"/>
              </w:rPr>
            </w:pPr>
            <w:r>
              <w:rPr>
                <w:color w:val="auto"/>
              </w:rPr>
              <w:t>6</w:t>
            </w:r>
            <w:r>
              <w:rPr>
                <w:rFonts w:hint="eastAsia"/>
                <w:color w:val="auto"/>
              </w:rPr>
              <w:t>）挂篮行走到位固定后浇筑混凝土前未检查锚固系统、悬挂系统和模板系统扣</w:t>
            </w:r>
            <w:r>
              <w:rPr>
                <w:color w:val="auto"/>
              </w:rPr>
              <w:t>5</w:t>
            </w:r>
            <w:r>
              <w:rPr>
                <w:rFonts w:hint="eastAsia"/>
                <w:color w:val="auto"/>
              </w:rPr>
              <w:t>分</w:t>
            </w:r>
          </w:p>
          <w:p w14:paraId="2A820379">
            <w:pPr>
              <w:pStyle w:val="44"/>
              <w:jc w:val="left"/>
              <w:rPr>
                <w:color w:val="auto"/>
              </w:rPr>
            </w:pPr>
            <w:r>
              <w:rPr>
                <w:color w:val="auto"/>
              </w:rPr>
              <w:t>7</w:t>
            </w:r>
            <w:r>
              <w:rPr>
                <w:rFonts w:hint="eastAsia"/>
                <w:color w:val="auto"/>
              </w:rPr>
              <w:t>）验收未采用相关标准规定的表格或经审批的表格形成量化记录，或未经责任人签字确认，扣</w:t>
            </w:r>
            <w:r>
              <w:rPr>
                <w:color w:val="auto"/>
              </w:rPr>
              <w:t>5-10</w:t>
            </w:r>
            <w:r>
              <w:rPr>
                <w:rFonts w:hint="eastAsia"/>
                <w:color w:val="auto"/>
              </w:rPr>
              <w:t>分</w:t>
            </w:r>
          </w:p>
          <w:p w14:paraId="28B25226">
            <w:pPr>
              <w:pStyle w:val="44"/>
              <w:jc w:val="left"/>
              <w:rPr>
                <w:color w:val="auto"/>
              </w:rPr>
            </w:pPr>
            <w:r>
              <w:rPr>
                <w:color w:val="auto"/>
              </w:rPr>
              <w:t>8</w:t>
            </w:r>
            <w:r>
              <w:rPr>
                <w:rFonts w:hint="eastAsia"/>
                <w:color w:val="auto"/>
              </w:rPr>
              <w:t>）挂篮验收合格后未在明显位置悬挂验收合格牌的，扣</w:t>
            </w:r>
            <w:r>
              <w:rPr>
                <w:color w:val="auto"/>
              </w:rPr>
              <w:t>2</w:t>
            </w:r>
            <w:r>
              <w:rPr>
                <w:rFonts w:hint="eastAsia"/>
                <w:color w:val="auto"/>
              </w:rPr>
              <w:t>分</w:t>
            </w:r>
          </w:p>
        </w:tc>
        <w:tc>
          <w:tcPr>
            <w:tcW w:w="720" w:type="dxa"/>
            <w:vAlign w:val="center"/>
          </w:tcPr>
          <w:p w14:paraId="60193A36">
            <w:pPr>
              <w:pStyle w:val="44"/>
              <w:rPr>
                <w:color w:val="auto"/>
              </w:rPr>
            </w:pPr>
            <w:r>
              <w:rPr>
                <w:color w:val="auto"/>
              </w:rPr>
              <w:t>10</w:t>
            </w:r>
          </w:p>
        </w:tc>
        <w:tc>
          <w:tcPr>
            <w:tcW w:w="720" w:type="dxa"/>
            <w:vAlign w:val="center"/>
          </w:tcPr>
          <w:p w14:paraId="020272F0">
            <w:pPr>
              <w:pStyle w:val="44"/>
              <w:rPr>
                <w:color w:val="auto"/>
              </w:rPr>
            </w:pPr>
          </w:p>
        </w:tc>
        <w:tc>
          <w:tcPr>
            <w:tcW w:w="720" w:type="dxa"/>
            <w:vAlign w:val="center"/>
          </w:tcPr>
          <w:p w14:paraId="16876484">
            <w:pPr>
              <w:pStyle w:val="44"/>
              <w:rPr>
                <w:color w:val="auto"/>
              </w:rPr>
            </w:pPr>
          </w:p>
        </w:tc>
      </w:tr>
      <w:tr w14:paraId="1A860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134" w:hRule="atLeast"/>
        </w:trPr>
        <w:tc>
          <w:tcPr>
            <w:tcW w:w="539" w:type="dxa"/>
            <w:vAlign w:val="center"/>
          </w:tcPr>
          <w:p w14:paraId="184CA422">
            <w:pPr>
              <w:pStyle w:val="44"/>
              <w:rPr>
                <w:color w:val="auto"/>
              </w:rPr>
            </w:pPr>
            <w:r>
              <w:rPr>
                <w:color w:val="auto"/>
              </w:rPr>
              <w:t>7</w:t>
            </w:r>
          </w:p>
        </w:tc>
        <w:tc>
          <w:tcPr>
            <w:tcW w:w="543" w:type="dxa"/>
            <w:vMerge w:val="continue"/>
            <w:vAlign w:val="center"/>
          </w:tcPr>
          <w:p w14:paraId="6C973627">
            <w:pPr>
              <w:pStyle w:val="44"/>
              <w:rPr>
                <w:color w:val="auto"/>
              </w:rPr>
            </w:pPr>
          </w:p>
        </w:tc>
        <w:tc>
          <w:tcPr>
            <w:tcW w:w="898" w:type="dxa"/>
            <w:textDirection w:val="tbRlV"/>
            <w:vAlign w:val="center"/>
          </w:tcPr>
          <w:p w14:paraId="34E24CDC">
            <w:pPr>
              <w:pStyle w:val="44"/>
              <w:ind w:left="113" w:right="113"/>
              <w:rPr>
                <w:color w:val="auto"/>
                <w:spacing w:val="27"/>
                <w:sz w:val="22"/>
                <w:szCs w:val="22"/>
              </w:rPr>
            </w:pPr>
            <w:r>
              <w:rPr>
                <w:rFonts w:hint="eastAsia"/>
                <w:color w:val="auto"/>
                <w:spacing w:val="27"/>
                <w:kern w:val="0"/>
                <w:sz w:val="22"/>
                <w:szCs w:val="22"/>
                <w:fitText w:val="1320" w:id="-2072795648"/>
              </w:rPr>
              <w:t>使用与监</w:t>
            </w:r>
            <w:r>
              <w:rPr>
                <w:rFonts w:hint="eastAsia"/>
                <w:color w:val="auto"/>
                <w:spacing w:val="2"/>
                <w:kern w:val="0"/>
                <w:sz w:val="22"/>
                <w:szCs w:val="22"/>
                <w:fitText w:val="1320" w:id="-2072795648"/>
              </w:rPr>
              <w:t>测</w:t>
            </w:r>
          </w:p>
        </w:tc>
        <w:tc>
          <w:tcPr>
            <w:tcW w:w="5580" w:type="dxa"/>
            <w:vAlign w:val="center"/>
          </w:tcPr>
          <w:p w14:paraId="6F780A1F">
            <w:pPr>
              <w:pStyle w:val="44"/>
              <w:jc w:val="left"/>
              <w:rPr>
                <w:color w:val="auto"/>
              </w:rPr>
            </w:pPr>
            <w:r>
              <w:rPr>
                <w:color w:val="auto"/>
              </w:rPr>
              <w:t>1</w:t>
            </w:r>
            <w:r>
              <w:rPr>
                <w:rFonts w:hint="eastAsia"/>
                <w:color w:val="auto"/>
              </w:rPr>
              <w:t>）挂篮使用中，千斤顶、滑道、手拉葫芦、钢丝绳、保险绳、后锚固筋及连接器等未处于完好的状态，扣</w:t>
            </w:r>
            <w:r>
              <w:rPr>
                <w:color w:val="auto"/>
              </w:rPr>
              <w:t>2-5</w:t>
            </w:r>
            <w:r>
              <w:rPr>
                <w:rFonts w:hint="eastAsia"/>
                <w:color w:val="auto"/>
              </w:rPr>
              <w:t>分</w:t>
            </w:r>
          </w:p>
          <w:p w14:paraId="3233012C">
            <w:pPr>
              <w:pStyle w:val="44"/>
              <w:jc w:val="left"/>
              <w:rPr>
                <w:color w:val="auto"/>
              </w:rPr>
            </w:pPr>
            <w:r>
              <w:rPr>
                <w:color w:val="auto"/>
              </w:rPr>
              <w:t>2</w:t>
            </w:r>
            <w:r>
              <w:rPr>
                <w:rFonts w:hint="eastAsia"/>
                <w:color w:val="auto"/>
              </w:rPr>
              <w:t>）挂篮使用前，未在显著位置悬挂挂篮安全使用规程，扣</w:t>
            </w:r>
            <w:r>
              <w:rPr>
                <w:color w:val="auto"/>
              </w:rPr>
              <w:t>5</w:t>
            </w:r>
            <w:r>
              <w:rPr>
                <w:rFonts w:hint="eastAsia"/>
                <w:color w:val="auto"/>
              </w:rPr>
              <w:t>分</w:t>
            </w:r>
          </w:p>
          <w:p w14:paraId="4B3B770C">
            <w:pPr>
              <w:pStyle w:val="44"/>
              <w:jc w:val="left"/>
              <w:rPr>
                <w:color w:val="auto"/>
              </w:rPr>
            </w:pPr>
            <w:r>
              <w:rPr>
                <w:color w:val="auto"/>
              </w:rPr>
              <w:t>3</w:t>
            </w:r>
            <w:r>
              <w:rPr>
                <w:rFonts w:hint="eastAsia"/>
                <w:color w:val="auto"/>
              </w:rPr>
              <w:t>）两悬臂端挂篮上的荷载不平衡偏差超过设计的规定，或同一挂篮轴线两侧的荷载不均衡，扣</w:t>
            </w:r>
            <w:r>
              <w:rPr>
                <w:color w:val="auto"/>
              </w:rPr>
              <w:t>2-5</w:t>
            </w:r>
            <w:r>
              <w:rPr>
                <w:rFonts w:hint="eastAsia"/>
                <w:color w:val="auto"/>
              </w:rPr>
              <w:t>分</w:t>
            </w:r>
          </w:p>
          <w:p w14:paraId="0456C4E6">
            <w:pPr>
              <w:pStyle w:val="44"/>
              <w:jc w:val="left"/>
              <w:rPr>
                <w:color w:val="auto"/>
              </w:rPr>
            </w:pPr>
            <w:r>
              <w:rPr>
                <w:color w:val="auto"/>
              </w:rPr>
              <w:t>4</w:t>
            </w:r>
            <w:r>
              <w:rPr>
                <w:rFonts w:hint="eastAsia"/>
                <w:color w:val="auto"/>
              </w:rPr>
              <w:t>）混凝土未从悬臂端向已完梁段的顺序分层浇筑的，扣</w:t>
            </w:r>
            <w:r>
              <w:rPr>
                <w:color w:val="auto"/>
              </w:rPr>
              <w:t>3</w:t>
            </w:r>
            <w:r>
              <w:rPr>
                <w:rFonts w:hint="eastAsia"/>
                <w:color w:val="auto"/>
              </w:rPr>
              <w:t>分</w:t>
            </w:r>
          </w:p>
          <w:p w14:paraId="6D28F8A2">
            <w:pPr>
              <w:pStyle w:val="44"/>
              <w:jc w:val="left"/>
              <w:rPr>
                <w:color w:val="auto"/>
              </w:rPr>
            </w:pPr>
            <w:r>
              <w:rPr>
                <w:color w:val="auto"/>
              </w:rPr>
              <w:t>5</w:t>
            </w:r>
            <w:r>
              <w:rPr>
                <w:rFonts w:hint="eastAsia"/>
                <w:color w:val="auto"/>
              </w:rPr>
              <w:t>）挂篮浇筑作业面上的施工荷载超过挂篮设计规定，扣</w:t>
            </w:r>
            <w:r>
              <w:rPr>
                <w:color w:val="auto"/>
              </w:rPr>
              <w:t>10</w:t>
            </w:r>
            <w:r>
              <w:rPr>
                <w:rFonts w:hint="eastAsia"/>
                <w:color w:val="auto"/>
              </w:rPr>
              <w:t>分</w:t>
            </w:r>
          </w:p>
          <w:p w14:paraId="25435E7F">
            <w:pPr>
              <w:pStyle w:val="44"/>
              <w:jc w:val="left"/>
              <w:rPr>
                <w:color w:val="auto"/>
              </w:rPr>
            </w:pPr>
            <w:r>
              <w:rPr>
                <w:color w:val="auto"/>
              </w:rPr>
              <w:t>6</w:t>
            </w:r>
            <w:r>
              <w:rPr>
                <w:rFonts w:hint="eastAsia"/>
                <w:color w:val="auto"/>
              </w:rPr>
              <w:t>）挂篮使用过程中未对挂篮各部位的变形进行监测，或未形成监测记录，扣</w:t>
            </w:r>
            <w:r>
              <w:rPr>
                <w:color w:val="auto"/>
              </w:rPr>
              <w:t>5</w:t>
            </w:r>
            <w:r>
              <w:rPr>
                <w:rFonts w:hint="eastAsia"/>
                <w:color w:val="auto"/>
              </w:rPr>
              <w:t>分</w:t>
            </w:r>
          </w:p>
          <w:p w14:paraId="08A3AD5D">
            <w:pPr>
              <w:pStyle w:val="44"/>
              <w:jc w:val="left"/>
              <w:rPr>
                <w:color w:val="auto"/>
              </w:rPr>
            </w:pPr>
            <w:r>
              <w:rPr>
                <w:color w:val="auto"/>
              </w:rPr>
              <w:t>7</w:t>
            </w:r>
            <w:r>
              <w:rPr>
                <w:rFonts w:hint="eastAsia"/>
                <w:color w:val="auto"/>
              </w:rPr>
              <w:t>）在精轧螺纹钢筋吊杆上进行电焊、搭火作业，扣</w:t>
            </w:r>
            <w:r>
              <w:rPr>
                <w:color w:val="auto"/>
              </w:rPr>
              <w:t>10</w:t>
            </w:r>
            <w:r>
              <w:rPr>
                <w:rFonts w:hint="eastAsia"/>
                <w:color w:val="auto"/>
              </w:rPr>
              <w:t>分</w:t>
            </w:r>
          </w:p>
          <w:p w14:paraId="49B02124">
            <w:pPr>
              <w:pStyle w:val="44"/>
              <w:jc w:val="left"/>
              <w:rPr>
                <w:color w:val="auto"/>
              </w:rPr>
            </w:pPr>
            <w:r>
              <w:rPr>
                <w:color w:val="auto"/>
              </w:rPr>
              <w:t>8</w:t>
            </w:r>
            <w:r>
              <w:rPr>
                <w:rFonts w:hint="eastAsia"/>
                <w:color w:val="auto"/>
              </w:rPr>
              <w:t>）挂篮行走过程中，构件上站人，扣</w:t>
            </w:r>
            <w:r>
              <w:rPr>
                <w:color w:val="auto"/>
              </w:rPr>
              <w:t>2</w:t>
            </w:r>
            <w:r>
              <w:rPr>
                <w:rFonts w:hint="eastAsia"/>
                <w:color w:val="auto"/>
              </w:rPr>
              <w:t>分</w:t>
            </w:r>
          </w:p>
          <w:p w14:paraId="2EE32074">
            <w:pPr>
              <w:pStyle w:val="44"/>
              <w:jc w:val="left"/>
              <w:rPr>
                <w:color w:val="auto"/>
              </w:rPr>
            </w:pPr>
            <w:r>
              <w:rPr>
                <w:color w:val="auto"/>
              </w:rPr>
              <w:t>9</w:t>
            </w:r>
            <w:r>
              <w:rPr>
                <w:rFonts w:hint="eastAsia"/>
                <w:color w:val="auto"/>
              </w:rPr>
              <w:t>）雨雪天或风力超过挂篮设计移动风力时进行挂篮移动，扣</w:t>
            </w:r>
            <w:r>
              <w:rPr>
                <w:color w:val="auto"/>
              </w:rPr>
              <w:t>10</w:t>
            </w:r>
            <w:r>
              <w:rPr>
                <w:rFonts w:hint="eastAsia"/>
                <w:color w:val="auto"/>
              </w:rPr>
              <w:t>分</w:t>
            </w:r>
          </w:p>
          <w:p w14:paraId="208272FB">
            <w:pPr>
              <w:pStyle w:val="44"/>
              <w:jc w:val="left"/>
              <w:rPr>
                <w:color w:val="auto"/>
              </w:rPr>
            </w:pPr>
            <w:r>
              <w:rPr>
                <w:color w:val="auto"/>
              </w:rPr>
              <w:t>10</w:t>
            </w:r>
            <w:r>
              <w:rPr>
                <w:rFonts w:hint="eastAsia"/>
                <w:color w:val="auto"/>
              </w:rPr>
              <w:t>）挂篮现场使用单位未对其安全技术记录资料建立安全技术档案，扣</w:t>
            </w:r>
            <w:r>
              <w:rPr>
                <w:color w:val="auto"/>
              </w:rPr>
              <w:t>5</w:t>
            </w:r>
            <w:r>
              <w:rPr>
                <w:rFonts w:hint="eastAsia"/>
                <w:color w:val="auto"/>
              </w:rPr>
              <w:t>分</w:t>
            </w:r>
          </w:p>
        </w:tc>
        <w:tc>
          <w:tcPr>
            <w:tcW w:w="720" w:type="dxa"/>
            <w:vAlign w:val="center"/>
          </w:tcPr>
          <w:p w14:paraId="376EC07B">
            <w:pPr>
              <w:pStyle w:val="44"/>
              <w:rPr>
                <w:color w:val="auto"/>
              </w:rPr>
            </w:pPr>
            <w:r>
              <w:rPr>
                <w:color w:val="auto"/>
              </w:rPr>
              <w:t>10</w:t>
            </w:r>
          </w:p>
        </w:tc>
        <w:tc>
          <w:tcPr>
            <w:tcW w:w="720" w:type="dxa"/>
            <w:vAlign w:val="center"/>
          </w:tcPr>
          <w:p w14:paraId="3C10DB6D">
            <w:pPr>
              <w:pStyle w:val="44"/>
              <w:rPr>
                <w:color w:val="auto"/>
              </w:rPr>
            </w:pPr>
          </w:p>
        </w:tc>
        <w:tc>
          <w:tcPr>
            <w:tcW w:w="720" w:type="dxa"/>
            <w:vAlign w:val="center"/>
          </w:tcPr>
          <w:p w14:paraId="485D2A28">
            <w:pPr>
              <w:pStyle w:val="44"/>
              <w:rPr>
                <w:color w:val="auto"/>
              </w:rPr>
            </w:pPr>
          </w:p>
        </w:tc>
      </w:tr>
      <w:tr w14:paraId="0ECB3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06974E5D">
            <w:pPr>
              <w:pStyle w:val="44"/>
              <w:rPr>
                <w:color w:val="auto"/>
              </w:rPr>
            </w:pPr>
          </w:p>
        </w:tc>
        <w:tc>
          <w:tcPr>
            <w:tcW w:w="543" w:type="dxa"/>
            <w:vMerge w:val="continue"/>
          </w:tcPr>
          <w:p w14:paraId="444B8F1B">
            <w:pPr>
              <w:pStyle w:val="44"/>
              <w:rPr>
                <w:color w:val="auto"/>
              </w:rPr>
            </w:pPr>
          </w:p>
        </w:tc>
        <w:tc>
          <w:tcPr>
            <w:tcW w:w="6478" w:type="dxa"/>
            <w:gridSpan w:val="2"/>
            <w:vAlign w:val="center"/>
          </w:tcPr>
          <w:p w14:paraId="219CC245">
            <w:pPr>
              <w:pStyle w:val="44"/>
              <w:rPr>
                <w:b/>
                <w:bCs w:val="0"/>
                <w:color w:val="auto"/>
              </w:rPr>
            </w:pPr>
            <w:r>
              <w:rPr>
                <w:rFonts w:hint="eastAsia"/>
                <w:b/>
                <w:bCs w:val="0"/>
                <w:color w:val="auto"/>
              </w:rPr>
              <w:t>小</w:t>
            </w:r>
            <w:r>
              <w:rPr>
                <w:b/>
                <w:bCs w:val="0"/>
                <w:color w:val="auto"/>
              </w:rPr>
              <w:t xml:space="preserve">  </w:t>
            </w:r>
            <w:r>
              <w:rPr>
                <w:rFonts w:hint="eastAsia"/>
                <w:b/>
                <w:bCs w:val="0"/>
                <w:color w:val="auto"/>
              </w:rPr>
              <w:t>计</w:t>
            </w:r>
          </w:p>
        </w:tc>
        <w:tc>
          <w:tcPr>
            <w:tcW w:w="720" w:type="dxa"/>
            <w:vAlign w:val="center"/>
          </w:tcPr>
          <w:p w14:paraId="4E200F65">
            <w:pPr>
              <w:pStyle w:val="44"/>
              <w:rPr>
                <w:color w:val="auto"/>
              </w:rPr>
            </w:pPr>
            <w:r>
              <w:rPr>
                <w:color w:val="auto"/>
              </w:rPr>
              <w:t>70</w:t>
            </w:r>
          </w:p>
        </w:tc>
        <w:tc>
          <w:tcPr>
            <w:tcW w:w="720" w:type="dxa"/>
            <w:vAlign w:val="center"/>
          </w:tcPr>
          <w:p w14:paraId="72ED0867">
            <w:pPr>
              <w:pStyle w:val="44"/>
              <w:rPr>
                <w:color w:val="auto"/>
              </w:rPr>
            </w:pPr>
          </w:p>
        </w:tc>
        <w:tc>
          <w:tcPr>
            <w:tcW w:w="720" w:type="dxa"/>
            <w:vAlign w:val="center"/>
          </w:tcPr>
          <w:p w14:paraId="313C0355">
            <w:pPr>
              <w:pStyle w:val="44"/>
              <w:rPr>
                <w:color w:val="auto"/>
              </w:rPr>
            </w:pPr>
          </w:p>
        </w:tc>
      </w:tr>
      <w:tr w14:paraId="27382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134" w:hRule="atLeast"/>
        </w:trPr>
        <w:tc>
          <w:tcPr>
            <w:tcW w:w="539" w:type="dxa"/>
            <w:vAlign w:val="center"/>
          </w:tcPr>
          <w:p w14:paraId="5AF8E01D">
            <w:pPr>
              <w:pStyle w:val="44"/>
              <w:rPr>
                <w:color w:val="auto"/>
              </w:rPr>
            </w:pPr>
            <w:r>
              <w:rPr>
                <w:color w:val="auto"/>
              </w:rPr>
              <w:t>1</w:t>
            </w:r>
          </w:p>
        </w:tc>
        <w:tc>
          <w:tcPr>
            <w:tcW w:w="543" w:type="dxa"/>
            <w:vMerge w:val="restart"/>
            <w:vAlign w:val="center"/>
          </w:tcPr>
          <w:p w14:paraId="4BEB6AEA">
            <w:pPr>
              <w:pStyle w:val="44"/>
              <w:rPr>
                <w:color w:val="auto"/>
              </w:rPr>
            </w:pPr>
            <w:r>
              <w:rPr>
                <w:rFonts w:hint="eastAsia"/>
                <w:color w:val="auto"/>
              </w:rPr>
              <w:t>一</w:t>
            </w:r>
          </w:p>
          <w:p w14:paraId="381C08BF">
            <w:pPr>
              <w:pStyle w:val="44"/>
              <w:rPr>
                <w:color w:val="auto"/>
              </w:rPr>
            </w:pPr>
            <w:r>
              <w:rPr>
                <w:rFonts w:hint="eastAsia"/>
                <w:color w:val="auto"/>
              </w:rPr>
              <w:t>般</w:t>
            </w:r>
          </w:p>
          <w:p w14:paraId="77242B9D">
            <w:pPr>
              <w:pStyle w:val="44"/>
              <w:rPr>
                <w:color w:val="auto"/>
              </w:rPr>
            </w:pPr>
            <w:r>
              <w:rPr>
                <w:rFonts w:hint="eastAsia"/>
                <w:color w:val="auto"/>
              </w:rPr>
              <w:t>项</w:t>
            </w:r>
          </w:p>
          <w:p w14:paraId="3043C3E9">
            <w:pPr>
              <w:pStyle w:val="44"/>
              <w:rPr>
                <w:color w:val="auto"/>
              </w:rPr>
            </w:pPr>
            <w:r>
              <w:rPr>
                <w:rFonts w:hint="eastAsia"/>
                <w:color w:val="auto"/>
              </w:rPr>
              <w:t>目</w:t>
            </w:r>
          </w:p>
        </w:tc>
        <w:tc>
          <w:tcPr>
            <w:tcW w:w="898" w:type="dxa"/>
            <w:textDirection w:val="tbRlV"/>
            <w:vAlign w:val="center"/>
          </w:tcPr>
          <w:p w14:paraId="43C254EA">
            <w:pPr>
              <w:pStyle w:val="44"/>
              <w:ind w:left="113" w:right="113"/>
              <w:rPr>
                <w:color w:val="auto"/>
              </w:rPr>
            </w:pPr>
            <w:r>
              <w:rPr>
                <w:rFonts w:hint="eastAsia"/>
                <w:color w:val="auto"/>
                <w:spacing w:val="35"/>
                <w:kern w:val="0"/>
                <w:fitText w:val="1050" w:id="-2072795646"/>
              </w:rPr>
              <w:t>预留预</w:t>
            </w:r>
            <w:r>
              <w:rPr>
                <w:rFonts w:hint="eastAsia"/>
                <w:color w:val="auto"/>
                <w:spacing w:val="0"/>
                <w:kern w:val="0"/>
                <w:fitText w:val="1050" w:id="-2072795646"/>
              </w:rPr>
              <w:t>埋</w:t>
            </w:r>
          </w:p>
        </w:tc>
        <w:tc>
          <w:tcPr>
            <w:tcW w:w="5580" w:type="dxa"/>
            <w:vAlign w:val="center"/>
          </w:tcPr>
          <w:p w14:paraId="43329161">
            <w:pPr>
              <w:pStyle w:val="44"/>
              <w:jc w:val="left"/>
              <w:rPr>
                <w:color w:val="auto"/>
              </w:rPr>
            </w:pPr>
            <w:r>
              <w:rPr>
                <w:color w:val="auto"/>
              </w:rPr>
              <w:t>1</w:t>
            </w:r>
            <w:r>
              <w:rPr>
                <w:rFonts w:hint="eastAsia"/>
                <w:color w:val="auto"/>
              </w:rPr>
              <w:t>）预留孔数量、位置、尺寸不符合专项施工方案的要求，每处扣</w:t>
            </w:r>
            <w:r>
              <w:rPr>
                <w:color w:val="auto"/>
              </w:rPr>
              <w:t>3</w:t>
            </w:r>
            <w:r>
              <w:rPr>
                <w:rFonts w:hint="eastAsia"/>
                <w:color w:val="auto"/>
              </w:rPr>
              <w:t>分</w:t>
            </w:r>
          </w:p>
          <w:p w14:paraId="4A01D9C4">
            <w:pPr>
              <w:pStyle w:val="44"/>
              <w:jc w:val="left"/>
              <w:rPr>
                <w:color w:val="auto"/>
              </w:rPr>
            </w:pPr>
            <w:r>
              <w:rPr>
                <w:color w:val="auto"/>
              </w:rPr>
              <w:t>2</w:t>
            </w:r>
            <w:r>
              <w:rPr>
                <w:rFonts w:hint="eastAsia"/>
                <w:color w:val="auto"/>
              </w:rPr>
              <w:t>）预埋件型号、位置、标高不符合专项施工方案要求，扣</w:t>
            </w:r>
            <w:r>
              <w:rPr>
                <w:color w:val="auto"/>
              </w:rPr>
              <w:t>5-8</w:t>
            </w:r>
            <w:r>
              <w:rPr>
                <w:rFonts w:hint="eastAsia"/>
                <w:color w:val="auto"/>
              </w:rPr>
              <w:t>分</w:t>
            </w:r>
          </w:p>
        </w:tc>
        <w:tc>
          <w:tcPr>
            <w:tcW w:w="720" w:type="dxa"/>
            <w:vAlign w:val="center"/>
          </w:tcPr>
          <w:p w14:paraId="5732DF3B">
            <w:pPr>
              <w:pStyle w:val="44"/>
              <w:rPr>
                <w:color w:val="auto"/>
              </w:rPr>
            </w:pPr>
            <w:r>
              <w:rPr>
                <w:color w:val="auto"/>
              </w:rPr>
              <w:t>10</w:t>
            </w:r>
          </w:p>
        </w:tc>
        <w:tc>
          <w:tcPr>
            <w:tcW w:w="720" w:type="dxa"/>
            <w:vAlign w:val="center"/>
          </w:tcPr>
          <w:p w14:paraId="7E60DF30">
            <w:pPr>
              <w:pStyle w:val="44"/>
              <w:rPr>
                <w:color w:val="auto"/>
              </w:rPr>
            </w:pPr>
          </w:p>
        </w:tc>
        <w:tc>
          <w:tcPr>
            <w:tcW w:w="720" w:type="dxa"/>
            <w:vAlign w:val="center"/>
          </w:tcPr>
          <w:p w14:paraId="25ECE967">
            <w:pPr>
              <w:pStyle w:val="44"/>
              <w:rPr>
                <w:color w:val="auto"/>
              </w:rPr>
            </w:pPr>
          </w:p>
        </w:tc>
      </w:tr>
      <w:tr w14:paraId="3DAD5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134" w:hRule="atLeast"/>
        </w:trPr>
        <w:tc>
          <w:tcPr>
            <w:tcW w:w="539" w:type="dxa"/>
            <w:vAlign w:val="center"/>
          </w:tcPr>
          <w:p w14:paraId="713CEF42">
            <w:pPr>
              <w:pStyle w:val="44"/>
              <w:rPr>
                <w:color w:val="auto"/>
              </w:rPr>
            </w:pPr>
            <w:r>
              <w:rPr>
                <w:color w:val="auto"/>
              </w:rPr>
              <w:t>2</w:t>
            </w:r>
          </w:p>
        </w:tc>
        <w:tc>
          <w:tcPr>
            <w:tcW w:w="543" w:type="dxa"/>
            <w:vMerge w:val="continue"/>
          </w:tcPr>
          <w:p w14:paraId="26AA014B">
            <w:pPr>
              <w:pStyle w:val="44"/>
              <w:rPr>
                <w:color w:val="auto"/>
              </w:rPr>
            </w:pPr>
          </w:p>
        </w:tc>
        <w:tc>
          <w:tcPr>
            <w:tcW w:w="898" w:type="dxa"/>
            <w:textDirection w:val="tbRlV"/>
            <w:vAlign w:val="center"/>
          </w:tcPr>
          <w:p w14:paraId="3C37FC73">
            <w:pPr>
              <w:pStyle w:val="44"/>
              <w:ind w:left="113" w:right="113"/>
              <w:rPr>
                <w:color w:val="auto"/>
                <w:spacing w:val="73"/>
                <w:sz w:val="22"/>
                <w:szCs w:val="22"/>
              </w:rPr>
            </w:pPr>
            <w:r>
              <w:rPr>
                <w:rFonts w:hint="eastAsia"/>
                <w:color w:val="auto"/>
                <w:spacing w:val="73"/>
                <w:kern w:val="0"/>
                <w:sz w:val="22"/>
                <w:szCs w:val="22"/>
                <w:fitText w:val="1320" w:id="-2072795903"/>
              </w:rPr>
              <w:t>安全防</w:t>
            </w:r>
            <w:r>
              <w:rPr>
                <w:rFonts w:hint="eastAsia"/>
                <w:color w:val="auto"/>
                <w:spacing w:val="1"/>
                <w:kern w:val="0"/>
                <w:sz w:val="22"/>
                <w:szCs w:val="22"/>
                <w:fitText w:val="1320" w:id="-2072795903"/>
              </w:rPr>
              <w:t>护</w:t>
            </w:r>
          </w:p>
        </w:tc>
        <w:tc>
          <w:tcPr>
            <w:tcW w:w="5580" w:type="dxa"/>
            <w:vAlign w:val="center"/>
          </w:tcPr>
          <w:p w14:paraId="3003B6D7">
            <w:pPr>
              <w:pStyle w:val="44"/>
              <w:jc w:val="left"/>
              <w:rPr>
                <w:color w:val="auto"/>
              </w:rPr>
            </w:pPr>
            <w:r>
              <w:rPr>
                <w:color w:val="auto"/>
              </w:rPr>
              <w:t>1</w:t>
            </w:r>
            <w:r>
              <w:rPr>
                <w:rFonts w:hint="eastAsia"/>
                <w:color w:val="auto"/>
              </w:rPr>
              <w:t>）挂篮临边作业处未设置操作平台，扣</w:t>
            </w:r>
            <w:r>
              <w:rPr>
                <w:color w:val="auto"/>
              </w:rPr>
              <w:t>10</w:t>
            </w:r>
            <w:r>
              <w:rPr>
                <w:rFonts w:hint="eastAsia"/>
                <w:color w:val="auto"/>
              </w:rPr>
              <w:t>分，操作平台不稳固，扣</w:t>
            </w:r>
            <w:r>
              <w:rPr>
                <w:color w:val="auto"/>
              </w:rPr>
              <w:t>2-10</w:t>
            </w:r>
            <w:r>
              <w:rPr>
                <w:rFonts w:hint="eastAsia"/>
                <w:color w:val="auto"/>
              </w:rPr>
              <w:t>分</w:t>
            </w:r>
          </w:p>
          <w:p w14:paraId="6B4564F9">
            <w:pPr>
              <w:pStyle w:val="44"/>
              <w:jc w:val="left"/>
              <w:rPr>
                <w:color w:val="auto"/>
              </w:rPr>
            </w:pPr>
            <w:r>
              <w:rPr>
                <w:color w:val="auto"/>
              </w:rPr>
              <w:t>2</w:t>
            </w:r>
            <w:r>
              <w:rPr>
                <w:rFonts w:hint="eastAsia"/>
                <w:color w:val="auto"/>
              </w:rPr>
              <w:t>）操作平台未牢固满铺脚手板，扣</w:t>
            </w:r>
            <w:r>
              <w:rPr>
                <w:color w:val="auto"/>
              </w:rPr>
              <w:t>2-5</w:t>
            </w:r>
            <w:r>
              <w:rPr>
                <w:rFonts w:hint="eastAsia"/>
                <w:color w:val="auto"/>
              </w:rPr>
              <w:t>分</w:t>
            </w:r>
          </w:p>
          <w:p w14:paraId="59DEBACE">
            <w:pPr>
              <w:pStyle w:val="44"/>
              <w:jc w:val="left"/>
              <w:rPr>
                <w:color w:val="auto"/>
              </w:rPr>
            </w:pPr>
            <w:r>
              <w:rPr>
                <w:color w:val="auto"/>
              </w:rPr>
              <w:t>3</w:t>
            </w:r>
            <w:r>
              <w:rPr>
                <w:rFonts w:hint="eastAsia"/>
                <w:color w:val="auto"/>
              </w:rPr>
              <w:t>）操作平台未按规定设置栏杆、挡脚板和安全立网，扣</w:t>
            </w:r>
            <w:r>
              <w:rPr>
                <w:color w:val="auto"/>
              </w:rPr>
              <w:t>2-5</w:t>
            </w:r>
            <w:r>
              <w:rPr>
                <w:rFonts w:hint="eastAsia"/>
                <w:color w:val="auto"/>
              </w:rPr>
              <w:t>分</w:t>
            </w:r>
          </w:p>
          <w:p w14:paraId="7CD8082C">
            <w:pPr>
              <w:pStyle w:val="44"/>
              <w:jc w:val="left"/>
              <w:rPr>
                <w:color w:val="auto"/>
              </w:rPr>
            </w:pPr>
            <w:r>
              <w:rPr>
                <w:color w:val="auto"/>
              </w:rPr>
              <w:t>4</w:t>
            </w:r>
            <w:r>
              <w:rPr>
                <w:rFonts w:hint="eastAsia"/>
                <w:color w:val="auto"/>
              </w:rPr>
              <w:t>）上下操作平台间未设置梯道，扣</w:t>
            </w:r>
            <w:r>
              <w:rPr>
                <w:color w:val="auto"/>
              </w:rPr>
              <w:t>5</w:t>
            </w:r>
            <w:r>
              <w:rPr>
                <w:rFonts w:hint="eastAsia"/>
                <w:color w:val="auto"/>
              </w:rPr>
              <w:t>分，梯道设置不牢固或不畅通，扣</w:t>
            </w:r>
            <w:r>
              <w:rPr>
                <w:color w:val="auto"/>
              </w:rPr>
              <w:t>3</w:t>
            </w:r>
            <w:r>
              <w:rPr>
                <w:rFonts w:hint="eastAsia"/>
                <w:color w:val="auto"/>
              </w:rPr>
              <w:t>分</w:t>
            </w:r>
          </w:p>
          <w:p w14:paraId="5F70E72F">
            <w:pPr>
              <w:pStyle w:val="44"/>
              <w:jc w:val="left"/>
              <w:rPr>
                <w:color w:val="auto"/>
              </w:rPr>
            </w:pPr>
            <w:r>
              <w:rPr>
                <w:color w:val="auto"/>
              </w:rPr>
              <w:t>5</w:t>
            </w:r>
            <w:r>
              <w:rPr>
                <w:rFonts w:hint="eastAsia"/>
                <w:color w:val="auto"/>
              </w:rPr>
              <w:t>）跨（临）铁路、道路、航道的挂篮下部未设置能防止穿透的防护棚，扣</w:t>
            </w:r>
            <w:r>
              <w:rPr>
                <w:color w:val="auto"/>
              </w:rPr>
              <w:t>5</w:t>
            </w:r>
            <w:r>
              <w:rPr>
                <w:rFonts w:hint="eastAsia"/>
                <w:color w:val="auto"/>
              </w:rPr>
              <w:t>分</w:t>
            </w:r>
          </w:p>
          <w:p w14:paraId="24BEF743">
            <w:pPr>
              <w:pStyle w:val="44"/>
              <w:jc w:val="left"/>
              <w:rPr>
                <w:color w:val="auto"/>
              </w:rPr>
            </w:pPr>
            <w:r>
              <w:rPr>
                <w:color w:val="auto"/>
              </w:rPr>
              <w:t>6</w:t>
            </w:r>
            <w:r>
              <w:rPr>
                <w:rFonts w:hint="eastAsia"/>
                <w:color w:val="auto"/>
              </w:rPr>
              <w:t>）起重设备、混凝土输送管、脚手架、物料周转平台等设施与挂篮相连接，扣</w:t>
            </w:r>
            <w:r>
              <w:rPr>
                <w:color w:val="auto"/>
              </w:rPr>
              <w:t>3</w:t>
            </w:r>
            <w:r>
              <w:rPr>
                <w:rFonts w:hint="eastAsia"/>
                <w:color w:val="auto"/>
              </w:rPr>
              <w:t>分</w:t>
            </w:r>
          </w:p>
        </w:tc>
        <w:tc>
          <w:tcPr>
            <w:tcW w:w="720" w:type="dxa"/>
            <w:vAlign w:val="center"/>
          </w:tcPr>
          <w:p w14:paraId="45F3E315">
            <w:pPr>
              <w:pStyle w:val="44"/>
              <w:rPr>
                <w:color w:val="auto"/>
              </w:rPr>
            </w:pPr>
            <w:r>
              <w:rPr>
                <w:color w:val="auto"/>
              </w:rPr>
              <w:t>10</w:t>
            </w:r>
          </w:p>
        </w:tc>
        <w:tc>
          <w:tcPr>
            <w:tcW w:w="720" w:type="dxa"/>
            <w:vAlign w:val="center"/>
          </w:tcPr>
          <w:p w14:paraId="44BFA4A9">
            <w:pPr>
              <w:pStyle w:val="44"/>
              <w:rPr>
                <w:color w:val="auto"/>
              </w:rPr>
            </w:pPr>
          </w:p>
        </w:tc>
        <w:tc>
          <w:tcPr>
            <w:tcW w:w="720" w:type="dxa"/>
            <w:vAlign w:val="center"/>
          </w:tcPr>
          <w:p w14:paraId="4CD4C34F">
            <w:pPr>
              <w:pStyle w:val="44"/>
              <w:rPr>
                <w:color w:val="auto"/>
              </w:rPr>
            </w:pPr>
          </w:p>
        </w:tc>
      </w:tr>
      <w:tr w14:paraId="29682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134" w:hRule="atLeast"/>
        </w:trPr>
        <w:tc>
          <w:tcPr>
            <w:tcW w:w="539" w:type="dxa"/>
            <w:vAlign w:val="center"/>
          </w:tcPr>
          <w:p w14:paraId="0C987251">
            <w:pPr>
              <w:pStyle w:val="44"/>
              <w:rPr>
                <w:color w:val="auto"/>
              </w:rPr>
            </w:pPr>
            <w:r>
              <w:rPr>
                <w:color w:val="auto"/>
              </w:rPr>
              <w:t>3</w:t>
            </w:r>
          </w:p>
        </w:tc>
        <w:tc>
          <w:tcPr>
            <w:tcW w:w="543" w:type="dxa"/>
            <w:vMerge w:val="continue"/>
          </w:tcPr>
          <w:p w14:paraId="73EA93E3">
            <w:pPr>
              <w:pStyle w:val="44"/>
              <w:rPr>
                <w:color w:val="auto"/>
              </w:rPr>
            </w:pPr>
          </w:p>
        </w:tc>
        <w:tc>
          <w:tcPr>
            <w:tcW w:w="898" w:type="dxa"/>
            <w:textDirection w:val="tbRlV"/>
            <w:vAlign w:val="center"/>
          </w:tcPr>
          <w:p w14:paraId="45FB5204">
            <w:pPr>
              <w:pStyle w:val="44"/>
              <w:ind w:left="113" w:right="113"/>
              <w:rPr>
                <w:color w:val="auto"/>
                <w:spacing w:val="73"/>
                <w:sz w:val="22"/>
                <w:szCs w:val="22"/>
              </w:rPr>
            </w:pPr>
            <w:r>
              <w:rPr>
                <w:rFonts w:hint="eastAsia"/>
                <w:color w:val="auto"/>
                <w:spacing w:val="73"/>
                <w:kern w:val="0"/>
                <w:sz w:val="22"/>
                <w:szCs w:val="22"/>
                <w:fitText w:val="1320" w:id="-2072795903"/>
              </w:rPr>
              <w:t>挂篮拆</w:t>
            </w:r>
            <w:r>
              <w:rPr>
                <w:rFonts w:hint="eastAsia"/>
                <w:color w:val="auto"/>
                <w:spacing w:val="1"/>
                <w:kern w:val="0"/>
                <w:sz w:val="22"/>
                <w:szCs w:val="22"/>
                <w:fitText w:val="1320" w:id="-2072795903"/>
              </w:rPr>
              <w:t>除</w:t>
            </w:r>
          </w:p>
        </w:tc>
        <w:tc>
          <w:tcPr>
            <w:tcW w:w="5580" w:type="dxa"/>
            <w:vAlign w:val="center"/>
          </w:tcPr>
          <w:p w14:paraId="3AEDB8BF">
            <w:pPr>
              <w:pStyle w:val="44"/>
              <w:jc w:val="left"/>
              <w:rPr>
                <w:color w:val="auto"/>
              </w:rPr>
            </w:pPr>
            <w:r>
              <w:rPr>
                <w:color w:val="auto"/>
              </w:rPr>
              <w:t>1</w:t>
            </w:r>
            <w:r>
              <w:rPr>
                <w:rFonts w:hint="eastAsia"/>
                <w:color w:val="auto"/>
              </w:rPr>
              <w:t>）挂篮拆除前未向现场管理人员和作业人员进行安全技术交底，扣</w:t>
            </w:r>
            <w:r>
              <w:rPr>
                <w:color w:val="auto"/>
              </w:rPr>
              <w:t>5</w:t>
            </w:r>
            <w:r>
              <w:rPr>
                <w:rFonts w:hint="eastAsia"/>
                <w:color w:val="auto"/>
              </w:rPr>
              <w:t>分</w:t>
            </w:r>
          </w:p>
          <w:p w14:paraId="7EEA62C1">
            <w:pPr>
              <w:pStyle w:val="44"/>
              <w:jc w:val="left"/>
              <w:rPr>
                <w:color w:val="auto"/>
              </w:rPr>
            </w:pPr>
            <w:r>
              <w:rPr>
                <w:color w:val="auto"/>
              </w:rPr>
              <w:t>2</w:t>
            </w:r>
            <w:r>
              <w:rPr>
                <w:rFonts w:hint="eastAsia"/>
                <w:color w:val="auto"/>
              </w:rPr>
              <w:t>）挂篮后移过程中未设专人统一指挥，扣</w:t>
            </w:r>
            <w:r>
              <w:rPr>
                <w:color w:val="auto"/>
              </w:rPr>
              <w:t>5</w:t>
            </w:r>
            <w:r>
              <w:rPr>
                <w:rFonts w:hint="eastAsia"/>
                <w:color w:val="auto"/>
              </w:rPr>
              <w:t>分</w:t>
            </w:r>
          </w:p>
          <w:p w14:paraId="675D3421">
            <w:pPr>
              <w:pStyle w:val="44"/>
              <w:jc w:val="left"/>
              <w:rPr>
                <w:color w:val="auto"/>
              </w:rPr>
            </w:pPr>
            <w:r>
              <w:rPr>
                <w:color w:val="auto"/>
              </w:rPr>
              <w:t>3</w:t>
            </w:r>
            <w:r>
              <w:rPr>
                <w:rFonts w:hint="eastAsia"/>
                <w:color w:val="auto"/>
              </w:rPr>
              <w:t>）拆除作业未按照先拆除模板和吊挂系统后拆除主桁受力系统的顺序进行，扣</w:t>
            </w:r>
            <w:r>
              <w:rPr>
                <w:color w:val="auto"/>
              </w:rPr>
              <w:t>5</w:t>
            </w:r>
            <w:r>
              <w:rPr>
                <w:rFonts w:hint="eastAsia"/>
                <w:color w:val="auto"/>
              </w:rPr>
              <w:t>分</w:t>
            </w:r>
          </w:p>
          <w:p w14:paraId="45E24248">
            <w:pPr>
              <w:pStyle w:val="44"/>
              <w:jc w:val="left"/>
              <w:rPr>
                <w:color w:val="auto"/>
              </w:rPr>
            </w:pPr>
            <w:r>
              <w:rPr>
                <w:color w:val="auto"/>
              </w:rPr>
              <w:t>4</w:t>
            </w:r>
            <w:r>
              <w:rPr>
                <w:rFonts w:hint="eastAsia"/>
                <w:color w:val="auto"/>
              </w:rPr>
              <w:t>）模板系统和吊挂系统拆除时未完成体系转换，扣</w:t>
            </w:r>
            <w:r>
              <w:rPr>
                <w:color w:val="auto"/>
              </w:rPr>
              <w:t>5</w:t>
            </w:r>
            <w:r>
              <w:rPr>
                <w:rFonts w:hint="eastAsia"/>
                <w:color w:val="auto"/>
              </w:rPr>
              <w:t>分</w:t>
            </w:r>
          </w:p>
          <w:p w14:paraId="61EC0BF9">
            <w:pPr>
              <w:pStyle w:val="44"/>
              <w:jc w:val="left"/>
              <w:rPr>
                <w:color w:val="auto"/>
              </w:rPr>
            </w:pPr>
            <w:r>
              <w:rPr>
                <w:color w:val="auto"/>
              </w:rPr>
              <w:t>5</w:t>
            </w:r>
            <w:r>
              <w:rPr>
                <w:rFonts w:hint="eastAsia"/>
                <w:color w:val="auto"/>
              </w:rPr>
              <w:t>）两悬臂端挂篮后移和拆除未按照对称同步的顺序进行，扣</w:t>
            </w:r>
            <w:r>
              <w:rPr>
                <w:color w:val="auto"/>
              </w:rPr>
              <w:t>2</w:t>
            </w:r>
            <w:r>
              <w:rPr>
                <w:rFonts w:hint="eastAsia"/>
                <w:color w:val="auto"/>
              </w:rPr>
              <w:t>分</w:t>
            </w:r>
          </w:p>
          <w:p w14:paraId="0B32EC5F">
            <w:pPr>
              <w:pStyle w:val="44"/>
              <w:jc w:val="left"/>
              <w:rPr>
                <w:color w:val="auto"/>
              </w:rPr>
            </w:pPr>
            <w:r>
              <w:rPr>
                <w:color w:val="auto"/>
              </w:rPr>
              <w:t>6</w:t>
            </w:r>
            <w:r>
              <w:rPr>
                <w:rFonts w:hint="eastAsia"/>
                <w:color w:val="auto"/>
              </w:rPr>
              <w:t>）挂篮拆除过程中前端堆放物料，扣</w:t>
            </w:r>
            <w:r>
              <w:rPr>
                <w:color w:val="auto"/>
              </w:rPr>
              <w:t>2</w:t>
            </w:r>
            <w:r>
              <w:rPr>
                <w:rFonts w:hint="eastAsia"/>
                <w:color w:val="auto"/>
              </w:rPr>
              <w:t>分</w:t>
            </w:r>
          </w:p>
        </w:tc>
        <w:tc>
          <w:tcPr>
            <w:tcW w:w="720" w:type="dxa"/>
            <w:vAlign w:val="center"/>
          </w:tcPr>
          <w:p w14:paraId="3E74357C">
            <w:pPr>
              <w:pStyle w:val="44"/>
              <w:rPr>
                <w:color w:val="auto"/>
              </w:rPr>
            </w:pPr>
            <w:r>
              <w:rPr>
                <w:color w:val="auto"/>
              </w:rPr>
              <w:t xml:space="preserve">10 </w:t>
            </w:r>
          </w:p>
        </w:tc>
        <w:tc>
          <w:tcPr>
            <w:tcW w:w="720" w:type="dxa"/>
            <w:vAlign w:val="center"/>
          </w:tcPr>
          <w:p w14:paraId="47965A81">
            <w:pPr>
              <w:pStyle w:val="44"/>
              <w:rPr>
                <w:color w:val="auto"/>
              </w:rPr>
            </w:pPr>
          </w:p>
        </w:tc>
        <w:tc>
          <w:tcPr>
            <w:tcW w:w="720" w:type="dxa"/>
            <w:vAlign w:val="center"/>
          </w:tcPr>
          <w:p w14:paraId="3A89979E">
            <w:pPr>
              <w:pStyle w:val="44"/>
              <w:rPr>
                <w:color w:val="auto"/>
              </w:rPr>
            </w:pPr>
          </w:p>
        </w:tc>
      </w:tr>
      <w:tr w14:paraId="03424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557C2DC1">
            <w:pPr>
              <w:pStyle w:val="44"/>
              <w:rPr>
                <w:color w:val="auto"/>
              </w:rPr>
            </w:pPr>
          </w:p>
        </w:tc>
        <w:tc>
          <w:tcPr>
            <w:tcW w:w="543" w:type="dxa"/>
            <w:vMerge w:val="continue"/>
          </w:tcPr>
          <w:p w14:paraId="62186F46">
            <w:pPr>
              <w:pStyle w:val="44"/>
              <w:rPr>
                <w:color w:val="auto"/>
              </w:rPr>
            </w:pPr>
          </w:p>
        </w:tc>
        <w:tc>
          <w:tcPr>
            <w:tcW w:w="6478" w:type="dxa"/>
            <w:gridSpan w:val="2"/>
            <w:vAlign w:val="center"/>
          </w:tcPr>
          <w:p w14:paraId="4A565C7C">
            <w:pPr>
              <w:pStyle w:val="44"/>
              <w:rPr>
                <w:b/>
                <w:bCs w:val="0"/>
                <w:color w:val="auto"/>
              </w:rPr>
            </w:pPr>
            <w:r>
              <w:rPr>
                <w:rFonts w:hint="eastAsia"/>
                <w:b/>
                <w:bCs w:val="0"/>
                <w:color w:val="auto"/>
              </w:rPr>
              <w:t>小</w:t>
            </w:r>
            <w:r>
              <w:rPr>
                <w:b/>
                <w:bCs w:val="0"/>
                <w:color w:val="auto"/>
              </w:rPr>
              <w:t xml:space="preserve">  </w:t>
            </w:r>
            <w:r>
              <w:rPr>
                <w:rFonts w:hint="eastAsia"/>
                <w:b/>
                <w:bCs w:val="0"/>
                <w:color w:val="auto"/>
              </w:rPr>
              <w:t>计</w:t>
            </w:r>
          </w:p>
        </w:tc>
        <w:tc>
          <w:tcPr>
            <w:tcW w:w="720" w:type="dxa"/>
            <w:vAlign w:val="center"/>
          </w:tcPr>
          <w:p w14:paraId="68A1BCE7">
            <w:pPr>
              <w:pStyle w:val="44"/>
              <w:rPr>
                <w:color w:val="auto"/>
              </w:rPr>
            </w:pPr>
            <w:r>
              <w:rPr>
                <w:color w:val="auto"/>
              </w:rPr>
              <w:t>30</w:t>
            </w:r>
          </w:p>
        </w:tc>
        <w:tc>
          <w:tcPr>
            <w:tcW w:w="720" w:type="dxa"/>
            <w:vAlign w:val="center"/>
          </w:tcPr>
          <w:p w14:paraId="03948585">
            <w:pPr>
              <w:pStyle w:val="44"/>
              <w:rPr>
                <w:color w:val="auto"/>
              </w:rPr>
            </w:pPr>
          </w:p>
        </w:tc>
        <w:tc>
          <w:tcPr>
            <w:tcW w:w="720" w:type="dxa"/>
            <w:vAlign w:val="center"/>
          </w:tcPr>
          <w:p w14:paraId="5A9AB131">
            <w:pPr>
              <w:pStyle w:val="44"/>
              <w:rPr>
                <w:color w:val="auto"/>
              </w:rPr>
            </w:pPr>
          </w:p>
        </w:tc>
      </w:tr>
      <w:tr w14:paraId="49AA3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trPr>
        <w:tc>
          <w:tcPr>
            <w:tcW w:w="7560" w:type="dxa"/>
            <w:gridSpan w:val="4"/>
            <w:vAlign w:val="center"/>
          </w:tcPr>
          <w:p w14:paraId="04C42AFA">
            <w:pPr>
              <w:pStyle w:val="44"/>
              <w:rPr>
                <w:b/>
                <w:bCs w:val="0"/>
                <w:color w:val="auto"/>
              </w:rPr>
            </w:pPr>
            <w:r>
              <w:rPr>
                <w:rFonts w:hint="eastAsia"/>
                <w:b/>
                <w:bCs w:val="0"/>
                <w:color w:val="auto"/>
              </w:rPr>
              <w:t>检查项目合计</w:t>
            </w:r>
          </w:p>
        </w:tc>
        <w:tc>
          <w:tcPr>
            <w:tcW w:w="720" w:type="dxa"/>
            <w:vAlign w:val="center"/>
          </w:tcPr>
          <w:p w14:paraId="5CE2006C">
            <w:pPr>
              <w:pStyle w:val="44"/>
              <w:rPr>
                <w:color w:val="auto"/>
              </w:rPr>
            </w:pPr>
            <w:r>
              <w:rPr>
                <w:color w:val="auto"/>
              </w:rPr>
              <w:t>100</w:t>
            </w:r>
          </w:p>
        </w:tc>
        <w:tc>
          <w:tcPr>
            <w:tcW w:w="720" w:type="dxa"/>
            <w:vAlign w:val="center"/>
          </w:tcPr>
          <w:p w14:paraId="35685596">
            <w:pPr>
              <w:pStyle w:val="44"/>
              <w:rPr>
                <w:color w:val="auto"/>
              </w:rPr>
            </w:pPr>
          </w:p>
        </w:tc>
        <w:tc>
          <w:tcPr>
            <w:tcW w:w="720" w:type="dxa"/>
            <w:vAlign w:val="center"/>
          </w:tcPr>
          <w:p w14:paraId="60CEFC67">
            <w:pPr>
              <w:pStyle w:val="44"/>
              <w:rPr>
                <w:color w:val="auto"/>
              </w:rPr>
            </w:pPr>
          </w:p>
        </w:tc>
      </w:tr>
    </w:tbl>
    <w:p w14:paraId="3E2F57D4"/>
    <w:p w14:paraId="702050EA">
      <w:pPr>
        <w:pStyle w:val="5"/>
      </w:pPr>
      <w:r>
        <w:rPr>
          <w:rFonts w:hint="eastAsia"/>
        </w:rPr>
        <w:br w:type="page"/>
      </w:r>
      <w:bookmarkStart w:id="67" w:name="_Toc29695"/>
      <w:bookmarkStart w:id="68" w:name="_Toc30422"/>
      <w:bookmarkStart w:id="69" w:name="_Toc264"/>
      <w:r>
        <w:rPr>
          <w:rFonts w:hint="eastAsia"/>
        </w:rPr>
        <w:t>表B.</w:t>
      </w:r>
      <w:r>
        <w:t>20</w:t>
      </w:r>
      <w:r>
        <w:rPr>
          <w:rFonts w:hint="eastAsia"/>
        </w:rPr>
        <w:t xml:space="preserve">  大模板检查</w:t>
      </w:r>
      <w:r>
        <w:t>评分表</w:t>
      </w:r>
      <w:bookmarkEnd w:id="67"/>
      <w:bookmarkEnd w:id="68"/>
      <w:bookmarkEnd w:id="69"/>
    </w:p>
    <w:tbl>
      <w:tblPr>
        <w:tblStyle w:val="19"/>
        <w:tblpPr w:leftFromText="180" w:rightFromText="180" w:vertAnchor="text" w:horzAnchor="page" w:tblpX="1150" w:tblpY="631"/>
        <w:tblOverlap w:val="never"/>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1B4BE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trPr>
        <w:tc>
          <w:tcPr>
            <w:tcW w:w="539" w:type="dxa"/>
            <w:vAlign w:val="center"/>
          </w:tcPr>
          <w:p w14:paraId="5AB66175">
            <w:pPr>
              <w:pStyle w:val="44"/>
              <w:rPr>
                <w:color w:val="auto"/>
              </w:rPr>
            </w:pPr>
            <w:r>
              <w:rPr>
                <w:rFonts w:hint="eastAsia"/>
                <w:color w:val="auto"/>
              </w:rPr>
              <w:t>序号</w:t>
            </w:r>
          </w:p>
        </w:tc>
        <w:tc>
          <w:tcPr>
            <w:tcW w:w="1441" w:type="dxa"/>
            <w:gridSpan w:val="2"/>
            <w:vAlign w:val="center"/>
          </w:tcPr>
          <w:p w14:paraId="225836DE">
            <w:pPr>
              <w:pStyle w:val="44"/>
              <w:rPr>
                <w:color w:val="auto"/>
              </w:rPr>
            </w:pPr>
            <w:r>
              <w:rPr>
                <w:rFonts w:hint="eastAsia"/>
                <w:color w:val="auto"/>
              </w:rPr>
              <w:t>检查项目</w:t>
            </w:r>
          </w:p>
        </w:tc>
        <w:tc>
          <w:tcPr>
            <w:tcW w:w="5580" w:type="dxa"/>
            <w:vAlign w:val="center"/>
          </w:tcPr>
          <w:p w14:paraId="34C49331">
            <w:pPr>
              <w:pStyle w:val="44"/>
              <w:rPr>
                <w:color w:val="auto"/>
              </w:rPr>
            </w:pPr>
            <w:r>
              <w:rPr>
                <w:rFonts w:hint="eastAsia"/>
                <w:color w:val="auto"/>
              </w:rPr>
              <w:t>扣</w:t>
            </w:r>
            <w:r>
              <w:rPr>
                <w:color w:val="auto"/>
              </w:rPr>
              <w:t xml:space="preserve"> </w:t>
            </w:r>
            <w:r>
              <w:rPr>
                <w:rFonts w:hint="eastAsia"/>
                <w:color w:val="auto"/>
              </w:rPr>
              <w:t>分</w:t>
            </w:r>
            <w:r>
              <w:rPr>
                <w:color w:val="auto"/>
              </w:rPr>
              <w:t xml:space="preserve"> </w:t>
            </w:r>
            <w:r>
              <w:rPr>
                <w:rFonts w:hint="eastAsia"/>
                <w:color w:val="auto"/>
              </w:rPr>
              <w:t>标</w:t>
            </w:r>
            <w:r>
              <w:rPr>
                <w:color w:val="auto"/>
              </w:rPr>
              <w:t xml:space="preserve"> </w:t>
            </w:r>
            <w:r>
              <w:rPr>
                <w:rFonts w:hint="eastAsia"/>
                <w:color w:val="auto"/>
              </w:rPr>
              <w:t>准</w:t>
            </w:r>
          </w:p>
        </w:tc>
        <w:tc>
          <w:tcPr>
            <w:tcW w:w="720" w:type="dxa"/>
            <w:vAlign w:val="center"/>
          </w:tcPr>
          <w:p w14:paraId="67C6032A">
            <w:pPr>
              <w:pStyle w:val="44"/>
              <w:rPr>
                <w:color w:val="auto"/>
              </w:rPr>
            </w:pPr>
            <w:r>
              <w:rPr>
                <w:rFonts w:hint="eastAsia"/>
                <w:color w:val="auto"/>
              </w:rPr>
              <w:t>应得</w:t>
            </w:r>
          </w:p>
          <w:p w14:paraId="5EBC7A2B">
            <w:pPr>
              <w:pStyle w:val="44"/>
              <w:rPr>
                <w:color w:val="auto"/>
              </w:rPr>
            </w:pPr>
            <w:r>
              <w:rPr>
                <w:rFonts w:hint="eastAsia"/>
                <w:color w:val="auto"/>
              </w:rPr>
              <w:t>分数</w:t>
            </w:r>
          </w:p>
        </w:tc>
        <w:tc>
          <w:tcPr>
            <w:tcW w:w="720" w:type="dxa"/>
            <w:vAlign w:val="center"/>
          </w:tcPr>
          <w:p w14:paraId="150000DA">
            <w:pPr>
              <w:pStyle w:val="44"/>
              <w:rPr>
                <w:color w:val="auto"/>
              </w:rPr>
            </w:pPr>
            <w:r>
              <w:rPr>
                <w:rFonts w:hint="eastAsia"/>
                <w:color w:val="auto"/>
              </w:rPr>
              <w:t>扣减</w:t>
            </w:r>
          </w:p>
          <w:p w14:paraId="37625D90">
            <w:pPr>
              <w:pStyle w:val="44"/>
              <w:rPr>
                <w:color w:val="auto"/>
              </w:rPr>
            </w:pPr>
            <w:r>
              <w:rPr>
                <w:rFonts w:hint="eastAsia"/>
                <w:color w:val="auto"/>
              </w:rPr>
              <w:t>分数</w:t>
            </w:r>
          </w:p>
        </w:tc>
        <w:tc>
          <w:tcPr>
            <w:tcW w:w="720" w:type="dxa"/>
            <w:vAlign w:val="center"/>
          </w:tcPr>
          <w:p w14:paraId="3BE38500">
            <w:pPr>
              <w:pStyle w:val="44"/>
              <w:rPr>
                <w:color w:val="auto"/>
              </w:rPr>
            </w:pPr>
            <w:r>
              <w:rPr>
                <w:rFonts w:hint="eastAsia"/>
                <w:color w:val="auto"/>
              </w:rPr>
              <w:t>实得</w:t>
            </w:r>
          </w:p>
          <w:p w14:paraId="65BC6A81">
            <w:pPr>
              <w:pStyle w:val="44"/>
              <w:rPr>
                <w:color w:val="auto"/>
              </w:rPr>
            </w:pPr>
            <w:r>
              <w:rPr>
                <w:rFonts w:hint="eastAsia"/>
                <w:color w:val="auto"/>
              </w:rPr>
              <w:t>分数</w:t>
            </w:r>
          </w:p>
        </w:tc>
      </w:tr>
      <w:tr w14:paraId="7D3CF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trPr>
        <w:tc>
          <w:tcPr>
            <w:tcW w:w="539" w:type="dxa"/>
            <w:vAlign w:val="center"/>
          </w:tcPr>
          <w:p w14:paraId="004600F9">
            <w:pPr>
              <w:pStyle w:val="44"/>
              <w:rPr>
                <w:color w:val="auto"/>
              </w:rPr>
            </w:pPr>
            <w:r>
              <w:rPr>
                <w:color w:val="auto"/>
              </w:rPr>
              <w:t>1</w:t>
            </w:r>
          </w:p>
        </w:tc>
        <w:tc>
          <w:tcPr>
            <w:tcW w:w="543" w:type="dxa"/>
            <w:vMerge w:val="restart"/>
            <w:vAlign w:val="center"/>
          </w:tcPr>
          <w:p w14:paraId="4F9945A7">
            <w:pPr>
              <w:pStyle w:val="44"/>
              <w:rPr>
                <w:color w:val="auto"/>
              </w:rPr>
            </w:pPr>
            <w:r>
              <w:rPr>
                <w:rFonts w:hint="eastAsia"/>
                <w:color w:val="auto"/>
              </w:rPr>
              <w:t>保</w:t>
            </w:r>
          </w:p>
          <w:p w14:paraId="45475784">
            <w:pPr>
              <w:pStyle w:val="44"/>
              <w:rPr>
                <w:color w:val="auto"/>
              </w:rPr>
            </w:pPr>
            <w:r>
              <w:rPr>
                <w:rFonts w:hint="eastAsia"/>
                <w:color w:val="auto"/>
              </w:rPr>
              <w:t>证</w:t>
            </w:r>
          </w:p>
          <w:p w14:paraId="46AA2580">
            <w:pPr>
              <w:pStyle w:val="44"/>
              <w:rPr>
                <w:color w:val="auto"/>
              </w:rPr>
            </w:pPr>
            <w:r>
              <w:rPr>
                <w:rFonts w:hint="eastAsia"/>
                <w:color w:val="auto"/>
              </w:rPr>
              <w:t>项</w:t>
            </w:r>
          </w:p>
          <w:p w14:paraId="7438BA8A">
            <w:pPr>
              <w:pStyle w:val="44"/>
              <w:rPr>
                <w:color w:val="auto"/>
              </w:rPr>
            </w:pPr>
            <w:r>
              <w:rPr>
                <w:rFonts w:hint="eastAsia"/>
                <w:color w:val="auto"/>
              </w:rPr>
              <w:t>目</w:t>
            </w:r>
          </w:p>
        </w:tc>
        <w:tc>
          <w:tcPr>
            <w:tcW w:w="898" w:type="dxa"/>
            <w:vAlign w:val="center"/>
          </w:tcPr>
          <w:p w14:paraId="383814EB">
            <w:pPr>
              <w:pStyle w:val="44"/>
              <w:rPr>
                <w:color w:val="auto"/>
              </w:rPr>
            </w:pPr>
            <w:r>
              <w:rPr>
                <w:rFonts w:hint="eastAsia"/>
                <w:color w:val="auto"/>
              </w:rPr>
              <w:t>方案与交底</w:t>
            </w:r>
          </w:p>
        </w:tc>
        <w:tc>
          <w:tcPr>
            <w:tcW w:w="5580" w:type="dxa"/>
            <w:vAlign w:val="center"/>
          </w:tcPr>
          <w:p w14:paraId="5ACB460F">
            <w:pPr>
              <w:pStyle w:val="44"/>
              <w:jc w:val="left"/>
              <w:rPr>
                <w:color w:val="auto"/>
              </w:rPr>
            </w:pPr>
            <w:r>
              <w:rPr>
                <w:color w:val="auto"/>
              </w:rPr>
              <w:t>1</w:t>
            </w:r>
            <w:r>
              <w:rPr>
                <w:rFonts w:hint="eastAsia"/>
                <w:color w:val="auto"/>
              </w:rPr>
              <w:t>）未编制专项施工方案或未进行设计计算，扣</w:t>
            </w:r>
            <w:r>
              <w:rPr>
                <w:color w:val="auto"/>
              </w:rPr>
              <w:t>10</w:t>
            </w:r>
            <w:r>
              <w:rPr>
                <w:rFonts w:hint="eastAsia"/>
                <w:color w:val="auto"/>
              </w:rPr>
              <w:t>分</w:t>
            </w:r>
          </w:p>
          <w:p w14:paraId="1F95F539">
            <w:pPr>
              <w:pStyle w:val="44"/>
              <w:jc w:val="left"/>
              <w:rPr>
                <w:color w:val="auto"/>
              </w:rPr>
            </w:pPr>
            <w:r>
              <w:rPr>
                <w:color w:val="auto"/>
              </w:rPr>
              <w:t>2</w:t>
            </w:r>
            <w:r>
              <w:rPr>
                <w:rFonts w:hint="eastAsia"/>
                <w:color w:val="auto"/>
              </w:rPr>
              <w:t>）专项方案未按规定进行审核、审批，扣</w:t>
            </w:r>
            <w:r>
              <w:rPr>
                <w:color w:val="auto"/>
              </w:rPr>
              <w:t>10</w:t>
            </w:r>
            <w:r>
              <w:rPr>
                <w:rFonts w:hint="eastAsia"/>
                <w:color w:val="auto"/>
              </w:rPr>
              <w:t>分</w:t>
            </w:r>
          </w:p>
          <w:p w14:paraId="5A42F842">
            <w:pPr>
              <w:pStyle w:val="44"/>
              <w:jc w:val="left"/>
              <w:rPr>
                <w:color w:val="auto"/>
              </w:rPr>
            </w:pPr>
            <w:r>
              <w:rPr>
                <w:color w:val="auto"/>
              </w:rPr>
              <w:t>3</w:t>
            </w:r>
            <w:r>
              <w:rPr>
                <w:rFonts w:hint="eastAsia"/>
                <w:color w:val="auto"/>
              </w:rPr>
              <w:t>）专项施工方案实施前，未进行安全技术交底，扣</w:t>
            </w:r>
            <w:r>
              <w:rPr>
                <w:color w:val="auto"/>
              </w:rPr>
              <w:t>10</w:t>
            </w:r>
            <w:r>
              <w:rPr>
                <w:rFonts w:hint="eastAsia"/>
                <w:color w:val="auto"/>
              </w:rPr>
              <w:t>分</w:t>
            </w:r>
          </w:p>
          <w:p w14:paraId="736AAB9C">
            <w:pPr>
              <w:pStyle w:val="44"/>
              <w:jc w:val="left"/>
              <w:rPr>
                <w:color w:val="auto"/>
              </w:rPr>
            </w:pPr>
            <w:r>
              <w:rPr>
                <w:color w:val="auto"/>
              </w:rPr>
              <w:t>4</w:t>
            </w:r>
            <w:r>
              <w:rPr>
                <w:rFonts w:hint="eastAsia"/>
                <w:color w:val="auto"/>
              </w:rPr>
              <w:t>）专项方案交底无针对性或无文字记录，扣</w:t>
            </w:r>
            <w:r>
              <w:rPr>
                <w:color w:val="auto"/>
              </w:rPr>
              <w:t>2-10</w:t>
            </w:r>
            <w:r>
              <w:rPr>
                <w:rFonts w:hint="eastAsia"/>
                <w:color w:val="auto"/>
              </w:rPr>
              <w:t>分</w:t>
            </w:r>
          </w:p>
        </w:tc>
        <w:tc>
          <w:tcPr>
            <w:tcW w:w="720" w:type="dxa"/>
            <w:vAlign w:val="center"/>
          </w:tcPr>
          <w:p w14:paraId="4299D1ED">
            <w:pPr>
              <w:pStyle w:val="44"/>
              <w:rPr>
                <w:color w:val="auto"/>
              </w:rPr>
            </w:pPr>
            <w:r>
              <w:rPr>
                <w:color w:val="auto"/>
              </w:rPr>
              <w:t>10</w:t>
            </w:r>
          </w:p>
        </w:tc>
        <w:tc>
          <w:tcPr>
            <w:tcW w:w="720" w:type="dxa"/>
            <w:vAlign w:val="center"/>
          </w:tcPr>
          <w:p w14:paraId="2B3CEBDF">
            <w:pPr>
              <w:pStyle w:val="44"/>
              <w:rPr>
                <w:color w:val="auto"/>
              </w:rPr>
            </w:pPr>
          </w:p>
        </w:tc>
        <w:tc>
          <w:tcPr>
            <w:tcW w:w="720" w:type="dxa"/>
            <w:vAlign w:val="center"/>
          </w:tcPr>
          <w:p w14:paraId="0DEF84FA">
            <w:pPr>
              <w:pStyle w:val="44"/>
              <w:rPr>
                <w:color w:val="auto"/>
              </w:rPr>
            </w:pPr>
          </w:p>
        </w:tc>
      </w:tr>
      <w:tr w14:paraId="6F511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trPr>
        <w:tc>
          <w:tcPr>
            <w:tcW w:w="539" w:type="dxa"/>
            <w:vAlign w:val="center"/>
          </w:tcPr>
          <w:p w14:paraId="604D02E3">
            <w:pPr>
              <w:pStyle w:val="44"/>
              <w:rPr>
                <w:color w:val="auto"/>
              </w:rPr>
            </w:pPr>
            <w:r>
              <w:rPr>
                <w:color w:val="auto"/>
              </w:rPr>
              <w:t>2</w:t>
            </w:r>
          </w:p>
        </w:tc>
        <w:tc>
          <w:tcPr>
            <w:tcW w:w="543" w:type="dxa"/>
            <w:vMerge w:val="continue"/>
          </w:tcPr>
          <w:p w14:paraId="54CA1408">
            <w:pPr>
              <w:pStyle w:val="44"/>
              <w:rPr>
                <w:color w:val="auto"/>
              </w:rPr>
            </w:pPr>
          </w:p>
        </w:tc>
        <w:tc>
          <w:tcPr>
            <w:tcW w:w="898" w:type="dxa"/>
            <w:vAlign w:val="center"/>
          </w:tcPr>
          <w:p w14:paraId="7A8B8981">
            <w:pPr>
              <w:pStyle w:val="44"/>
              <w:rPr>
                <w:color w:val="auto"/>
              </w:rPr>
            </w:pPr>
            <w:r>
              <w:rPr>
                <w:rFonts w:hint="eastAsia"/>
                <w:color w:val="auto"/>
              </w:rPr>
              <w:t>支架系统</w:t>
            </w:r>
          </w:p>
        </w:tc>
        <w:tc>
          <w:tcPr>
            <w:tcW w:w="5580" w:type="dxa"/>
            <w:vAlign w:val="center"/>
          </w:tcPr>
          <w:p w14:paraId="42BBB722">
            <w:pPr>
              <w:pStyle w:val="44"/>
              <w:jc w:val="left"/>
              <w:rPr>
                <w:color w:val="auto"/>
              </w:rPr>
            </w:pPr>
            <w:r>
              <w:rPr>
                <w:color w:val="auto"/>
              </w:rPr>
              <w:t>1</w:t>
            </w:r>
            <w:r>
              <w:rPr>
                <w:rFonts w:hint="eastAsia"/>
                <w:color w:val="auto"/>
              </w:rPr>
              <w:t>）大模板的主承载结构与已浇筑结构连接构造不符合专项施工方案的规定，或传力不明确、可靠，扣</w:t>
            </w:r>
            <w:r>
              <w:rPr>
                <w:color w:val="auto"/>
              </w:rPr>
              <w:t>10</w:t>
            </w:r>
            <w:r>
              <w:rPr>
                <w:rFonts w:hint="eastAsia"/>
                <w:color w:val="auto"/>
              </w:rPr>
              <w:t>分</w:t>
            </w:r>
          </w:p>
          <w:p w14:paraId="35A9EC16">
            <w:pPr>
              <w:pStyle w:val="44"/>
              <w:jc w:val="left"/>
              <w:rPr>
                <w:color w:val="auto"/>
              </w:rPr>
            </w:pPr>
            <w:r>
              <w:rPr>
                <w:color w:val="auto"/>
              </w:rPr>
              <w:t>2</w:t>
            </w:r>
            <w:r>
              <w:rPr>
                <w:rFonts w:hint="eastAsia"/>
                <w:color w:val="auto"/>
              </w:rPr>
              <w:t>）主承载结构水平布置间距不符合专项施工方案的规定，或未与对拉螺栓孔位对应，扣</w:t>
            </w:r>
            <w:r>
              <w:rPr>
                <w:color w:val="auto"/>
              </w:rPr>
              <w:t>10</w:t>
            </w:r>
            <w:r>
              <w:rPr>
                <w:rFonts w:hint="eastAsia"/>
                <w:color w:val="auto"/>
              </w:rPr>
              <w:t>分</w:t>
            </w:r>
          </w:p>
          <w:p w14:paraId="6C1FA749">
            <w:pPr>
              <w:pStyle w:val="44"/>
              <w:jc w:val="left"/>
              <w:rPr>
                <w:color w:val="auto"/>
              </w:rPr>
            </w:pPr>
            <w:r>
              <w:rPr>
                <w:color w:val="auto"/>
              </w:rPr>
              <w:t>3</w:t>
            </w:r>
            <w:r>
              <w:rPr>
                <w:rFonts w:hint="eastAsia"/>
                <w:color w:val="auto"/>
              </w:rPr>
              <w:t>）主承载结构未按起吊单元采用纵向连系梁将平面架体连成整体，扣</w:t>
            </w:r>
            <w:r>
              <w:rPr>
                <w:color w:val="auto"/>
              </w:rPr>
              <w:t>10</w:t>
            </w:r>
            <w:r>
              <w:rPr>
                <w:rFonts w:hint="eastAsia"/>
                <w:color w:val="auto"/>
              </w:rPr>
              <w:t>分</w:t>
            </w:r>
          </w:p>
          <w:p w14:paraId="19F7EBF9">
            <w:pPr>
              <w:pStyle w:val="44"/>
              <w:jc w:val="left"/>
              <w:rPr>
                <w:color w:val="auto"/>
              </w:rPr>
            </w:pPr>
            <w:r>
              <w:rPr>
                <w:color w:val="auto"/>
              </w:rPr>
              <w:t>4</w:t>
            </w:r>
            <w:r>
              <w:rPr>
                <w:rFonts w:hint="eastAsia"/>
                <w:color w:val="auto"/>
              </w:rPr>
              <w:t>）支架系统外侧及底部未设置安全平网兜底，扣</w:t>
            </w:r>
            <w:r>
              <w:rPr>
                <w:color w:val="auto"/>
              </w:rPr>
              <w:t>5</w:t>
            </w:r>
            <w:r>
              <w:rPr>
                <w:rFonts w:hint="eastAsia"/>
                <w:color w:val="auto"/>
              </w:rPr>
              <w:t>分</w:t>
            </w:r>
          </w:p>
        </w:tc>
        <w:tc>
          <w:tcPr>
            <w:tcW w:w="720" w:type="dxa"/>
            <w:vAlign w:val="center"/>
          </w:tcPr>
          <w:p w14:paraId="17FF5E43">
            <w:pPr>
              <w:pStyle w:val="44"/>
              <w:rPr>
                <w:color w:val="auto"/>
              </w:rPr>
            </w:pPr>
            <w:r>
              <w:rPr>
                <w:color w:val="auto"/>
              </w:rPr>
              <w:t>10</w:t>
            </w:r>
          </w:p>
        </w:tc>
        <w:tc>
          <w:tcPr>
            <w:tcW w:w="720" w:type="dxa"/>
            <w:vAlign w:val="center"/>
          </w:tcPr>
          <w:p w14:paraId="49A4C274">
            <w:pPr>
              <w:pStyle w:val="44"/>
              <w:rPr>
                <w:color w:val="auto"/>
              </w:rPr>
            </w:pPr>
          </w:p>
        </w:tc>
        <w:tc>
          <w:tcPr>
            <w:tcW w:w="720" w:type="dxa"/>
            <w:vAlign w:val="center"/>
          </w:tcPr>
          <w:p w14:paraId="367A4BB4">
            <w:pPr>
              <w:pStyle w:val="44"/>
              <w:rPr>
                <w:color w:val="auto"/>
              </w:rPr>
            </w:pPr>
          </w:p>
        </w:tc>
      </w:tr>
      <w:tr w14:paraId="60E52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14988C90">
            <w:pPr>
              <w:pStyle w:val="44"/>
              <w:rPr>
                <w:color w:val="auto"/>
              </w:rPr>
            </w:pPr>
            <w:r>
              <w:rPr>
                <w:color w:val="auto"/>
              </w:rPr>
              <w:t>3</w:t>
            </w:r>
          </w:p>
        </w:tc>
        <w:tc>
          <w:tcPr>
            <w:tcW w:w="543" w:type="dxa"/>
            <w:vMerge w:val="continue"/>
          </w:tcPr>
          <w:p w14:paraId="70A172AA">
            <w:pPr>
              <w:pStyle w:val="44"/>
              <w:rPr>
                <w:color w:val="auto"/>
              </w:rPr>
            </w:pPr>
          </w:p>
        </w:tc>
        <w:tc>
          <w:tcPr>
            <w:tcW w:w="898" w:type="dxa"/>
            <w:vAlign w:val="center"/>
          </w:tcPr>
          <w:p w14:paraId="5E3625A6">
            <w:pPr>
              <w:pStyle w:val="44"/>
              <w:rPr>
                <w:color w:val="auto"/>
              </w:rPr>
            </w:pPr>
            <w:r>
              <w:rPr>
                <w:rFonts w:hint="eastAsia"/>
                <w:color w:val="auto"/>
              </w:rPr>
              <w:t>支撑系统</w:t>
            </w:r>
          </w:p>
        </w:tc>
        <w:tc>
          <w:tcPr>
            <w:tcW w:w="5580" w:type="dxa"/>
            <w:vAlign w:val="center"/>
          </w:tcPr>
          <w:p w14:paraId="197E9CE7">
            <w:pPr>
              <w:pStyle w:val="44"/>
              <w:jc w:val="left"/>
              <w:rPr>
                <w:color w:val="auto"/>
              </w:rPr>
            </w:pPr>
            <w:r>
              <w:rPr>
                <w:color w:val="auto"/>
              </w:rPr>
              <w:t>1</w:t>
            </w:r>
            <w:r>
              <w:rPr>
                <w:rFonts w:hint="eastAsia"/>
                <w:color w:val="auto"/>
              </w:rPr>
              <w:t>）支撑系统的设置位置、间距和型号不符合专项施工方案的规定，扣</w:t>
            </w:r>
            <w:r>
              <w:rPr>
                <w:color w:val="auto"/>
              </w:rPr>
              <w:t>10</w:t>
            </w:r>
            <w:r>
              <w:rPr>
                <w:rFonts w:hint="eastAsia"/>
                <w:color w:val="auto"/>
              </w:rPr>
              <w:t>分</w:t>
            </w:r>
          </w:p>
          <w:p w14:paraId="1C9BFD65">
            <w:pPr>
              <w:pStyle w:val="44"/>
              <w:jc w:val="left"/>
              <w:rPr>
                <w:color w:val="auto"/>
              </w:rPr>
            </w:pPr>
            <w:r>
              <w:rPr>
                <w:color w:val="auto"/>
              </w:rPr>
              <w:t>2</w:t>
            </w:r>
            <w:r>
              <w:rPr>
                <w:rFonts w:hint="eastAsia"/>
                <w:color w:val="auto"/>
              </w:rPr>
              <w:t>）支撑系统的面板垂直度调节范围不满足调整模板竖放自稳角的需要，扣</w:t>
            </w:r>
            <w:r>
              <w:rPr>
                <w:color w:val="auto"/>
              </w:rPr>
              <w:t>5</w:t>
            </w:r>
            <w:r>
              <w:rPr>
                <w:rFonts w:hint="eastAsia"/>
                <w:color w:val="auto"/>
              </w:rPr>
              <w:t>分</w:t>
            </w:r>
          </w:p>
          <w:p w14:paraId="35843C72">
            <w:pPr>
              <w:pStyle w:val="44"/>
              <w:jc w:val="left"/>
              <w:rPr>
                <w:color w:val="auto"/>
              </w:rPr>
            </w:pPr>
            <w:r>
              <w:rPr>
                <w:color w:val="auto"/>
              </w:rPr>
              <w:t>3</w:t>
            </w:r>
            <w:r>
              <w:rPr>
                <w:rFonts w:hint="eastAsia"/>
                <w:color w:val="auto"/>
              </w:rPr>
              <w:t>）支撑件未支在主肋或背楞上，扣</w:t>
            </w:r>
            <w:r>
              <w:rPr>
                <w:color w:val="auto"/>
              </w:rPr>
              <w:t>5-10</w:t>
            </w:r>
            <w:r>
              <w:rPr>
                <w:rFonts w:hint="eastAsia"/>
                <w:color w:val="auto"/>
              </w:rPr>
              <w:t>分</w:t>
            </w:r>
          </w:p>
          <w:p w14:paraId="006B0105">
            <w:pPr>
              <w:pStyle w:val="44"/>
              <w:jc w:val="left"/>
              <w:rPr>
                <w:color w:val="auto"/>
              </w:rPr>
            </w:pPr>
            <w:r>
              <w:rPr>
                <w:color w:val="auto"/>
              </w:rPr>
              <w:t>4</w:t>
            </w:r>
            <w:r>
              <w:rPr>
                <w:rFonts w:hint="eastAsia"/>
                <w:color w:val="auto"/>
              </w:rPr>
              <w:t>）承力座未支承在刚性结构上，或未与支承结构可靠固定，扣</w:t>
            </w:r>
            <w:r>
              <w:rPr>
                <w:color w:val="auto"/>
              </w:rPr>
              <w:t>5-10</w:t>
            </w:r>
            <w:r>
              <w:rPr>
                <w:rFonts w:hint="eastAsia"/>
                <w:color w:val="auto"/>
              </w:rPr>
              <w:t>分</w:t>
            </w:r>
          </w:p>
        </w:tc>
        <w:tc>
          <w:tcPr>
            <w:tcW w:w="720" w:type="dxa"/>
            <w:vAlign w:val="center"/>
          </w:tcPr>
          <w:p w14:paraId="4AA82288">
            <w:pPr>
              <w:pStyle w:val="44"/>
              <w:rPr>
                <w:color w:val="auto"/>
              </w:rPr>
            </w:pPr>
            <w:r>
              <w:rPr>
                <w:color w:val="auto"/>
              </w:rPr>
              <w:t>10</w:t>
            </w:r>
          </w:p>
        </w:tc>
        <w:tc>
          <w:tcPr>
            <w:tcW w:w="720" w:type="dxa"/>
            <w:vAlign w:val="center"/>
          </w:tcPr>
          <w:p w14:paraId="3479D873">
            <w:pPr>
              <w:pStyle w:val="44"/>
              <w:rPr>
                <w:color w:val="auto"/>
              </w:rPr>
            </w:pPr>
          </w:p>
        </w:tc>
        <w:tc>
          <w:tcPr>
            <w:tcW w:w="720" w:type="dxa"/>
            <w:vAlign w:val="center"/>
          </w:tcPr>
          <w:p w14:paraId="470A6B1F">
            <w:pPr>
              <w:pStyle w:val="44"/>
              <w:rPr>
                <w:color w:val="auto"/>
              </w:rPr>
            </w:pPr>
          </w:p>
        </w:tc>
      </w:tr>
      <w:tr w14:paraId="0CA9A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5480E3BC">
            <w:pPr>
              <w:pStyle w:val="44"/>
              <w:rPr>
                <w:color w:val="auto"/>
              </w:rPr>
            </w:pPr>
            <w:r>
              <w:rPr>
                <w:color w:val="auto"/>
              </w:rPr>
              <w:t>4</w:t>
            </w:r>
          </w:p>
        </w:tc>
        <w:tc>
          <w:tcPr>
            <w:tcW w:w="543" w:type="dxa"/>
            <w:vMerge w:val="continue"/>
          </w:tcPr>
          <w:p w14:paraId="52A5B39A">
            <w:pPr>
              <w:pStyle w:val="44"/>
              <w:rPr>
                <w:color w:val="auto"/>
              </w:rPr>
            </w:pPr>
          </w:p>
        </w:tc>
        <w:tc>
          <w:tcPr>
            <w:tcW w:w="898" w:type="dxa"/>
            <w:vAlign w:val="center"/>
          </w:tcPr>
          <w:p w14:paraId="3C4E2DC8">
            <w:pPr>
              <w:pStyle w:val="44"/>
              <w:rPr>
                <w:color w:val="auto"/>
              </w:rPr>
            </w:pPr>
            <w:r>
              <w:rPr>
                <w:rFonts w:hint="eastAsia"/>
                <w:color w:val="auto"/>
              </w:rPr>
              <w:t>对拉螺栓</w:t>
            </w:r>
          </w:p>
        </w:tc>
        <w:tc>
          <w:tcPr>
            <w:tcW w:w="5580" w:type="dxa"/>
            <w:vAlign w:val="center"/>
          </w:tcPr>
          <w:p w14:paraId="3B4D2BE0">
            <w:pPr>
              <w:pStyle w:val="44"/>
              <w:jc w:val="left"/>
              <w:rPr>
                <w:color w:val="auto"/>
              </w:rPr>
            </w:pPr>
            <w:r>
              <w:rPr>
                <w:color w:val="auto"/>
              </w:rPr>
              <w:t>1</w:t>
            </w:r>
            <w:r>
              <w:rPr>
                <w:rFonts w:hint="eastAsia"/>
                <w:color w:val="auto"/>
              </w:rPr>
              <w:t>）对拉螺栓应采用性能低于</w:t>
            </w:r>
            <w:r>
              <w:rPr>
                <w:color w:val="auto"/>
              </w:rPr>
              <w:t xml:space="preserve"> Q235B </w:t>
            </w:r>
            <w:r>
              <w:rPr>
                <w:rFonts w:hint="eastAsia"/>
                <w:color w:val="auto"/>
              </w:rPr>
              <w:t>的钢材制作，扣</w:t>
            </w:r>
            <w:r>
              <w:rPr>
                <w:color w:val="auto"/>
              </w:rPr>
              <w:t>10</w:t>
            </w:r>
            <w:r>
              <w:rPr>
                <w:rFonts w:hint="eastAsia"/>
                <w:color w:val="auto"/>
              </w:rPr>
              <w:t>分</w:t>
            </w:r>
          </w:p>
          <w:p w14:paraId="1C707CAB">
            <w:pPr>
              <w:pStyle w:val="44"/>
              <w:jc w:val="left"/>
              <w:rPr>
                <w:color w:val="auto"/>
              </w:rPr>
            </w:pPr>
            <w:r>
              <w:rPr>
                <w:color w:val="auto"/>
              </w:rPr>
              <w:t>2</w:t>
            </w:r>
            <w:r>
              <w:rPr>
                <w:rFonts w:hint="eastAsia"/>
                <w:color w:val="auto"/>
              </w:rPr>
              <w:t>）对拉螺栓型号不符合专项施工方案的规定，或小于</w:t>
            </w:r>
            <w:r>
              <w:rPr>
                <w:color w:val="auto"/>
              </w:rPr>
              <w:t>M28</w:t>
            </w:r>
            <w:r>
              <w:rPr>
                <w:rFonts w:hint="eastAsia"/>
                <w:color w:val="auto"/>
              </w:rPr>
              <w:t>，扣</w:t>
            </w:r>
            <w:r>
              <w:rPr>
                <w:color w:val="auto"/>
              </w:rPr>
              <w:t>10</w:t>
            </w:r>
            <w:r>
              <w:rPr>
                <w:rFonts w:hint="eastAsia"/>
                <w:color w:val="auto"/>
              </w:rPr>
              <w:t>分</w:t>
            </w:r>
          </w:p>
          <w:p w14:paraId="79E83DED">
            <w:pPr>
              <w:pStyle w:val="44"/>
              <w:jc w:val="left"/>
              <w:rPr>
                <w:color w:val="auto"/>
              </w:rPr>
            </w:pPr>
            <w:r>
              <w:rPr>
                <w:color w:val="auto"/>
              </w:rPr>
              <w:t>3</w:t>
            </w:r>
            <w:r>
              <w:rPr>
                <w:rFonts w:hint="eastAsia"/>
                <w:color w:val="auto"/>
              </w:rPr>
              <w:t>）对拉螺栓位置未设置在背楞上，或间距不符合专项施工方案的规定，扣</w:t>
            </w:r>
            <w:r>
              <w:rPr>
                <w:color w:val="auto"/>
              </w:rPr>
              <w:t>10</w:t>
            </w:r>
            <w:r>
              <w:rPr>
                <w:rFonts w:hint="eastAsia"/>
                <w:color w:val="auto"/>
              </w:rPr>
              <w:t>分</w:t>
            </w:r>
          </w:p>
        </w:tc>
        <w:tc>
          <w:tcPr>
            <w:tcW w:w="720" w:type="dxa"/>
            <w:vAlign w:val="center"/>
          </w:tcPr>
          <w:p w14:paraId="505679C8">
            <w:pPr>
              <w:pStyle w:val="44"/>
              <w:rPr>
                <w:color w:val="auto"/>
              </w:rPr>
            </w:pPr>
            <w:r>
              <w:rPr>
                <w:color w:val="auto"/>
              </w:rPr>
              <w:t>10</w:t>
            </w:r>
          </w:p>
        </w:tc>
        <w:tc>
          <w:tcPr>
            <w:tcW w:w="720" w:type="dxa"/>
            <w:vAlign w:val="center"/>
          </w:tcPr>
          <w:p w14:paraId="3C3291A6">
            <w:pPr>
              <w:pStyle w:val="44"/>
              <w:rPr>
                <w:color w:val="auto"/>
              </w:rPr>
            </w:pPr>
          </w:p>
        </w:tc>
        <w:tc>
          <w:tcPr>
            <w:tcW w:w="720" w:type="dxa"/>
            <w:vAlign w:val="center"/>
          </w:tcPr>
          <w:p w14:paraId="100446DF">
            <w:pPr>
              <w:pStyle w:val="44"/>
              <w:rPr>
                <w:color w:val="auto"/>
              </w:rPr>
            </w:pPr>
          </w:p>
        </w:tc>
      </w:tr>
      <w:tr w14:paraId="18BBC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trPr>
        <w:tc>
          <w:tcPr>
            <w:tcW w:w="539" w:type="dxa"/>
            <w:vAlign w:val="center"/>
          </w:tcPr>
          <w:p w14:paraId="66D9E65C">
            <w:pPr>
              <w:pStyle w:val="44"/>
              <w:rPr>
                <w:color w:val="auto"/>
              </w:rPr>
            </w:pPr>
            <w:r>
              <w:rPr>
                <w:color w:val="auto"/>
              </w:rPr>
              <w:t>5</w:t>
            </w:r>
          </w:p>
        </w:tc>
        <w:tc>
          <w:tcPr>
            <w:tcW w:w="543" w:type="dxa"/>
            <w:vMerge w:val="continue"/>
          </w:tcPr>
          <w:p w14:paraId="5C6AA0FD">
            <w:pPr>
              <w:pStyle w:val="44"/>
              <w:rPr>
                <w:color w:val="auto"/>
              </w:rPr>
            </w:pPr>
          </w:p>
        </w:tc>
        <w:tc>
          <w:tcPr>
            <w:tcW w:w="898" w:type="dxa"/>
            <w:vAlign w:val="center"/>
          </w:tcPr>
          <w:p w14:paraId="4B2988DA">
            <w:pPr>
              <w:pStyle w:val="44"/>
              <w:rPr>
                <w:color w:val="auto"/>
              </w:rPr>
            </w:pPr>
            <w:r>
              <w:rPr>
                <w:rFonts w:hint="eastAsia"/>
                <w:color w:val="auto"/>
              </w:rPr>
              <w:t>面板系统</w:t>
            </w:r>
          </w:p>
        </w:tc>
        <w:tc>
          <w:tcPr>
            <w:tcW w:w="5580" w:type="dxa"/>
            <w:vAlign w:val="center"/>
          </w:tcPr>
          <w:p w14:paraId="0C76560F">
            <w:pPr>
              <w:pStyle w:val="44"/>
              <w:jc w:val="left"/>
              <w:rPr>
                <w:color w:val="auto"/>
              </w:rPr>
            </w:pPr>
            <w:r>
              <w:rPr>
                <w:color w:val="auto"/>
              </w:rPr>
              <w:t>1</w:t>
            </w:r>
            <w:r>
              <w:rPr>
                <w:rFonts w:hint="eastAsia"/>
                <w:color w:val="auto"/>
              </w:rPr>
              <w:t>）面板材质、规格、型号不符合专项施工方案的规定，扣</w:t>
            </w:r>
            <w:r>
              <w:rPr>
                <w:color w:val="auto"/>
              </w:rPr>
              <w:t>5-10</w:t>
            </w:r>
            <w:r>
              <w:rPr>
                <w:rFonts w:hint="eastAsia"/>
                <w:color w:val="auto"/>
              </w:rPr>
              <w:t>分</w:t>
            </w:r>
          </w:p>
          <w:p w14:paraId="3CE6C309">
            <w:pPr>
              <w:pStyle w:val="44"/>
              <w:jc w:val="left"/>
              <w:rPr>
                <w:color w:val="auto"/>
              </w:rPr>
            </w:pPr>
            <w:r>
              <w:rPr>
                <w:color w:val="auto"/>
              </w:rPr>
              <w:t>2</w:t>
            </w:r>
            <w:r>
              <w:rPr>
                <w:rFonts w:hint="eastAsia"/>
                <w:color w:val="auto"/>
              </w:rPr>
              <w:t>）主肋与背楞的尺寸、间距不符合专项施工方案的规定，扣</w:t>
            </w:r>
            <w:r>
              <w:rPr>
                <w:color w:val="auto"/>
              </w:rPr>
              <w:t>5-10</w:t>
            </w:r>
            <w:r>
              <w:rPr>
                <w:rFonts w:hint="eastAsia"/>
                <w:color w:val="auto"/>
              </w:rPr>
              <w:t>分</w:t>
            </w:r>
          </w:p>
          <w:p w14:paraId="755FA027">
            <w:pPr>
              <w:pStyle w:val="44"/>
              <w:jc w:val="left"/>
              <w:rPr>
                <w:color w:val="auto"/>
              </w:rPr>
            </w:pPr>
            <w:r>
              <w:rPr>
                <w:color w:val="auto"/>
              </w:rPr>
              <w:t>3</w:t>
            </w:r>
            <w:r>
              <w:rPr>
                <w:rFonts w:hint="eastAsia"/>
                <w:color w:val="auto"/>
              </w:rPr>
              <w:t>）主肋与背楞连接后有相对运动，扣</w:t>
            </w:r>
            <w:r>
              <w:rPr>
                <w:color w:val="auto"/>
              </w:rPr>
              <w:t>3-5</w:t>
            </w:r>
            <w:r>
              <w:rPr>
                <w:rFonts w:hint="eastAsia"/>
                <w:color w:val="auto"/>
              </w:rPr>
              <w:t>分</w:t>
            </w:r>
          </w:p>
        </w:tc>
        <w:tc>
          <w:tcPr>
            <w:tcW w:w="720" w:type="dxa"/>
            <w:vAlign w:val="center"/>
          </w:tcPr>
          <w:p w14:paraId="15B8557F">
            <w:pPr>
              <w:pStyle w:val="44"/>
              <w:rPr>
                <w:color w:val="auto"/>
              </w:rPr>
            </w:pPr>
            <w:r>
              <w:rPr>
                <w:color w:val="auto"/>
              </w:rPr>
              <w:t>10</w:t>
            </w:r>
          </w:p>
        </w:tc>
        <w:tc>
          <w:tcPr>
            <w:tcW w:w="720" w:type="dxa"/>
            <w:vAlign w:val="center"/>
          </w:tcPr>
          <w:p w14:paraId="19FCACBE">
            <w:pPr>
              <w:pStyle w:val="44"/>
              <w:rPr>
                <w:color w:val="auto"/>
              </w:rPr>
            </w:pPr>
          </w:p>
        </w:tc>
        <w:tc>
          <w:tcPr>
            <w:tcW w:w="720" w:type="dxa"/>
            <w:vAlign w:val="center"/>
          </w:tcPr>
          <w:p w14:paraId="67542D74">
            <w:pPr>
              <w:pStyle w:val="44"/>
              <w:rPr>
                <w:color w:val="auto"/>
              </w:rPr>
            </w:pPr>
          </w:p>
        </w:tc>
      </w:tr>
      <w:tr w14:paraId="21425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2E4EA4B2">
            <w:pPr>
              <w:pStyle w:val="44"/>
              <w:rPr>
                <w:color w:val="auto"/>
              </w:rPr>
            </w:pPr>
            <w:r>
              <w:rPr>
                <w:color w:val="auto"/>
              </w:rPr>
              <w:t>6</w:t>
            </w:r>
          </w:p>
        </w:tc>
        <w:tc>
          <w:tcPr>
            <w:tcW w:w="543" w:type="dxa"/>
            <w:vMerge w:val="continue"/>
            <w:vAlign w:val="center"/>
          </w:tcPr>
          <w:p w14:paraId="5F184B21">
            <w:pPr>
              <w:pStyle w:val="44"/>
              <w:rPr>
                <w:color w:val="auto"/>
              </w:rPr>
            </w:pPr>
          </w:p>
        </w:tc>
        <w:tc>
          <w:tcPr>
            <w:tcW w:w="898" w:type="dxa"/>
            <w:vAlign w:val="center"/>
          </w:tcPr>
          <w:p w14:paraId="5A731B44">
            <w:pPr>
              <w:pStyle w:val="44"/>
              <w:rPr>
                <w:color w:val="auto"/>
              </w:rPr>
            </w:pPr>
            <w:r>
              <w:rPr>
                <w:rFonts w:hint="eastAsia"/>
                <w:color w:val="auto"/>
              </w:rPr>
              <w:t>吊环</w:t>
            </w:r>
          </w:p>
        </w:tc>
        <w:tc>
          <w:tcPr>
            <w:tcW w:w="5580" w:type="dxa"/>
            <w:vAlign w:val="center"/>
          </w:tcPr>
          <w:p w14:paraId="3E01FD4B">
            <w:pPr>
              <w:pStyle w:val="44"/>
              <w:jc w:val="left"/>
              <w:rPr>
                <w:color w:val="auto"/>
              </w:rPr>
            </w:pPr>
            <w:r>
              <w:rPr>
                <w:color w:val="auto"/>
              </w:rPr>
              <w:t>1</w:t>
            </w:r>
            <w:r>
              <w:rPr>
                <w:rFonts w:hint="eastAsia"/>
                <w:color w:val="auto"/>
              </w:rPr>
              <w:t>）吊环未设置在肋上或吊环有塑性变形，扣</w:t>
            </w:r>
            <w:r>
              <w:rPr>
                <w:color w:val="auto"/>
              </w:rPr>
              <w:t>5</w:t>
            </w:r>
            <w:r>
              <w:rPr>
                <w:rFonts w:hint="eastAsia"/>
                <w:color w:val="auto"/>
              </w:rPr>
              <w:t>分</w:t>
            </w:r>
          </w:p>
          <w:p w14:paraId="2A767437">
            <w:pPr>
              <w:pStyle w:val="44"/>
              <w:jc w:val="left"/>
              <w:rPr>
                <w:color w:val="auto"/>
              </w:rPr>
            </w:pPr>
            <w:r>
              <w:rPr>
                <w:color w:val="auto"/>
              </w:rPr>
              <w:t>2</w:t>
            </w:r>
            <w:r>
              <w:rPr>
                <w:rFonts w:hint="eastAsia"/>
                <w:color w:val="auto"/>
              </w:rPr>
              <w:t>）焊接式钢吊环采用性能低于</w:t>
            </w:r>
            <w:r>
              <w:rPr>
                <w:color w:val="auto"/>
              </w:rPr>
              <w:t>Q235B</w:t>
            </w:r>
            <w:r>
              <w:rPr>
                <w:rFonts w:hint="eastAsia"/>
                <w:color w:val="auto"/>
              </w:rPr>
              <w:t>的钢材制作，扣</w:t>
            </w:r>
            <w:r>
              <w:rPr>
                <w:color w:val="auto"/>
              </w:rPr>
              <w:t>10</w:t>
            </w:r>
            <w:r>
              <w:rPr>
                <w:rFonts w:hint="eastAsia"/>
                <w:color w:val="auto"/>
              </w:rPr>
              <w:t>分</w:t>
            </w:r>
          </w:p>
          <w:p w14:paraId="46CF7F47">
            <w:pPr>
              <w:pStyle w:val="44"/>
              <w:jc w:val="left"/>
              <w:rPr>
                <w:color w:val="auto"/>
              </w:rPr>
            </w:pPr>
            <w:r>
              <w:rPr>
                <w:color w:val="auto"/>
              </w:rPr>
              <w:t>3</w:t>
            </w:r>
            <w:r>
              <w:rPr>
                <w:rFonts w:hint="eastAsia"/>
                <w:color w:val="auto"/>
              </w:rPr>
              <w:t>）装配式吊环与大模板采用螺栓连接时未采用双螺母，扣</w:t>
            </w:r>
            <w:r>
              <w:rPr>
                <w:color w:val="auto"/>
              </w:rPr>
              <w:t>10</w:t>
            </w:r>
            <w:r>
              <w:rPr>
                <w:rFonts w:hint="eastAsia"/>
                <w:color w:val="auto"/>
              </w:rPr>
              <w:t>分</w:t>
            </w:r>
          </w:p>
        </w:tc>
        <w:tc>
          <w:tcPr>
            <w:tcW w:w="720" w:type="dxa"/>
            <w:vAlign w:val="center"/>
          </w:tcPr>
          <w:p w14:paraId="5802BCDF">
            <w:pPr>
              <w:pStyle w:val="44"/>
              <w:rPr>
                <w:color w:val="auto"/>
              </w:rPr>
            </w:pPr>
            <w:r>
              <w:rPr>
                <w:color w:val="auto"/>
              </w:rPr>
              <w:t>10</w:t>
            </w:r>
          </w:p>
        </w:tc>
        <w:tc>
          <w:tcPr>
            <w:tcW w:w="720" w:type="dxa"/>
            <w:vAlign w:val="center"/>
          </w:tcPr>
          <w:p w14:paraId="4EE32984">
            <w:pPr>
              <w:pStyle w:val="44"/>
              <w:rPr>
                <w:color w:val="auto"/>
              </w:rPr>
            </w:pPr>
          </w:p>
        </w:tc>
        <w:tc>
          <w:tcPr>
            <w:tcW w:w="720" w:type="dxa"/>
            <w:vAlign w:val="center"/>
          </w:tcPr>
          <w:p w14:paraId="75A90594">
            <w:pPr>
              <w:pStyle w:val="44"/>
              <w:rPr>
                <w:color w:val="auto"/>
              </w:rPr>
            </w:pPr>
          </w:p>
        </w:tc>
      </w:tr>
      <w:tr w14:paraId="24EC9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145918BB">
            <w:pPr>
              <w:pStyle w:val="44"/>
              <w:rPr>
                <w:color w:val="auto"/>
              </w:rPr>
            </w:pPr>
            <w:r>
              <w:rPr>
                <w:color w:val="auto"/>
              </w:rPr>
              <w:t>7</w:t>
            </w:r>
          </w:p>
        </w:tc>
        <w:tc>
          <w:tcPr>
            <w:tcW w:w="543" w:type="dxa"/>
            <w:vMerge w:val="continue"/>
            <w:vAlign w:val="center"/>
          </w:tcPr>
          <w:p w14:paraId="45A31718">
            <w:pPr>
              <w:pStyle w:val="44"/>
              <w:rPr>
                <w:color w:val="auto"/>
              </w:rPr>
            </w:pPr>
          </w:p>
        </w:tc>
        <w:tc>
          <w:tcPr>
            <w:tcW w:w="898" w:type="dxa"/>
            <w:vAlign w:val="center"/>
          </w:tcPr>
          <w:p w14:paraId="46EEDD96">
            <w:pPr>
              <w:pStyle w:val="44"/>
              <w:rPr>
                <w:color w:val="auto"/>
              </w:rPr>
            </w:pPr>
            <w:r>
              <w:rPr>
                <w:rFonts w:hint="eastAsia"/>
                <w:color w:val="auto"/>
              </w:rPr>
              <w:t>安装与拆除</w:t>
            </w:r>
          </w:p>
        </w:tc>
        <w:tc>
          <w:tcPr>
            <w:tcW w:w="5580" w:type="dxa"/>
            <w:vAlign w:val="center"/>
          </w:tcPr>
          <w:p w14:paraId="21566170">
            <w:pPr>
              <w:pStyle w:val="44"/>
              <w:jc w:val="left"/>
              <w:rPr>
                <w:color w:val="auto"/>
              </w:rPr>
            </w:pPr>
            <w:r>
              <w:rPr>
                <w:color w:val="auto"/>
              </w:rPr>
              <w:t>1</w:t>
            </w:r>
            <w:r>
              <w:rPr>
                <w:rFonts w:hint="eastAsia"/>
                <w:color w:val="auto"/>
              </w:rPr>
              <w:t>）模板支架系统安装时，已浇筑混凝土的强度小于大模板设计的强度值，或低于</w:t>
            </w:r>
            <w:r>
              <w:rPr>
                <w:color w:val="auto"/>
              </w:rPr>
              <w:t>7.5MPa</w:t>
            </w:r>
            <w:r>
              <w:rPr>
                <w:rFonts w:hint="eastAsia"/>
                <w:color w:val="auto"/>
              </w:rPr>
              <w:t>，扣</w:t>
            </w:r>
            <w:r>
              <w:rPr>
                <w:color w:val="auto"/>
              </w:rPr>
              <w:t>10</w:t>
            </w:r>
            <w:r>
              <w:rPr>
                <w:rFonts w:hint="eastAsia"/>
                <w:color w:val="auto"/>
              </w:rPr>
              <w:t>分</w:t>
            </w:r>
          </w:p>
          <w:p w14:paraId="625FE3AA">
            <w:pPr>
              <w:pStyle w:val="44"/>
              <w:jc w:val="left"/>
              <w:rPr>
                <w:color w:val="auto"/>
              </w:rPr>
            </w:pPr>
            <w:r>
              <w:rPr>
                <w:color w:val="auto"/>
              </w:rPr>
              <w:t>2</w:t>
            </w:r>
            <w:r>
              <w:rPr>
                <w:rFonts w:hint="eastAsia"/>
                <w:color w:val="auto"/>
              </w:rPr>
              <w:t>）大模板吊装时未清除操作平台上档的堆料和未固定的零散件，或未撤离作业人员，扣</w:t>
            </w:r>
            <w:r>
              <w:rPr>
                <w:color w:val="auto"/>
              </w:rPr>
              <w:t>10</w:t>
            </w:r>
            <w:r>
              <w:rPr>
                <w:rFonts w:hint="eastAsia"/>
                <w:color w:val="auto"/>
              </w:rPr>
              <w:t>分</w:t>
            </w:r>
          </w:p>
          <w:p w14:paraId="3B43F145">
            <w:pPr>
              <w:pStyle w:val="44"/>
              <w:jc w:val="left"/>
              <w:rPr>
                <w:color w:val="auto"/>
              </w:rPr>
            </w:pPr>
            <w:r>
              <w:rPr>
                <w:color w:val="auto"/>
              </w:rPr>
              <w:t>3</w:t>
            </w:r>
            <w:r>
              <w:rPr>
                <w:rFonts w:hint="eastAsia"/>
                <w:color w:val="auto"/>
              </w:rPr>
              <w:t>）大模板拆除后竖向放置时，模板与垂线的夹角小于风荷载作用下的自稳角或未采取确保模板放置稳定的措施，扣</w:t>
            </w:r>
            <w:r>
              <w:rPr>
                <w:color w:val="auto"/>
              </w:rPr>
              <w:t>10</w:t>
            </w:r>
            <w:r>
              <w:rPr>
                <w:rFonts w:hint="eastAsia"/>
                <w:color w:val="auto"/>
              </w:rPr>
              <w:t>分</w:t>
            </w:r>
          </w:p>
        </w:tc>
        <w:tc>
          <w:tcPr>
            <w:tcW w:w="720" w:type="dxa"/>
            <w:vAlign w:val="center"/>
          </w:tcPr>
          <w:p w14:paraId="06FB1D4A">
            <w:pPr>
              <w:pStyle w:val="44"/>
              <w:rPr>
                <w:color w:val="auto"/>
              </w:rPr>
            </w:pPr>
            <w:r>
              <w:rPr>
                <w:color w:val="auto"/>
              </w:rPr>
              <w:t>10</w:t>
            </w:r>
          </w:p>
        </w:tc>
        <w:tc>
          <w:tcPr>
            <w:tcW w:w="720" w:type="dxa"/>
            <w:vAlign w:val="center"/>
          </w:tcPr>
          <w:p w14:paraId="6AE04B57">
            <w:pPr>
              <w:pStyle w:val="44"/>
              <w:rPr>
                <w:color w:val="auto"/>
              </w:rPr>
            </w:pPr>
          </w:p>
        </w:tc>
        <w:tc>
          <w:tcPr>
            <w:tcW w:w="720" w:type="dxa"/>
            <w:vAlign w:val="center"/>
          </w:tcPr>
          <w:p w14:paraId="6D780BE8">
            <w:pPr>
              <w:pStyle w:val="44"/>
              <w:rPr>
                <w:color w:val="auto"/>
              </w:rPr>
            </w:pPr>
          </w:p>
        </w:tc>
      </w:tr>
      <w:tr w14:paraId="563C5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59415F59">
            <w:pPr>
              <w:pStyle w:val="44"/>
              <w:rPr>
                <w:color w:val="auto"/>
              </w:rPr>
            </w:pPr>
          </w:p>
        </w:tc>
        <w:tc>
          <w:tcPr>
            <w:tcW w:w="543" w:type="dxa"/>
            <w:vMerge w:val="continue"/>
          </w:tcPr>
          <w:p w14:paraId="359AFF4F">
            <w:pPr>
              <w:pStyle w:val="44"/>
              <w:rPr>
                <w:color w:val="auto"/>
              </w:rPr>
            </w:pPr>
          </w:p>
        </w:tc>
        <w:tc>
          <w:tcPr>
            <w:tcW w:w="6478" w:type="dxa"/>
            <w:gridSpan w:val="2"/>
            <w:vAlign w:val="center"/>
          </w:tcPr>
          <w:p w14:paraId="1BFFC055">
            <w:pPr>
              <w:pStyle w:val="44"/>
              <w:rPr>
                <w:b/>
                <w:bCs w:val="0"/>
                <w:color w:val="auto"/>
              </w:rPr>
            </w:pPr>
            <w:r>
              <w:rPr>
                <w:rFonts w:hint="eastAsia"/>
                <w:b/>
                <w:bCs w:val="0"/>
                <w:color w:val="auto"/>
              </w:rPr>
              <w:t>小</w:t>
            </w:r>
            <w:r>
              <w:rPr>
                <w:b/>
                <w:bCs w:val="0"/>
                <w:color w:val="auto"/>
              </w:rPr>
              <w:t xml:space="preserve">  </w:t>
            </w:r>
            <w:r>
              <w:rPr>
                <w:rFonts w:hint="eastAsia"/>
                <w:b/>
                <w:bCs w:val="0"/>
                <w:color w:val="auto"/>
              </w:rPr>
              <w:t>计</w:t>
            </w:r>
          </w:p>
        </w:tc>
        <w:tc>
          <w:tcPr>
            <w:tcW w:w="720" w:type="dxa"/>
            <w:vAlign w:val="center"/>
          </w:tcPr>
          <w:p w14:paraId="356360C9">
            <w:pPr>
              <w:pStyle w:val="44"/>
              <w:rPr>
                <w:color w:val="auto"/>
              </w:rPr>
            </w:pPr>
            <w:r>
              <w:rPr>
                <w:color w:val="auto"/>
              </w:rPr>
              <w:t>70</w:t>
            </w:r>
          </w:p>
        </w:tc>
        <w:tc>
          <w:tcPr>
            <w:tcW w:w="720" w:type="dxa"/>
            <w:vAlign w:val="center"/>
          </w:tcPr>
          <w:p w14:paraId="6EC1D10B">
            <w:pPr>
              <w:pStyle w:val="44"/>
              <w:rPr>
                <w:color w:val="auto"/>
              </w:rPr>
            </w:pPr>
          </w:p>
        </w:tc>
        <w:tc>
          <w:tcPr>
            <w:tcW w:w="720" w:type="dxa"/>
            <w:vAlign w:val="center"/>
          </w:tcPr>
          <w:p w14:paraId="54574D04">
            <w:pPr>
              <w:pStyle w:val="44"/>
              <w:rPr>
                <w:color w:val="auto"/>
              </w:rPr>
            </w:pPr>
          </w:p>
        </w:tc>
      </w:tr>
      <w:tr w14:paraId="67C7B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trPr>
        <w:tc>
          <w:tcPr>
            <w:tcW w:w="539" w:type="dxa"/>
            <w:vAlign w:val="center"/>
          </w:tcPr>
          <w:p w14:paraId="11C9BB33">
            <w:pPr>
              <w:pStyle w:val="44"/>
              <w:rPr>
                <w:color w:val="auto"/>
              </w:rPr>
            </w:pPr>
            <w:r>
              <w:rPr>
                <w:color w:val="auto"/>
              </w:rPr>
              <w:t>1</w:t>
            </w:r>
          </w:p>
        </w:tc>
        <w:tc>
          <w:tcPr>
            <w:tcW w:w="543" w:type="dxa"/>
            <w:vMerge w:val="restart"/>
            <w:vAlign w:val="center"/>
          </w:tcPr>
          <w:p w14:paraId="22F315AC">
            <w:pPr>
              <w:pStyle w:val="44"/>
              <w:rPr>
                <w:color w:val="auto"/>
              </w:rPr>
            </w:pPr>
            <w:r>
              <w:rPr>
                <w:rFonts w:hint="eastAsia"/>
                <w:color w:val="auto"/>
              </w:rPr>
              <w:t>一</w:t>
            </w:r>
          </w:p>
          <w:p w14:paraId="33E7CE26">
            <w:pPr>
              <w:pStyle w:val="44"/>
              <w:rPr>
                <w:color w:val="auto"/>
              </w:rPr>
            </w:pPr>
            <w:r>
              <w:rPr>
                <w:rFonts w:hint="eastAsia"/>
                <w:color w:val="auto"/>
              </w:rPr>
              <w:t>般</w:t>
            </w:r>
          </w:p>
          <w:p w14:paraId="4F713D28">
            <w:pPr>
              <w:pStyle w:val="44"/>
              <w:rPr>
                <w:color w:val="auto"/>
              </w:rPr>
            </w:pPr>
            <w:r>
              <w:rPr>
                <w:rFonts w:hint="eastAsia"/>
                <w:color w:val="auto"/>
              </w:rPr>
              <w:t>项</w:t>
            </w:r>
          </w:p>
          <w:p w14:paraId="5C54A6E9">
            <w:pPr>
              <w:pStyle w:val="44"/>
              <w:rPr>
                <w:color w:val="auto"/>
              </w:rPr>
            </w:pPr>
            <w:r>
              <w:rPr>
                <w:rFonts w:hint="eastAsia"/>
                <w:color w:val="auto"/>
              </w:rPr>
              <w:t>目</w:t>
            </w:r>
          </w:p>
        </w:tc>
        <w:tc>
          <w:tcPr>
            <w:tcW w:w="898" w:type="dxa"/>
            <w:vAlign w:val="center"/>
          </w:tcPr>
          <w:p w14:paraId="17470FD0">
            <w:pPr>
              <w:pStyle w:val="44"/>
              <w:rPr>
                <w:color w:val="auto"/>
              </w:rPr>
            </w:pPr>
            <w:r>
              <w:rPr>
                <w:rFonts w:hint="eastAsia"/>
                <w:color w:val="auto"/>
              </w:rPr>
              <w:t>材质与验收</w:t>
            </w:r>
          </w:p>
        </w:tc>
        <w:tc>
          <w:tcPr>
            <w:tcW w:w="5580" w:type="dxa"/>
            <w:vAlign w:val="center"/>
          </w:tcPr>
          <w:p w14:paraId="28BD58F2">
            <w:pPr>
              <w:pStyle w:val="44"/>
              <w:jc w:val="left"/>
              <w:rPr>
                <w:color w:val="auto"/>
              </w:rPr>
            </w:pPr>
            <w:r>
              <w:rPr>
                <w:color w:val="auto"/>
              </w:rPr>
              <w:t>1</w:t>
            </w:r>
            <w:r>
              <w:rPr>
                <w:rFonts w:hint="eastAsia"/>
                <w:color w:val="auto"/>
              </w:rPr>
              <w:t>）进场的大模板构配件无质量合格证、产品性能检验报告，扣</w:t>
            </w:r>
            <w:r>
              <w:rPr>
                <w:color w:val="auto"/>
              </w:rPr>
              <w:t>10</w:t>
            </w:r>
            <w:r>
              <w:rPr>
                <w:rFonts w:hint="eastAsia"/>
                <w:color w:val="auto"/>
              </w:rPr>
              <w:t>分</w:t>
            </w:r>
          </w:p>
          <w:p w14:paraId="0A4DD389">
            <w:pPr>
              <w:pStyle w:val="44"/>
              <w:jc w:val="left"/>
              <w:rPr>
                <w:color w:val="auto"/>
              </w:rPr>
            </w:pPr>
            <w:r>
              <w:rPr>
                <w:color w:val="auto"/>
              </w:rPr>
              <w:t>2</w:t>
            </w:r>
            <w:r>
              <w:rPr>
                <w:rFonts w:hint="eastAsia"/>
                <w:color w:val="auto"/>
              </w:rPr>
              <w:t>）大模板构配件的品种、规格、型号、材质不符合有关标准的要求，扣</w:t>
            </w:r>
            <w:r>
              <w:rPr>
                <w:color w:val="auto"/>
              </w:rPr>
              <w:t>5-10</w:t>
            </w:r>
            <w:r>
              <w:rPr>
                <w:rFonts w:hint="eastAsia"/>
                <w:color w:val="auto"/>
              </w:rPr>
              <w:t>分</w:t>
            </w:r>
          </w:p>
          <w:p w14:paraId="01C9D1FA">
            <w:pPr>
              <w:pStyle w:val="44"/>
              <w:jc w:val="left"/>
              <w:rPr>
                <w:color w:val="auto"/>
              </w:rPr>
            </w:pPr>
            <w:r>
              <w:rPr>
                <w:color w:val="auto"/>
              </w:rPr>
              <w:t>3</w:t>
            </w:r>
            <w:r>
              <w:rPr>
                <w:rFonts w:hint="eastAsia"/>
                <w:color w:val="auto"/>
              </w:rPr>
              <w:t>）钢结构杆件有显著的弯曲、锈蚀和焊接缺陷，扣</w:t>
            </w:r>
            <w:r>
              <w:rPr>
                <w:color w:val="auto"/>
              </w:rPr>
              <w:t>10</w:t>
            </w:r>
            <w:r>
              <w:rPr>
                <w:rFonts w:hint="eastAsia"/>
                <w:color w:val="auto"/>
              </w:rPr>
              <w:t>分</w:t>
            </w:r>
          </w:p>
          <w:p w14:paraId="6222A6EF">
            <w:pPr>
              <w:pStyle w:val="44"/>
              <w:jc w:val="left"/>
              <w:rPr>
                <w:color w:val="auto"/>
              </w:rPr>
            </w:pPr>
            <w:r>
              <w:rPr>
                <w:color w:val="auto"/>
              </w:rPr>
              <w:t>4</w:t>
            </w:r>
            <w:r>
              <w:rPr>
                <w:rFonts w:hint="eastAsia"/>
                <w:color w:val="auto"/>
              </w:rPr>
              <w:t>）大模板每次安装完毕未按规定进行验收，扣</w:t>
            </w:r>
            <w:r>
              <w:rPr>
                <w:color w:val="auto"/>
              </w:rPr>
              <w:t>10</w:t>
            </w:r>
            <w:r>
              <w:rPr>
                <w:rFonts w:hint="eastAsia"/>
                <w:color w:val="auto"/>
              </w:rPr>
              <w:t>分</w:t>
            </w:r>
          </w:p>
          <w:p w14:paraId="0559A3B4">
            <w:pPr>
              <w:pStyle w:val="44"/>
              <w:jc w:val="left"/>
              <w:rPr>
                <w:color w:val="auto"/>
              </w:rPr>
            </w:pPr>
            <w:r>
              <w:rPr>
                <w:color w:val="auto"/>
              </w:rPr>
              <w:t>5</w:t>
            </w:r>
            <w:r>
              <w:rPr>
                <w:rFonts w:hint="eastAsia"/>
                <w:color w:val="auto"/>
              </w:rPr>
              <w:t>）验收未形成记录，或未经责任人签字确认，扣</w:t>
            </w:r>
            <w:r>
              <w:rPr>
                <w:color w:val="auto"/>
              </w:rPr>
              <w:t>5</w:t>
            </w:r>
            <w:r>
              <w:rPr>
                <w:rFonts w:hint="eastAsia"/>
                <w:color w:val="auto"/>
              </w:rPr>
              <w:t>分</w:t>
            </w:r>
          </w:p>
          <w:p w14:paraId="2B96E8BE">
            <w:pPr>
              <w:pStyle w:val="44"/>
              <w:jc w:val="left"/>
              <w:rPr>
                <w:color w:val="auto"/>
              </w:rPr>
            </w:pPr>
            <w:r>
              <w:rPr>
                <w:color w:val="auto"/>
              </w:rPr>
              <w:t>6</w:t>
            </w:r>
            <w:r>
              <w:rPr>
                <w:rFonts w:hint="eastAsia"/>
                <w:color w:val="auto"/>
              </w:rPr>
              <w:t>）验收内容和指标未按标准要求进行量化，扣</w:t>
            </w:r>
            <w:r>
              <w:rPr>
                <w:color w:val="auto"/>
              </w:rPr>
              <w:t>5</w:t>
            </w:r>
            <w:r>
              <w:rPr>
                <w:rFonts w:hint="eastAsia"/>
                <w:color w:val="auto"/>
              </w:rPr>
              <w:t>分</w:t>
            </w:r>
          </w:p>
        </w:tc>
        <w:tc>
          <w:tcPr>
            <w:tcW w:w="720" w:type="dxa"/>
            <w:vAlign w:val="center"/>
          </w:tcPr>
          <w:p w14:paraId="600FCB19">
            <w:pPr>
              <w:pStyle w:val="44"/>
              <w:rPr>
                <w:color w:val="auto"/>
              </w:rPr>
            </w:pPr>
            <w:r>
              <w:rPr>
                <w:color w:val="auto"/>
              </w:rPr>
              <w:t>10</w:t>
            </w:r>
          </w:p>
        </w:tc>
        <w:tc>
          <w:tcPr>
            <w:tcW w:w="720" w:type="dxa"/>
            <w:vAlign w:val="center"/>
          </w:tcPr>
          <w:p w14:paraId="32FE27FA">
            <w:pPr>
              <w:pStyle w:val="44"/>
              <w:rPr>
                <w:color w:val="auto"/>
              </w:rPr>
            </w:pPr>
          </w:p>
        </w:tc>
        <w:tc>
          <w:tcPr>
            <w:tcW w:w="720" w:type="dxa"/>
            <w:vAlign w:val="center"/>
          </w:tcPr>
          <w:p w14:paraId="285222F0">
            <w:pPr>
              <w:pStyle w:val="44"/>
              <w:rPr>
                <w:color w:val="auto"/>
              </w:rPr>
            </w:pPr>
          </w:p>
        </w:tc>
      </w:tr>
      <w:tr w14:paraId="3C9E1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21910E42">
            <w:pPr>
              <w:pStyle w:val="44"/>
              <w:rPr>
                <w:color w:val="auto"/>
              </w:rPr>
            </w:pPr>
            <w:r>
              <w:rPr>
                <w:color w:val="auto"/>
              </w:rPr>
              <w:t>2</w:t>
            </w:r>
          </w:p>
        </w:tc>
        <w:tc>
          <w:tcPr>
            <w:tcW w:w="543" w:type="dxa"/>
            <w:vMerge w:val="continue"/>
          </w:tcPr>
          <w:p w14:paraId="1D40B8CE">
            <w:pPr>
              <w:pStyle w:val="44"/>
              <w:rPr>
                <w:color w:val="auto"/>
              </w:rPr>
            </w:pPr>
          </w:p>
        </w:tc>
        <w:tc>
          <w:tcPr>
            <w:tcW w:w="898" w:type="dxa"/>
            <w:vAlign w:val="center"/>
          </w:tcPr>
          <w:p w14:paraId="111CA7EE">
            <w:pPr>
              <w:pStyle w:val="44"/>
              <w:rPr>
                <w:color w:val="auto"/>
              </w:rPr>
            </w:pPr>
            <w:r>
              <w:rPr>
                <w:rFonts w:hint="eastAsia"/>
                <w:color w:val="auto"/>
              </w:rPr>
              <w:t>安全防护</w:t>
            </w:r>
          </w:p>
        </w:tc>
        <w:tc>
          <w:tcPr>
            <w:tcW w:w="5580" w:type="dxa"/>
            <w:vAlign w:val="center"/>
          </w:tcPr>
          <w:p w14:paraId="3F7E999B">
            <w:pPr>
              <w:pStyle w:val="44"/>
              <w:jc w:val="left"/>
              <w:rPr>
                <w:color w:val="auto"/>
              </w:rPr>
            </w:pPr>
            <w:r>
              <w:rPr>
                <w:color w:val="auto"/>
              </w:rPr>
              <w:t>1</w:t>
            </w:r>
            <w:r>
              <w:rPr>
                <w:rFonts w:hint="eastAsia"/>
                <w:color w:val="auto"/>
              </w:rPr>
              <w:t>）模板顶部及离地高度大于</w:t>
            </w:r>
            <w:r>
              <w:rPr>
                <w:color w:val="auto"/>
              </w:rPr>
              <w:t>2m</w:t>
            </w:r>
            <w:r>
              <w:rPr>
                <w:rFonts w:hint="eastAsia"/>
                <w:color w:val="auto"/>
              </w:rPr>
              <w:t>的对拉螺栓操作部位未设置操作平台，扣</w:t>
            </w:r>
            <w:r>
              <w:rPr>
                <w:color w:val="auto"/>
              </w:rPr>
              <w:t>10</w:t>
            </w:r>
            <w:r>
              <w:rPr>
                <w:rFonts w:hint="eastAsia"/>
                <w:color w:val="auto"/>
              </w:rPr>
              <w:t>分</w:t>
            </w:r>
          </w:p>
          <w:p w14:paraId="75DD6EE3">
            <w:pPr>
              <w:pStyle w:val="44"/>
              <w:jc w:val="left"/>
              <w:rPr>
                <w:color w:val="auto"/>
              </w:rPr>
            </w:pPr>
            <w:r>
              <w:rPr>
                <w:color w:val="auto"/>
              </w:rPr>
              <w:t>2</w:t>
            </w:r>
            <w:r>
              <w:rPr>
                <w:rFonts w:hint="eastAsia"/>
                <w:color w:val="auto"/>
              </w:rPr>
              <w:t>）操作平台面未牢固满铺脚手板，扣</w:t>
            </w:r>
            <w:r>
              <w:rPr>
                <w:color w:val="auto"/>
              </w:rPr>
              <w:t>5</w:t>
            </w:r>
            <w:r>
              <w:rPr>
                <w:rFonts w:hint="eastAsia"/>
                <w:color w:val="auto"/>
              </w:rPr>
              <w:t>分</w:t>
            </w:r>
          </w:p>
          <w:p w14:paraId="0D7B76C2">
            <w:pPr>
              <w:pStyle w:val="44"/>
              <w:jc w:val="left"/>
              <w:rPr>
                <w:color w:val="auto"/>
              </w:rPr>
            </w:pPr>
            <w:r>
              <w:rPr>
                <w:color w:val="auto"/>
              </w:rPr>
              <w:t>3</w:t>
            </w:r>
            <w:r>
              <w:rPr>
                <w:rFonts w:hint="eastAsia"/>
                <w:color w:val="auto"/>
              </w:rPr>
              <w:t>）操作平台外围未按临边作业要求设置防护栏杆，扣</w:t>
            </w:r>
            <w:r>
              <w:rPr>
                <w:color w:val="auto"/>
              </w:rPr>
              <w:t>10</w:t>
            </w:r>
            <w:r>
              <w:rPr>
                <w:rFonts w:hint="eastAsia"/>
                <w:color w:val="auto"/>
              </w:rPr>
              <w:t>分</w:t>
            </w:r>
          </w:p>
          <w:p w14:paraId="7002AF07">
            <w:pPr>
              <w:pStyle w:val="44"/>
              <w:jc w:val="left"/>
              <w:rPr>
                <w:color w:val="auto"/>
              </w:rPr>
            </w:pPr>
            <w:r>
              <w:rPr>
                <w:color w:val="auto"/>
              </w:rPr>
              <w:t>4</w:t>
            </w:r>
            <w:r>
              <w:rPr>
                <w:rFonts w:hint="eastAsia"/>
                <w:color w:val="auto"/>
              </w:rPr>
              <w:t>）操作层未在外侧设置高度不低于</w:t>
            </w:r>
            <w:r>
              <w:rPr>
                <w:color w:val="auto"/>
              </w:rPr>
              <w:t>180mm</w:t>
            </w:r>
            <w:r>
              <w:rPr>
                <w:rFonts w:hint="eastAsia"/>
                <w:color w:val="auto"/>
              </w:rPr>
              <w:t>的挡脚板，扣</w:t>
            </w:r>
            <w:r>
              <w:rPr>
                <w:color w:val="auto"/>
              </w:rPr>
              <w:t>3</w:t>
            </w:r>
            <w:r>
              <w:rPr>
                <w:rFonts w:hint="eastAsia"/>
                <w:color w:val="auto"/>
              </w:rPr>
              <w:t>分</w:t>
            </w:r>
          </w:p>
        </w:tc>
        <w:tc>
          <w:tcPr>
            <w:tcW w:w="720" w:type="dxa"/>
            <w:vAlign w:val="center"/>
          </w:tcPr>
          <w:p w14:paraId="7A16DE92">
            <w:pPr>
              <w:pStyle w:val="44"/>
              <w:rPr>
                <w:color w:val="auto"/>
              </w:rPr>
            </w:pPr>
            <w:r>
              <w:rPr>
                <w:color w:val="auto"/>
              </w:rPr>
              <w:t>10</w:t>
            </w:r>
          </w:p>
        </w:tc>
        <w:tc>
          <w:tcPr>
            <w:tcW w:w="720" w:type="dxa"/>
            <w:vAlign w:val="center"/>
          </w:tcPr>
          <w:p w14:paraId="0C2798E4">
            <w:pPr>
              <w:pStyle w:val="44"/>
              <w:rPr>
                <w:color w:val="auto"/>
              </w:rPr>
            </w:pPr>
          </w:p>
        </w:tc>
        <w:tc>
          <w:tcPr>
            <w:tcW w:w="720" w:type="dxa"/>
            <w:vAlign w:val="center"/>
          </w:tcPr>
          <w:p w14:paraId="691BB20A">
            <w:pPr>
              <w:pStyle w:val="44"/>
              <w:rPr>
                <w:color w:val="auto"/>
              </w:rPr>
            </w:pPr>
          </w:p>
        </w:tc>
      </w:tr>
      <w:tr w14:paraId="1EAF4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11A9FADC">
            <w:pPr>
              <w:pStyle w:val="44"/>
              <w:rPr>
                <w:color w:val="auto"/>
              </w:rPr>
            </w:pPr>
            <w:r>
              <w:rPr>
                <w:color w:val="auto"/>
              </w:rPr>
              <w:t>3</w:t>
            </w:r>
          </w:p>
        </w:tc>
        <w:tc>
          <w:tcPr>
            <w:tcW w:w="543" w:type="dxa"/>
            <w:vMerge w:val="continue"/>
          </w:tcPr>
          <w:p w14:paraId="21AE66FB">
            <w:pPr>
              <w:pStyle w:val="44"/>
              <w:rPr>
                <w:color w:val="auto"/>
              </w:rPr>
            </w:pPr>
          </w:p>
        </w:tc>
        <w:tc>
          <w:tcPr>
            <w:tcW w:w="898" w:type="dxa"/>
            <w:vAlign w:val="center"/>
          </w:tcPr>
          <w:p w14:paraId="747BE42F">
            <w:pPr>
              <w:pStyle w:val="44"/>
              <w:rPr>
                <w:color w:val="auto"/>
              </w:rPr>
            </w:pPr>
            <w:r>
              <w:rPr>
                <w:rFonts w:hint="eastAsia"/>
                <w:color w:val="auto"/>
              </w:rPr>
              <w:t>爬梯</w:t>
            </w:r>
          </w:p>
        </w:tc>
        <w:tc>
          <w:tcPr>
            <w:tcW w:w="5580" w:type="dxa"/>
            <w:vAlign w:val="center"/>
          </w:tcPr>
          <w:p w14:paraId="6E7B7BF5">
            <w:pPr>
              <w:pStyle w:val="44"/>
              <w:jc w:val="left"/>
              <w:rPr>
                <w:color w:val="auto"/>
              </w:rPr>
            </w:pPr>
            <w:r>
              <w:rPr>
                <w:color w:val="auto"/>
              </w:rPr>
              <w:t>1</w:t>
            </w:r>
            <w:r>
              <w:rPr>
                <w:rFonts w:hint="eastAsia"/>
                <w:color w:val="auto"/>
              </w:rPr>
              <w:t>）模板上未设置上下平台的爬梯，扣</w:t>
            </w:r>
            <w:r>
              <w:rPr>
                <w:color w:val="auto"/>
              </w:rPr>
              <w:t>10</w:t>
            </w:r>
            <w:r>
              <w:rPr>
                <w:rFonts w:hint="eastAsia"/>
                <w:color w:val="auto"/>
              </w:rPr>
              <w:t>分</w:t>
            </w:r>
          </w:p>
          <w:p w14:paraId="3CD21C3C">
            <w:pPr>
              <w:pStyle w:val="44"/>
              <w:jc w:val="left"/>
              <w:rPr>
                <w:color w:val="auto"/>
              </w:rPr>
            </w:pPr>
            <w:r>
              <w:rPr>
                <w:color w:val="auto"/>
              </w:rPr>
              <w:t>2</w:t>
            </w:r>
            <w:r>
              <w:rPr>
                <w:rFonts w:hint="eastAsia"/>
                <w:color w:val="auto"/>
              </w:rPr>
              <w:t>）爬梯安装不牢固或通行不畅通，扣</w:t>
            </w:r>
            <w:r>
              <w:rPr>
                <w:color w:val="auto"/>
              </w:rPr>
              <w:t>5-10</w:t>
            </w:r>
            <w:r>
              <w:rPr>
                <w:rFonts w:hint="eastAsia"/>
                <w:color w:val="auto"/>
              </w:rPr>
              <w:t>分</w:t>
            </w:r>
          </w:p>
        </w:tc>
        <w:tc>
          <w:tcPr>
            <w:tcW w:w="720" w:type="dxa"/>
            <w:vAlign w:val="center"/>
          </w:tcPr>
          <w:p w14:paraId="5FE8D4AE">
            <w:pPr>
              <w:pStyle w:val="44"/>
              <w:rPr>
                <w:color w:val="auto"/>
              </w:rPr>
            </w:pPr>
            <w:r>
              <w:rPr>
                <w:color w:val="auto"/>
              </w:rPr>
              <w:t>10</w:t>
            </w:r>
          </w:p>
        </w:tc>
        <w:tc>
          <w:tcPr>
            <w:tcW w:w="720" w:type="dxa"/>
            <w:vAlign w:val="center"/>
          </w:tcPr>
          <w:p w14:paraId="26C1BCD5">
            <w:pPr>
              <w:pStyle w:val="44"/>
              <w:rPr>
                <w:color w:val="auto"/>
              </w:rPr>
            </w:pPr>
          </w:p>
        </w:tc>
        <w:tc>
          <w:tcPr>
            <w:tcW w:w="720" w:type="dxa"/>
            <w:vAlign w:val="center"/>
          </w:tcPr>
          <w:p w14:paraId="083C3B8F">
            <w:pPr>
              <w:pStyle w:val="44"/>
              <w:rPr>
                <w:color w:val="auto"/>
              </w:rPr>
            </w:pPr>
          </w:p>
        </w:tc>
      </w:tr>
      <w:tr w14:paraId="3C4BB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61EF59D8">
            <w:pPr>
              <w:pStyle w:val="44"/>
              <w:rPr>
                <w:color w:val="auto"/>
              </w:rPr>
            </w:pPr>
          </w:p>
        </w:tc>
        <w:tc>
          <w:tcPr>
            <w:tcW w:w="543" w:type="dxa"/>
            <w:vMerge w:val="continue"/>
          </w:tcPr>
          <w:p w14:paraId="1C87D3F2">
            <w:pPr>
              <w:pStyle w:val="44"/>
              <w:rPr>
                <w:color w:val="auto"/>
              </w:rPr>
            </w:pPr>
          </w:p>
        </w:tc>
        <w:tc>
          <w:tcPr>
            <w:tcW w:w="6478" w:type="dxa"/>
            <w:gridSpan w:val="2"/>
            <w:vAlign w:val="center"/>
          </w:tcPr>
          <w:p w14:paraId="0E896149">
            <w:pPr>
              <w:pStyle w:val="44"/>
              <w:rPr>
                <w:b/>
                <w:bCs w:val="0"/>
                <w:color w:val="auto"/>
              </w:rPr>
            </w:pPr>
            <w:r>
              <w:rPr>
                <w:rFonts w:hint="eastAsia"/>
                <w:b/>
                <w:bCs w:val="0"/>
                <w:color w:val="auto"/>
              </w:rPr>
              <w:t xml:space="preserve">小 </w:t>
            </w:r>
            <w:r>
              <w:rPr>
                <w:b/>
                <w:bCs w:val="0"/>
                <w:color w:val="auto"/>
              </w:rPr>
              <w:t xml:space="preserve"> </w:t>
            </w:r>
            <w:r>
              <w:rPr>
                <w:rFonts w:hint="eastAsia"/>
                <w:b/>
                <w:bCs w:val="0"/>
                <w:color w:val="auto"/>
              </w:rPr>
              <w:t>计</w:t>
            </w:r>
          </w:p>
        </w:tc>
        <w:tc>
          <w:tcPr>
            <w:tcW w:w="720" w:type="dxa"/>
            <w:vAlign w:val="center"/>
          </w:tcPr>
          <w:p w14:paraId="2572837E">
            <w:pPr>
              <w:pStyle w:val="44"/>
              <w:rPr>
                <w:color w:val="auto"/>
              </w:rPr>
            </w:pPr>
            <w:r>
              <w:rPr>
                <w:color w:val="auto"/>
              </w:rPr>
              <w:t>30</w:t>
            </w:r>
          </w:p>
        </w:tc>
        <w:tc>
          <w:tcPr>
            <w:tcW w:w="720" w:type="dxa"/>
            <w:vAlign w:val="center"/>
          </w:tcPr>
          <w:p w14:paraId="423F32BC">
            <w:pPr>
              <w:pStyle w:val="44"/>
              <w:rPr>
                <w:color w:val="auto"/>
              </w:rPr>
            </w:pPr>
          </w:p>
        </w:tc>
        <w:tc>
          <w:tcPr>
            <w:tcW w:w="720" w:type="dxa"/>
            <w:vAlign w:val="center"/>
          </w:tcPr>
          <w:p w14:paraId="7749CAB8">
            <w:pPr>
              <w:pStyle w:val="44"/>
              <w:rPr>
                <w:color w:val="auto"/>
              </w:rPr>
            </w:pPr>
          </w:p>
        </w:tc>
      </w:tr>
      <w:tr w14:paraId="3BD8A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trPr>
        <w:tc>
          <w:tcPr>
            <w:tcW w:w="7560" w:type="dxa"/>
            <w:gridSpan w:val="4"/>
            <w:vAlign w:val="center"/>
          </w:tcPr>
          <w:p w14:paraId="19682173">
            <w:pPr>
              <w:pStyle w:val="44"/>
              <w:rPr>
                <w:b/>
                <w:bCs w:val="0"/>
                <w:color w:val="auto"/>
              </w:rPr>
            </w:pPr>
            <w:r>
              <w:rPr>
                <w:rFonts w:hint="eastAsia"/>
                <w:b/>
                <w:bCs w:val="0"/>
                <w:color w:val="auto"/>
              </w:rPr>
              <w:t>检查项目合计</w:t>
            </w:r>
          </w:p>
        </w:tc>
        <w:tc>
          <w:tcPr>
            <w:tcW w:w="720" w:type="dxa"/>
            <w:vAlign w:val="center"/>
          </w:tcPr>
          <w:p w14:paraId="05739BB9">
            <w:pPr>
              <w:pStyle w:val="44"/>
              <w:rPr>
                <w:color w:val="auto"/>
              </w:rPr>
            </w:pPr>
            <w:r>
              <w:rPr>
                <w:color w:val="auto"/>
              </w:rPr>
              <w:t>100</w:t>
            </w:r>
          </w:p>
        </w:tc>
        <w:tc>
          <w:tcPr>
            <w:tcW w:w="720" w:type="dxa"/>
            <w:vAlign w:val="center"/>
          </w:tcPr>
          <w:p w14:paraId="06CA173A">
            <w:pPr>
              <w:pStyle w:val="44"/>
              <w:rPr>
                <w:color w:val="auto"/>
              </w:rPr>
            </w:pPr>
          </w:p>
        </w:tc>
        <w:tc>
          <w:tcPr>
            <w:tcW w:w="720" w:type="dxa"/>
            <w:vAlign w:val="center"/>
          </w:tcPr>
          <w:p w14:paraId="6B8399A0">
            <w:pPr>
              <w:pStyle w:val="44"/>
              <w:rPr>
                <w:color w:val="auto"/>
              </w:rPr>
            </w:pPr>
          </w:p>
        </w:tc>
      </w:tr>
    </w:tbl>
    <w:p w14:paraId="2B0625B4"/>
    <w:p w14:paraId="3D1DA451">
      <w:pPr>
        <w:pStyle w:val="5"/>
      </w:pPr>
      <w:r>
        <w:rPr>
          <w:rFonts w:hint="eastAsia"/>
        </w:rPr>
        <w:br w:type="page"/>
      </w:r>
      <w:bookmarkStart w:id="70" w:name="_Toc11833"/>
      <w:bookmarkStart w:id="71" w:name="_Toc12589"/>
      <w:bookmarkStart w:id="72" w:name="_Toc6067"/>
      <w:r>
        <w:rPr>
          <w:rFonts w:hint="eastAsia"/>
        </w:rPr>
        <w:t>表B.</w:t>
      </w:r>
      <w:r>
        <w:t>21</w:t>
      </w:r>
      <w:r>
        <w:rPr>
          <w:rFonts w:hint="eastAsia"/>
        </w:rPr>
        <w:t xml:space="preserve">  滑动模板检查</w:t>
      </w:r>
      <w:r>
        <w:t>评分表</w:t>
      </w:r>
      <w:bookmarkEnd w:id="70"/>
      <w:bookmarkEnd w:id="71"/>
      <w:bookmarkEnd w:id="72"/>
    </w:p>
    <w:tbl>
      <w:tblPr>
        <w:tblStyle w:val="19"/>
        <w:tblpPr w:leftFromText="180" w:rightFromText="180" w:vertAnchor="text" w:horzAnchor="page" w:tblpX="1150" w:tblpY="631"/>
        <w:tblOverlap w:val="never"/>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038DB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trPr>
        <w:tc>
          <w:tcPr>
            <w:tcW w:w="539" w:type="dxa"/>
            <w:vAlign w:val="center"/>
          </w:tcPr>
          <w:p w14:paraId="74F09D91">
            <w:pPr>
              <w:pStyle w:val="44"/>
              <w:rPr>
                <w:color w:val="auto"/>
              </w:rPr>
            </w:pPr>
            <w:r>
              <w:rPr>
                <w:rFonts w:hint="eastAsia"/>
                <w:color w:val="auto"/>
              </w:rPr>
              <w:t>序号</w:t>
            </w:r>
          </w:p>
        </w:tc>
        <w:tc>
          <w:tcPr>
            <w:tcW w:w="1441" w:type="dxa"/>
            <w:gridSpan w:val="2"/>
            <w:vAlign w:val="center"/>
          </w:tcPr>
          <w:p w14:paraId="5B241CAC">
            <w:pPr>
              <w:pStyle w:val="44"/>
              <w:rPr>
                <w:color w:val="auto"/>
              </w:rPr>
            </w:pPr>
            <w:r>
              <w:rPr>
                <w:rFonts w:hint="eastAsia"/>
                <w:color w:val="auto"/>
              </w:rPr>
              <w:t>检查项目</w:t>
            </w:r>
          </w:p>
        </w:tc>
        <w:tc>
          <w:tcPr>
            <w:tcW w:w="5580" w:type="dxa"/>
            <w:vAlign w:val="center"/>
          </w:tcPr>
          <w:p w14:paraId="63DB7353">
            <w:pPr>
              <w:pStyle w:val="44"/>
              <w:rPr>
                <w:color w:val="auto"/>
              </w:rPr>
            </w:pPr>
            <w:r>
              <w:rPr>
                <w:rFonts w:hint="eastAsia"/>
                <w:color w:val="auto"/>
              </w:rPr>
              <w:t>扣</w:t>
            </w:r>
            <w:r>
              <w:rPr>
                <w:color w:val="auto"/>
              </w:rPr>
              <w:t xml:space="preserve"> </w:t>
            </w:r>
            <w:r>
              <w:rPr>
                <w:rFonts w:hint="eastAsia"/>
                <w:color w:val="auto"/>
              </w:rPr>
              <w:t>分</w:t>
            </w:r>
            <w:r>
              <w:rPr>
                <w:color w:val="auto"/>
              </w:rPr>
              <w:t xml:space="preserve"> </w:t>
            </w:r>
            <w:r>
              <w:rPr>
                <w:rFonts w:hint="eastAsia"/>
                <w:color w:val="auto"/>
              </w:rPr>
              <w:t>标</w:t>
            </w:r>
            <w:r>
              <w:rPr>
                <w:color w:val="auto"/>
              </w:rPr>
              <w:t xml:space="preserve"> </w:t>
            </w:r>
            <w:r>
              <w:rPr>
                <w:rFonts w:hint="eastAsia"/>
                <w:color w:val="auto"/>
              </w:rPr>
              <w:t>准</w:t>
            </w:r>
          </w:p>
        </w:tc>
        <w:tc>
          <w:tcPr>
            <w:tcW w:w="720" w:type="dxa"/>
            <w:vAlign w:val="center"/>
          </w:tcPr>
          <w:p w14:paraId="57A442E2">
            <w:pPr>
              <w:pStyle w:val="44"/>
              <w:rPr>
                <w:color w:val="auto"/>
              </w:rPr>
            </w:pPr>
            <w:r>
              <w:rPr>
                <w:rFonts w:hint="eastAsia"/>
                <w:color w:val="auto"/>
              </w:rPr>
              <w:t>应得</w:t>
            </w:r>
          </w:p>
          <w:p w14:paraId="2FDD1652">
            <w:pPr>
              <w:pStyle w:val="44"/>
              <w:rPr>
                <w:color w:val="auto"/>
              </w:rPr>
            </w:pPr>
            <w:r>
              <w:rPr>
                <w:rFonts w:hint="eastAsia"/>
                <w:color w:val="auto"/>
              </w:rPr>
              <w:t>分数</w:t>
            </w:r>
          </w:p>
        </w:tc>
        <w:tc>
          <w:tcPr>
            <w:tcW w:w="720" w:type="dxa"/>
            <w:vAlign w:val="center"/>
          </w:tcPr>
          <w:p w14:paraId="58C5AF21">
            <w:pPr>
              <w:pStyle w:val="44"/>
              <w:rPr>
                <w:color w:val="auto"/>
              </w:rPr>
            </w:pPr>
            <w:r>
              <w:rPr>
                <w:rFonts w:hint="eastAsia"/>
                <w:color w:val="auto"/>
              </w:rPr>
              <w:t>扣减</w:t>
            </w:r>
          </w:p>
          <w:p w14:paraId="77CB7981">
            <w:pPr>
              <w:pStyle w:val="44"/>
              <w:rPr>
                <w:color w:val="auto"/>
              </w:rPr>
            </w:pPr>
            <w:r>
              <w:rPr>
                <w:rFonts w:hint="eastAsia"/>
                <w:color w:val="auto"/>
              </w:rPr>
              <w:t>分数</w:t>
            </w:r>
          </w:p>
        </w:tc>
        <w:tc>
          <w:tcPr>
            <w:tcW w:w="720" w:type="dxa"/>
            <w:vAlign w:val="center"/>
          </w:tcPr>
          <w:p w14:paraId="05A91FBF">
            <w:pPr>
              <w:pStyle w:val="44"/>
              <w:rPr>
                <w:color w:val="auto"/>
              </w:rPr>
            </w:pPr>
            <w:r>
              <w:rPr>
                <w:rFonts w:hint="eastAsia"/>
                <w:color w:val="auto"/>
              </w:rPr>
              <w:t>实得</w:t>
            </w:r>
          </w:p>
          <w:p w14:paraId="065BB3BE">
            <w:pPr>
              <w:pStyle w:val="44"/>
              <w:rPr>
                <w:color w:val="auto"/>
              </w:rPr>
            </w:pPr>
            <w:r>
              <w:rPr>
                <w:rFonts w:hint="eastAsia"/>
                <w:color w:val="auto"/>
              </w:rPr>
              <w:t>分数</w:t>
            </w:r>
          </w:p>
        </w:tc>
      </w:tr>
      <w:tr w14:paraId="3E3B8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trPr>
        <w:tc>
          <w:tcPr>
            <w:tcW w:w="539" w:type="dxa"/>
            <w:vAlign w:val="center"/>
          </w:tcPr>
          <w:p w14:paraId="2CD4A8E1">
            <w:pPr>
              <w:pStyle w:val="44"/>
              <w:rPr>
                <w:color w:val="auto"/>
              </w:rPr>
            </w:pPr>
            <w:r>
              <w:rPr>
                <w:color w:val="auto"/>
              </w:rPr>
              <w:t>1</w:t>
            </w:r>
          </w:p>
        </w:tc>
        <w:tc>
          <w:tcPr>
            <w:tcW w:w="543" w:type="dxa"/>
            <w:vMerge w:val="restart"/>
            <w:vAlign w:val="center"/>
          </w:tcPr>
          <w:p w14:paraId="5390E0CF">
            <w:pPr>
              <w:pStyle w:val="44"/>
              <w:rPr>
                <w:color w:val="auto"/>
              </w:rPr>
            </w:pPr>
            <w:r>
              <w:rPr>
                <w:rFonts w:hint="eastAsia"/>
                <w:color w:val="auto"/>
              </w:rPr>
              <w:t>保</w:t>
            </w:r>
          </w:p>
          <w:p w14:paraId="0BCECA58">
            <w:pPr>
              <w:pStyle w:val="44"/>
              <w:rPr>
                <w:color w:val="auto"/>
              </w:rPr>
            </w:pPr>
            <w:r>
              <w:rPr>
                <w:rFonts w:hint="eastAsia"/>
                <w:color w:val="auto"/>
              </w:rPr>
              <w:t>证</w:t>
            </w:r>
          </w:p>
          <w:p w14:paraId="03A179A5">
            <w:pPr>
              <w:pStyle w:val="44"/>
              <w:rPr>
                <w:color w:val="auto"/>
              </w:rPr>
            </w:pPr>
            <w:r>
              <w:rPr>
                <w:rFonts w:hint="eastAsia"/>
                <w:color w:val="auto"/>
              </w:rPr>
              <w:t>项</w:t>
            </w:r>
          </w:p>
          <w:p w14:paraId="7A0B7E0F">
            <w:pPr>
              <w:pStyle w:val="44"/>
              <w:rPr>
                <w:color w:val="auto"/>
              </w:rPr>
            </w:pPr>
            <w:r>
              <w:rPr>
                <w:rFonts w:hint="eastAsia"/>
                <w:color w:val="auto"/>
              </w:rPr>
              <w:t>目</w:t>
            </w:r>
          </w:p>
        </w:tc>
        <w:tc>
          <w:tcPr>
            <w:tcW w:w="898" w:type="dxa"/>
            <w:vAlign w:val="center"/>
          </w:tcPr>
          <w:p w14:paraId="25661716">
            <w:pPr>
              <w:pStyle w:val="44"/>
              <w:rPr>
                <w:color w:val="auto"/>
              </w:rPr>
            </w:pPr>
            <w:r>
              <w:rPr>
                <w:rFonts w:hint="eastAsia"/>
                <w:color w:val="auto"/>
              </w:rPr>
              <w:t>方案与交底</w:t>
            </w:r>
          </w:p>
        </w:tc>
        <w:tc>
          <w:tcPr>
            <w:tcW w:w="5580" w:type="dxa"/>
            <w:vAlign w:val="center"/>
          </w:tcPr>
          <w:p w14:paraId="0E06BD84">
            <w:pPr>
              <w:pStyle w:val="44"/>
              <w:jc w:val="left"/>
              <w:rPr>
                <w:color w:val="auto"/>
              </w:rPr>
            </w:pPr>
            <w:r>
              <w:rPr>
                <w:color w:val="auto"/>
              </w:rPr>
              <w:t>1</w:t>
            </w:r>
            <w:r>
              <w:rPr>
                <w:rFonts w:hint="eastAsia"/>
                <w:color w:val="auto"/>
              </w:rPr>
              <w:t>）未按规定编制专项施工方案，扣</w:t>
            </w:r>
            <w:r>
              <w:rPr>
                <w:color w:val="auto"/>
              </w:rPr>
              <w:t>10</w:t>
            </w:r>
            <w:r>
              <w:rPr>
                <w:rFonts w:hint="eastAsia"/>
                <w:color w:val="auto"/>
              </w:rPr>
              <w:t>分；方案编制内容不全或无针对性，扣</w:t>
            </w:r>
            <w:r>
              <w:rPr>
                <w:color w:val="auto"/>
              </w:rPr>
              <w:t>2-10</w:t>
            </w:r>
            <w:r>
              <w:rPr>
                <w:rFonts w:hint="eastAsia"/>
                <w:color w:val="auto"/>
              </w:rPr>
              <w:t>分</w:t>
            </w:r>
          </w:p>
          <w:p w14:paraId="148319E4">
            <w:pPr>
              <w:pStyle w:val="44"/>
              <w:jc w:val="left"/>
              <w:rPr>
                <w:color w:val="auto"/>
              </w:rPr>
            </w:pPr>
            <w:r>
              <w:rPr>
                <w:color w:val="auto"/>
              </w:rPr>
              <w:t>2</w:t>
            </w:r>
            <w:r>
              <w:rPr>
                <w:rFonts w:hint="eastAsia"/>
                <w:color w:val="auto"/>
              </w:rPr>
              <w:t>）专项方案未按规定进行审核、审批，扣</w:t>
            </w:r>
            <w:r>
              <w:rPr>
                <w:color w:val="auto"/>
              </w:rPr>
              <w:t>10</w:t>
            </w:r>
            <w:r>
              <w:rPr>
                <w:rFonts w:hint="eastAsia"/>
                <w:color w:val="auto"/>
              </w:rPr>
              <w:t>分</w:t>
            </w:r>
          </w:p>
          <w:p w14:paraId="628FE4AB">
            <w:pPr>
              <w:pStyle w:val="44"/>
              <w:jc w:val="left"/>
              <w:rPr>
                <w:color w:val="auto"/>
              </w:rPr>
            </w:pPr>
            <w:r>
              <w:rPr>
                <w:color w:val="auto"/>
              </w:rPr>
              <w:t>3</w:t>
            </w:r>
            <w:r>
              <w:rPr>
                <w:rFonts w:hint="eastAsia"/>
                <w:color w:val="auto"/>
              </w:rPr>
              <w:t>）专项施工方案未按规定组织专家论证，扣</w:t>
            </w:r>
            <w:r>
              <w:rPr>
                <w:color w:val="auto"/>
              </w:rPr>
              <w:t>10</w:t>
            </w:r>
            <w:r>
              <w:rPr>
                <w:rFonts w:hint="eastAsia"/>
                <w:color w:val="auto"/>
              </w:rPr>
              <w:t>分</w:t>
            </w:r>
          </w:p>
          <w:p w14:paraId="55CE50AC">
            <w:pPr>
              <w:pStyle w:val="44"/>
              <w:jc w:val="left"/>
              <w:rPr>
                <w:color w:val="auto"/>
              </w:rPr>
            </w:pPr>
            <w:r>
              <w:rPr>
                <w:color w:val="auto"/>
              </w:rPr>
              <w:t>4</w:t>
            </w:r>
            <w:r>
              <w:rPr>
                <w:rFonts w:hint="eastAsia"/>
                <w:color w:val="auto"/>
              </w:rPr>
              <w:t>）专项施工方案实施前，未进行安全技术交底，扣</w:t>
            </w:r>
            <w:r>
              <w:rPr>
                <w:color w:val="auto"/>
              </w:rPr>
              <w:t>10</w:t>
            </w:r>
            <w:r>
              <w:rPr>
                <w:rFonts w:hint="eastAsia"/>
                <w:color w:val="auto"/>
              </w:rPr>
              <w:t>分；交底无针对性或无文字记录，扣</w:t>
            </w:r>
            <w:r>
              <w:rPr>
                <w:color w:val="auto"/>
              </w:rPr>
              <w:t>2-5</w:t>
            </w:r>
            <w:r>
              <w:rPr>
                <w:rFonts w:hint="eastAsia"/>
                <w:color w:val="auto"/>
              </w:rPr>
              <w:t>分</w:t>
            </w:r>
          </w:p>
        </w:tc>
        <w:tc>
          <w:tcPr>
            <w:tcW w:w="720" w:type="dxa"/>
            <w:vAlign w:val="center"/>
          </w:tcPr>
          <w:p w14:paraId="133E58A6">
            <w:pPr>
              <w:pStyle w:val="44"/>
              <w:rPr>
                <w:color w:val="auto"/>
              </w:rPr>
            </w:pPr>
            <w:r>
              <w:rPr>
                <w:color w:val="auto"/>
              </w:rPr>
              <w:t>10</w:t>
            </w:r>
          </w:p>
        </w:tc>
        <w:tc>
          <w:tcPr>
            <w:tcW w:w="720" w:type="dxa"/>
            <w:vAlign w:val="center"/>
          </w:tcPr>
          <w:p w14:paraId="1AC79B87">
            <w:pPr>
              <w:pStyle w:val="44"/>
              <w:rPr>
                <w:color w:val="auto"/>
              </w:rPr>
            </w:pPr>
          </w:p>
        </w:tc>
        <w:tc>
          <w:tcPr>
            <w:tcW w:w="720" w:type="dxa"/>
            <w:vAlign w:val="center"/>
          </w:tcPr>
          <w:p w14:paraId="5292317F">
            <w:pPr>
              <w:pStyle w:val="44"/>
              <w:rPr>
                <w:color w:val="auto"/>
              </w:rPr>
            </w:pPr>
          </w:p>
        </w:tc>
      </w:tr>
      <w:tr w14:paraId="4DFE6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trPr>
        <w:tc>
          <w:tcPr>
            <w:tcW w:w="539" w:type="dxa"/>
            <w:vAlign w:val="center"/>
          </w:tcPr>
          <w:p w14:paraId="37758911">
            <w:pPr>
              <w:pStyle w:val="44"/>
              <w:rPr>
                <w:color w:val="auto"/>
              </w:rPr>
            </w:pPr>
            <w:r>
              <w:rPr>
                <w:color w:val="auto"/>
              </w:rPr>
              <w:t>2</w:t>
            </w:r>
          </w:p>
        </w:tc>
        <w:tc>
          <w:tcPr>
            <w:tcW w:w="543" w:type="dxa"/>
            <w:vMerge w:val="continue"/>
          </w:tcPr>
          <w:p w14:paraId="136C1DEA">
            <w:pPr>
              <w:pStyle w:val="44"/>
              <w:rPr>
                <w:color w:val="auto"/>
              </w:rPr>
            </w:pPr>
          </w:p>
        </w:tc>
        <w:tc>
          <w:tcPr>
            <w:tcW w:w="898" w:type="dxa"/>
            <w:vAlign w:val="center"/>
          </w:tcPr>
          <w:p w14:paraId="39A723B9">
            <w:pPr>
              <w:pStyle w:val="44"/>
              <w:rPr>
                <w:color w:val="auto"/>
              </w:rPr>
            </w:pPr>
            <w:r>
              <w:rPr>
                <w:rFonts w:hint="eastAsia"/>
                <w:color w:val="auto"/>
              </w:rPr>
              <w:t>构配件及制作</w:t>
            </w:r>
          </w:p>
        </w:tc>
        <w:tc>
          <w:tcPr>
            <w:tcW w:w="5580" w:type="dxa"/>
            <w:vAlign w:val="center"/>
          </w:tcPr>
          <w:p w14:paraId="60A5ED69">
            <w:pPr>
              <w:pStyle w:val="44"/>
              <w:jc w:val="left"/>
              <w:rPr>
                <w:color w:val="auto"/>
              </w:rPr>
            </w:pPr>
            <w:r>
              <w:rPr>
                <w:color w:val="auto"/>
              </w:rPr>
              <w:t>1</w:t>
            </w:r>
            <w:r>
              <w:rPr>
                <w:rFonts w:hint="eastAsia"/>
                <w:color w:val="auto"/>
              </w:rPr>
              <w:t>）构配件无质量合格证、产品性能检验报告，扣</w:t>
            </w:r>
            <w:r>
              <w:rPr>
                <w:color w:val="auto"/>
              </w:rPr>
              <w:t>10</w:t>
            </w:r>
            <w:r>
              <w:rPr>
                <w:rFonts w:hint="eastAsia"/>
                <w:color w:val="auto"/>
              </w:rPr>
              <w:t>分</w:t>
            </w:r>
          </w:p>
          <w:p w14:paraId="5F8F6FFC">
            <w:pPr>
              <w:pStyle w:val="44"/>
              <w:jc w:val="left"/>
              <w:rPr>
                <w:color w:val="auto"/>
              </w:rPr>
            </w:pPr>
            <w:r>
              <w:rPr>
                <w:color w:val="auto"/>
              </w:rPr>
              <w:t>2</w:t>
            </w:r>
            <w:r>
              <w:rPr>
                <w:rFonts w:hint="eastAsia"/>
                <w:color w:val="auto"/>
              </w:rPr>
              <w:t>）构配件品种、规格、型号、材质不符合滑模设计和有关标准要求，扣</w:t>
            </w:r>
            <w:r>
              <w:rPr>
                <w:color w:val="auto"/>
              </w:rPr>
              <w:t>5-10</w:t>
            </w:r>
            <w:r>
              <w:rPr>
                <w:rFonts w:hint="eastAsia"/>
                <w:color w:val="auto"/>
              </w:rPr>
              <w:t>分</w:t>
            </w:r>
          </w:p>
          <w:p w14:paraId="50A2207F">
            <w:pPr>
              <w:pStyle w:val="44"/>
              <w:jc w:val="left"/>
              <w:rPr>
                <w:color w:val="auto"/>
              </w:rPr>
            </w:pPr>
            <w:r>
              <w:rPr>
                <w:color w:val="auto"/>
              </w:rPr>
              <w:t>3</w:t>
            </w:r>
            <w:r>
              <w:rPr>
                <w:rFonts w:hint="eastAsia"/>
                <w:color w:val="auto"/>
              </w:rPr>
              <w:t>）所采用的机具、器具无产品合格证，扣</w:t>
            </w:r>
            <w:r>
              <w:rPr>
                <w:color w:val="auto"/>
              </w:rPr>
              <w:t>10</w:t>
            </w:r>
            <w:r>
              <w:rPr>
                <w:rFonts w:hint="eastAsia"/>
                <w:color w:val="auto"/>
              </w:rPr>
              <w:t>分</w:t>
            </w:r>
          </w:p>
          <w:p w14:paraId="33022155">
            <w:pPr>
              <w:pStyle w:val="44"/>
              <w:jc w:val="left"/>
              <w:rPr>
                <w:color w:val="auto"/>
              </w:rPr>
            </w:pPr>
            <w:r>
              <w:rPr>
                <w:color w:val="auto"/>
              </w:rPr>
              <w:t>4</w:t>
            </w:r>
            <w:r>
              <w:rPr>
                <w:rFonts w:hint="eastAsia"/>
                <w:color w:val="auto"/>
              </w:rPr>
              <w:t>）主体结构构件、连接件有显著的变形、超标的挠度或严重锈蚀剥皮，扣</w:t>
            </w:r>
            <w:r>
              <w:rPr>
                <w:color w:val="auto"/>
              </w:rPr>
              <w:t>10</w:t>
            </w:r>
            <w:r>
              <w:rPr>
                <w:rFonts w:hint="eastAsia"/>
                <w:color w:val="auto"/>
              </w:rPr>
              <w:t>分</w:t>
            </w:r>
          </w:p>
        </w:tc>
        <w:tc>
          <w:tcPr>
            <w:tcW w:w="720" w:type="dxa"/>
            <w:vAlign w:val="center"/>
          </w:tcPr>
          <w:p w14:paraId="726AB160">
            <w:pPr>
              <w:pStyle w:val="44"/>
              <w:rPr>
                <w:color w:val="auto"/>
              </w:rPr>
            </w:pPr>
            <w:r>
              <w:rPr>
                <w:color w:val="auto"/>
              </w:rPr>
              <w:t>10</w:t>
            </w:r>
          </w:p>
        </w:tc>
        <w:tc>
          <w:tcPr>
            <w:tcW w:w="720" w:type="dxa"/>
            <w:vAlign w:val="center"/>
          </w:tcPr>
          <w:p w14:paraId="070B6B21">
            <w:pPr>
              <w:pStyle w:val="44"/>
              <w:rPr>
                <w:color w:val="auto"/>
              </w:rPr>
            </w:pPr>
          </w:p>
        </w:tc>
        <w:tc>
          <w:tcPr>
            <w:tcW w:w="720" w:type="dxa"/>
            <w:vAlign w:val="center"/>
          </w:tcPr>
          <w:p w14:paraId="387A6259">
            <w:pPr>
              <w:pStyle w:val="44"/>
              <w:rPr>
                <w:color w:val="auto"/>
              </w:rPr>
            </w:pPr>
          </w:p>
        </w:tc>
      </w:tr>
      <w:tr w14:paraId="0CA6C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483536C0">
            <w:pPr>
              <w:pStyle w:val="44"/>
              <w:rPr>
                <w:color w:val="auto"/>
              </w:rPr>
            </w:pPr>
            <w:r>
              <w:rPr>
                <w:color w:val="auto"/>
              </w:rPr>
              <w:t>3</w:t>
            </w:r>
          </w:p>
        </w:tc>
        <w:tc>
          <w:tcPr>
            <w:tcW w:w="543" w:type="dxa"/>
            <w:vMerge w:val="continue"/>
          </w:tcPr>
          <w:p w14:paraId="48D46C87">
            <w:pPr>
              <w:pStyle w:val="44"/>
              <w:rPr>
                <w:color w:val="auto"/>
              </w:rPr>
            </w:pPr>
          </w:p>
        </w:tc>
        <w:tc>
          <w:tcPr>
            <w:tcW w:w="898" w:type="dxa"/>
            <w:vAlign w:val="center"/>
          </w:tcPr>
          <w:p w14:paraId="1DFA64F6">
            <w:pPr>
              <w:pStyle w:val="44"/>
              <w:rPr>
                <w:color w:val="auto"/>
              </w:rPr>
            </w:pPr>
            <w:r>
              <w:rPr>
                <w:rFonts w:hint="eastAsia"/>
                <w:color w:val="auto"/>
              </w:rPr>
              <w:t>模板系统</w:t>
            </w:r>
          </w:p>
        </w:tc>
        <w:tc>
          <w:tcPr>
            <w:tcW w:w="5580" w:type="dxa"/>
            <w:vAlign w:val="center"/>
          </w:tcPr>
          <w:p w14:paraId="5B464259">
            <w:pPr>
              <w:pStyle w:val="44"/>
              <w:jc w:val="left"/>
              <w:rPr>
                <w:color w:val="auto"/>
              </w:rPr>
            </w:pPr>
            <w:r>
              <w:rPr>
                <w:color w:val="auto"/>
              </w:rPr>
              <w:t>1</w:t>
            </w:r>
            <w:r>
              <w:rPr>
                <w:rFonts w:hint="eastAsia"/>
                <w:color w:val="auto"/>
              </w:rPr>
              <w:t>）模板及紧固件的强度和刚度不足，或模板与围圈的连接不牢固，扣</w:t>
            </w:r>
            <w:r>
              <w:rPr>
                <w:color w:val="auto"/>
              </w:rPr>
              <w:t>10</w:t>
            </w:r>
            <w:r>
              <w:rPr>
                <w:rFonts w:hint="eastAsia"/>
                <w:color w:val="auto"/>
              </w:rPr>
              <w:t>分</w:t>
            </w:r>
          </w:p>
          <w:p w14:paraId="0ECDC872">
            <w:pPr>
              <w:pStyle w:val="44"/>
              <w:jc w:val="left"/>
              <w:rPr>
                <w:color w:val="auto"/>
              </w:rPr>
            </w:pPr>
            <w:r>
              <w:rPr>
                <w:color w:val="auto"/>
              </w:rPr>
              <w:t>2</w:t>
            </w:r>
            <w:r>
              <w:rPr>
                <w:rFonts w:hint="eastAsia"/>
                <w:color w:val="auto"/>
              </w:rPr>
              <w:t>）围圈刚度不足，或围圈与提升架立柱连接不牢固，扣</w:t>
            </w:r>
            <w:r>
              <w:rPr>
                <w:color w:val="auto"/>
              </w:rPr>
              <w:t>10</w:t>
            </w:r>
            <w:r>
              <w:rPr>
                <w:rFonts w:hint="eastAsia"/>
                <w:color w:val="auto"/>
              </w:rPr>
              <w:t>分</w:t>
            </w:r>
          </w:p>
          <w:p w14:paraId="2BD5C24D">
            <w:pPr>
              <w:pStyle w:val="44"/>
              <w:jc w:val="left"/>
              <w:rPr>
                <w:color w:val="auto"/>
              </w:rPr>
            </w:pPr>
            <w:r>
              <w:rPr>
                <w:color w:val="auto"/>
              </w:rPr>
              <w:t>3</w:t>
            </w:r>
            <w:r>
              <w:rPr>
                <w:rFonts w:hint="eastAsia"/>
                <w:color w:val="auto"/>
              </w:rPr>
              <w:t>）固定式围圈接头未采用等刚度型钢连接，或连接螺栓每边少于</w:t>
            </w:r>
            <w:r>
              <w:rPr>
                <w:color w:val="auto"/>
              </w:rPr>
              <w:t>2</w:t>
            </w:r>
            <w:r>
              <w:rPr>
                <w:rFonts w:hint="eastAsia"/>
                <w:color w:val="auto"/>
              </w:rPr>
              <w:t>个，扣</w:t>
            </w:r>
            <w:r>
              <w:rPr>
                <w:color w:val="auto"/>
              </w:rPr>
              <w:t>10</w:t>
            </w:r>
            <w:r>
              <w:rPr>
                <w:rFonts w:hint="eastAsia"/>
                <w:color w:val="auto"/>
              </w:rPr>
              <w:t>分</w:t>
            </w:r>
          </w:p>
          <w:p w14:paraId="6C159BB4">
            <w:pPr>
              <w:pStyle w:val="44"/>
              <w:jc w:val="left"/>
              <w:rPr>
                <w:color w:val="auto"/>
              </w:rPr>
            </w:pPr>
            <w:r>
              <w:rPr>
                <w:color w:val="auto"/>
              </w:rPr>
              <w:t>4</w:t>
            </w:r>
            <w:r>
              <w:rPr>
                <w:rFonts w:hint="eastAsia"/>
                <w:color w:val="auto"/>
              </w:rPr>
              <w:t>）在使用荷载作用下两个提升架之间围圈的垂直与水平方向的变形大于跨度的</w:t>
            </w:r>
            <w:r>
              <w:rPr>
                <w:color w:val="auto"/>
              </w:rPr>
              <w:t>1/500</w:t>
            </w:r>
            <w:r>
              <w:rPr>
                <w:rFonts w:hint="eastAsia"/>
                <w:color w:val="auto"/>
              </w:rPr>
              <w:t>，扣</w:t>
            </w:r>
            <w:r>
              <w:rPr>
                <w:color w:val="auto"/>
              </w:rPr>
              <w:t>5</w:t>
            </w:r>
            <w:r>
              <w:rPr>
                <w:rFonts w:hint="eastAsia"/>
                <w:color w:val="auto"/>
              </w:rPr>
              <w:t>分</w:t>
            </w:r>
          </w:p>
          <w:p w14:paraId="7089B584">
            <w:pPr>
              <w:pStyle w:val="44"/>
              <w:jc w:val="left"/>
              <w:rPr>
                <w:color w:val="auto"/>
              </w:rPr>
            </w:pPr>
            <w:r>
              <w:rPr>
                <w:color w:val="auto"/>
              </w:rPr>
              <w:t>5</w:t>
            </w:r>
            <w:r>
              <w:rPr>
                <w:rFonts w:hint="eastAsia"/>
                <w:color w:val="auto"/>
              </w:rPr>
              <w:t>）当操作平台的桁架或梁支承于围圈上时，未在支承处设置支托或支架，扣</w:t>
            </w:r>
            <w:r>
              <w:rPr>
                <w:color w:val="auto"/>
              </w:rPr>
              <w:t>10</w:t>
            </w:r>
            <w:r>
              <w:rPr>
                <w:rFonts w:hint="eastAsia"/>
                <w:color w:val="auto"/>
              </w:rPr>
              <w:t>分</w:t>
            </w:r>
          </w:p>
          <w:p w14:paraId="17A55185">
            <w:pPr>
              <w:pStyle w:val="44"/>
              <w:jc w:val="left"/>
              <w:rPr>
                <w:color w:val="auto"/>
              </w:rPr>
            </w:pPr>
            <w:r>
              <w:rPr>
                <w:color w:val="auto"/>
              </w:rPr>
              <w:t>6</w:t>
            </w:r>
            <w:r>
              <w:rPr>
                <w:rFonts w:hint="eastAsia"/>
                <w:color w:val="auto"/>
              </w:rPr>
              <w:t>）提升架刚度不足，或横梁与立柱未采取刚性连接，扣</w:t>
            </w:r>
            <w:r>
              <w:rPr>
                <w:color w:val="auto"/>
              </w:rPr>
              <w:t>10</w:t>
            </w:r>
            <w:r>
              <w:rPr>
                <w:rFonts w:hint="eastAsia"/>
                <w:color w:val="auto"/>
              </w:rPr>
              <w:t>分</w:t>
            </w:r>
          </w:p>
        </w:tc>
        <w:tc>
          <w:tcPr>
            <w:tcW w:w="720" w:type="dxa"/>
            <w:vAlign w:val="center"/>
          </w:tcPr>
          <w:p w14:paraId="6B5E02CD">
            <w:pPr>
              <w:pStyle w:val="44"/>
              <w:rPr>
                <w:color w:val="auto"/>
              </w:rPr>
            </w:pPr>
            <w:r>
              <w:rPr>
                <w:color w:val="auto"/>
              </w:rPr>
              <w:t>10</w:t>
            </w:r>
          </w:p>
        </w:tc>
        <w:tc>
          <w:tcPr>
            <w:tcW w:w="720" w:type="dxa"/>
            <w:vAlign w:val="center"/>
          </w:tcPr>
          <w:p w14:paraId="397F1947">
            <w:pPr>
              <w:pStyle w:val="44"/>
              <w:rPr>
                <w:color w:val="auto"/>
              </w:rPr>
            </w:pPr>
          </w:p>
        </w:tc>
        <w:tc>
          <w:tcPr>
            <w:tcW w:w="720" w:type="dxa"/>
            <w:vAlign w:val="center"/>
          </w:tcPr>
          <w:p w14:paraId="072BD607">
            <w:pPr>
              <w:pStyle w:val="44"/>
              <w:rPr>
                <w:color w:val="auto"/>
              </w:rPr>
            </w:pPr>
          </w:p>
        </w:tc>
      </w:tr>
      <w:tr w14:paraId="7CC29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2D21684A">
            <w:pPr>
              <w:pStyle w:val="44"/>
              <w:rPr>
                <w:color w:val="auto"/>
              </w:rPr>
            </w:pPr>
            <w:r>
              <w:rPr>
                <w:color w:val="auto"/>
              </w:rPr>
              <w:t>4</w:t>
            </w:r>
          </w:p>
        </w:tc>
        <w:tc>
          <w:tcPr>
            <w:tcW w:w="543" w:type="dxa"/>
            <w:vMerge w:val="continue"/>
          </w:tcPr>
          <w:p w14:paraId="27FEDB29">
            <w:pPr>
              <w:pStyle w:val="44"/>
              <w:rPr>
                <w:color w:val="auto"/>
              </w:rPr>
            </w:pPr>
          </w:p>
        </w:tc>
        <w:tc>
          <w:tcPr>
            <w:tcW w:w="898" w:type="dxa"/>
            <w:vAlign w:val="center"/>
          </w:tcPr>
          <w:p w14:paraId="63F1E564">
            <w:pPr>
              <w:pStyle w:val="44"/>
              <w:rPr>
                <w:color w:val="auto"/>
              </w:rPr>
            </w:pPr>
            <w:r>
              <w:rPr>
                <w:rFonts w:hint="eastAsia"/>
                <w:color w:val="auto"/>
              </w:rPr>
              <w:t>操作平台系统</w:t>
            </w:r>
          </w:p>
        </w:tc>
        <w:tc>
          <w:tcPr>
            <w:tcW w:w="5580" w:type="dxa"/>
            <w:vAlign w:val="center"/>
          </w:tcPr>
          <w:p w14:paraId="3C81EE08">
            <w:pPr>
              <w:pStyle w:val="44"/>
              <w:jc w:val="left"/>
              <w:rPr>
                <w:color w:val="auto"/>
              </w:rPr>
            </w:pPr>
            <w:r>
              <w:rPr>
                <w:color w:val="auto"/>
              </w:rPr>
              <w:t>1</w:t>
            </w:r>
            <w:r>
              <w:rPr>
                <w:rFonts w:hint="eastAsia"/>
                <w:color w:val="auto"/>
              </w:rPr>
              <w:t>）操作平台未与提升架或围圈连成整体，或连接不牢固，扣</w:t>
            </w:r>
            <w:r>
              <w:rPr>
                <w:color w:val="auto"/>
              </w:rPr>
              <w:t>10</w:t>
            </w:r>
            <w:r>
              <w:rPr>
                <w:rFonts w:hint="eastAsia"/>
                <w:color w:val="auto"/>
              </w:rPr>
              <w:t>分</w:t>
            </w:r>
          </w:p>
          <w:p w14:paraId="449C56B1">
            <w:pPr>
              <w:pStyle w:val="44"/>
              <w:jc w:val="left"/>
              <w:rPr>
                <w:color w:val="auto"/>
              </w:rPr>
            </w:pPr>
            <w:r>
              <w:rPr>
                <w:color w:val="auto"/>
              </w:rPr>
              <w:t>2</w:t>
            </w:r>
            <w:r>
              <w:rPr>
                <w:rFonts w:hint="eastAsia"/>
                <w:color w:val="auto"/>
              </w:rPr>
              <w:t>）操作平台的桁片间应按滑模设计要求设置水平和垂直支撑，扣</w:t>
            </w:r>
            <w:r>
              <w:rPr>
                <w:color w:val="auto"/>
              </w:rPr>
              <w:t>5-10</w:t>
            </w:r>
            <w:r>
              <w:rPr>
                <w:rFonts w:hint="eastAsia"/>
                <w:color w:val="auto"/>
              </w:rPr>
              <w:t>分</w:t>
            </w:r>
          </w:p>
          <w:p w14:paraId="3D9DE08B">
            <w:pPr>
              <w:pStyle w:val="44"/>
              <w:jc w:val="left"/>
              <w:rPr>
                <w:color w:val="auto"/>
              </w:rPr>
            </w:pPr>
            <w:r>
              <w:rPr>
                <w:color w:val="auto"/>
              </w:rPr>
              <w:t>3</w:t>
            </w:r>
            <w:r>
              <w:rPr>
                <w:rFonts w:hint="eastAsia"/>
                <w:color w:val="auto"/>
              </w:rPr>
              <w:t>）吊脚手架钢吊杆的直径小于</w:t>
            </w:r>
            <w:r>
              <w:rPr>
                <w:color w:val="auto"/>
              </w:rPr>
              <w:t>16mm</w:t>
            </w:r>
            <w:r>
              <w:rPr>
                <w:rFonts w:hint="eastAsia"/>
                <w:color w:val="auto"/>
              </w:rPr>
              <w:t>，或吊杆螺帽未采用双螺帽，扣</w:t>
            </w:r>
            <w:r>
              <w:rPr>
                <w:color w:val="auto"/>
              </w:rPr>
              <w:t>10</w:t>
            </w:r>
            <w:r>
              <w:rPr>
                <w:rFonts w:hint="eastAsia"/>
                <w:color w:val="auto"/>
              </w:rPr>
              <w:t>分</w:t>
            </w:r>
          </w:p>
          <w:p w14:paraId="18150E90">
            <w:pPr>
              <w:pStyle w:val="44"/>
              <w:jc w:val="left"/>
              <w:rPr>
                <w:color w:val="auto"/>
              </w:rPr>
            </w:pPr>
            <w:r>
              <w:rPr>
                <w:color w:val="auto"/>
              </w:rPr>
              <w:t>4</w:t>
            </w:r>
            <w:r>
              <w:rPr>
                <w:rFonts w:hint="eastAsia"/>
                <w:color w:val="auto"/>
              </w:rPr>
              <w:t>）操作平台上的随升井架等垂直运输设备与操作平台连接不牢固，扣</w:t>
            </w:r>
            <w:r>
              <w:rPr>
                <w:color w:val="auto"/>
              </w:rPr>
              <w:t>10</w:t>
            </w:r>
            <w:r>
              <w:rPr>
                <w:rFonts w:hint="eastAsia"/>
                <w:color w:val="auto"/>
              </w:rPr>
              <w:t>分</w:t>
            </w:r>
          </w:p>
        </w:tc>
        <w:tc>
          <w:tcPr>
            <w:tcW w:w="720" w:type="dxa"/>
            <w:vAlign w:val="center"/>
          </w:tcPr>
          <w:p w14:paraId="08CA5EDE">
            <w:pPr>
              <w:pStyle w:val="44"/>
              <w:rPr>
                <w:color w:val="auto"/>
              </w:rPr>
            </w:pPr>
            <w:r>
              <w:rPr>
                <w:color w:val="auto"/>
              </w:rPr>
              <w:t>10</w:t>
            </w:r>
          </w:p>
        </w:tc>
        <w:tc>
          <w:tcPr>
            <w:tcW w:w="720" w:type="dxa"/>
            <w:vAlign w:val="center"/>
          </w:tcPr>
          <w:p w14:paraId="5ABC2D3B">
            <w:pPr>
              <w:pStyle w:val="44"/>
              <w:rPr>
                <w:color w:val="auto"/>
              </w:rPr>
            </w:pPr>
          </w:p>
        </w:tc>
        <w:tc>
          <w:tcPr>
            <w:tcW w:w="720" w:type="dxa"/>
            <w:vAlign w:val="center"/>
          </w:tcPr>
          <w:p w14:paraId="5E42EF45">
            <w:pPr>
              <w:pStyle w:val="44"/>
              <w:rPr>
                <w:color w:val="auto"/>
              </w:rPr>
            </w:pPr>
          </w:p>
        </w:tc>
      </w:tr>
      <w:tr w14:paraId="1C80D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134" w:hRule="atLeast"/>
        </w:trPr>
        <w:tc>
          <w:tcPr>
            <w:tcW w:w="539" w:type="dxa"/>
            <w:vAlign w:val="center"/>
          </w:tcPr>
          <w:p w14:paraId="658E513E">
            <w:pPr>
              <w:pStyle w:val="44"/>
              <w:rPr>
                <w:color w:val="auto"/>
              </w:rPr>
            </w:pPr>
            <w:r>
              <w:rPr>
                <w:color w:val="auto"/>
              </w:rPr>
              <w:t>5</w:t>
            </w:r>
          </w:p>
        </w:tc>
        <w:tc>
          <w:tcPr>
            <w:tcW w:w="543" w:type="dxa"/>
            <w:vMerge w:val="continue"/>
          </w:tcPr>
          <w:p w14:paraId="5B272A65">
            <w:pPr>
              <w:pStyle w:val="44"/>
              <w:rPr>
                <w:color w:val="auto"/>
              </w:rPr>
            </w:pPr>
          </w:p>
        </w:tc>
        <w:tc>
          <w:tcPr>
            <w:tcW w:w="898" w:type="dxa"/>
            <w:textDirection w:val="tbRlV"/>
            <w:vAlign w:val="center"/>
          </w:tcPr>
          <w:p w14:paraId="36E25409">
            <w:pPr>
              <w:pStyle w:val="44"/>
              <w:rPr>
                <w:color w:val="auto"/>
              </w:rPr>
            </w:pPr>
            <w:r>
              <w:rPr>
                <w:rFonts w:hint="eastAsia"/>
                <w:color w:val="auto"/>
              </w:rPr>
              <w:t>提升系统</w:t>
            </w:r>
          </w:p>
        </w:tc>
        <w:tc>
          <w:tcPr>
            <w:tcW w:w="5580" w:type="dxa"/>
            <w:vAlign w:val="center"/>
          </w:tcPr>
          <w:p w14:paraId="7AECB935">
            <w:pPr>
              <w:pStyle w:val="44"/>
              <w:jc w:val="left"/>
              <w:rPr>
                <w:color w:val="auto"/>
              </w:rPr>
            </w:pPr>
            <w:r>
              <w:rPr>
                <w:color w:val="auto"/>
              </w:rPr>
              <w:t>1</w:t>
            </w:r>
            <w:r>
              <w:rPr>
                <w:rFonts w:hint="eastAsia"/>
                <w:color w:val="auto"/>
              </w:rPr>
              <w:t>）支承杆和千斤顶的数量、分区布置不符合滑模设计要求，扣</w:t>
            </w:r>
            <w:r>
              <w:rPr>
                <w:color w:val="auto"/>
              </w:rPr>
              <w:t>5-10</w:t>
            </w:r>
            <w:r>
              <w:rPr>
                <w:rFonts w:hint="eastAsia"/>
                <w:color w:val="auto"/>
              </w:rPr>
              <w:t>分</w:t>
            </w:r>
          </w:p>
          <w:p w14:paraId="3F56A608">
            <w:pPr>
              <w:pStyle w:val="44"/>
              <w:jc w:val="left"/>
              <w:rPr>
                <w:color w:val="auto"/>
              </w:rPr>
            </w:pPr>
            <w:r>
              <w:rPr>
                <w:color w:val="auto"/>
              </w:rPr>
              <w:t>2</w:t>
            </w:r>
            <w:r>
              <w:rPr>
                <w:rFonts w:hint="eastAsia"/>
                <w:color w:val="auto"/>
              </w:rPr>
              <w:t>）支承杆的直径、规格与所使用千斤顶的要求不适应，扣</w:t>
            </w:r>
            <w:r>
              <w:rPr>
                <w:color w:val="auto"/>
              </w:rPr>
              <w:t>10</w:t>
            </w:r>
            <w:r>
              <w:rPr>
                <w:rFonts w:hint="eastAsia"/>
                <w:color w:val="auto"/>
              </w:rPr>
              <w:t>分</w:t>
            </w:r>
          </w:p>
          <w:p w14:paraId="474EA673">
            <w:pPr>
              <w:pStyle w:val="44"/>
              <w:jc w:val="left"/>
              <w:rPr>
                <w:color w:val="auto"/>
              </w:rPr>
            </w:pPr>
            <w:r>
              <w:rPr>
                <w:color w:val="auto"/>
              </w:rPr>
              <w:t>3</w:t>
            </w:r>
            <w:r>
              <w:rPr>
                <w:rFonts w:hint="eastAsia"/>
                <w:color w:val="auto"/>
              </w:rPr>
              <w:t>）每次接长的支承杆数量超过总数的</w:t>
            </w:r>
            <w:r>
              <w:rPr>
                <w:color w:val="auto"/>
              </w:rPr>
              <w:t>1/4</w:t>
            </w:r>
            <w:r>
              <w:rPr>
                <w:rFonts w:hint="eastAsia"/>
                <w:color w:val="auto"/>
              </w:rPr>
              <w:t>，或支承杆两相邻接头高差小于</w:t>
            </w:r>
            <w:r>
              <w:rPr>
                <w:color w:val="auto"/>
              </w:rPr>
              <w:t>1m</w:t>
            </w:r>
            <w:r>
              <w:rPr>
                <w:rFonts w:hint="eastAsia"/>
                <w:color w:val="auto"/>
              </w:rPr>
              <w:t>，扣</w:t>
            </w:r>
            <w:r>
              <w:rPr>
                <w:color w:val="auto"/>
              </w:rPr>
              <w:t>10</w:t>
            </w:r>
          </w:p>
          <w:p w14:paraId="3E854C95">
            <w:pPr>
              <w:pStyle w:val="44"/>
              <w:jc w:val="left"/>
              <w:rPr>
                <w:color w:val="auto"/>
              </w:rPr>
            </w:pPr>
            <w:r>
              <w:rPr>
                <w:color w:val="auto"/>
              </w:rPr>
              <w:t>4</w:t>
            </w:r>
            <w:r>
              <w:rPr>
                <w:rFonts w:hint="eastAsia"/>
                <w:color w:val="auto"/>
              </w:rPr>
              <w:t>）当钢管支承杆设置在结构体外时未采取加固措施，扣</w:t>
            </w:r>
            <w:r>
              <w:rPr>
                <w:color w:val="auto"/>
              </w:rPr>
              <w:t>10</w:t>
            </w:r>
            <w:r>
              <w:rPr>
                <w:rFonts w:hint="eastAsia"/>
                <w:color w:val="auto"/>
              </w:rPr>
              <w:t>分</w:t>
            </w:r>
          </w:p>
          <w:p w14:paraId="7E9AE0F7">
            <w:pPr>
              <w:pStyle w:val="44"/>
              <w:jc w:val="left"/>
              <w:rPr>
                <w:color w:val="auto"/>
              </w:rPr>
            </w:pPr>
            <w:r>
              <w:rPr>
                <w:color w:val="auto"/>
              </w:rPr>
              <w:t>5</w:t>
            </w:r>
            <w:r>
              <w:rPr>
                <w:rFonts w:hint="eastAsia"/>
                <w:color w:val="auto"/>
              </w:rPr>
              <w:t>）工具式支承杆的螺纹接头未拧紧到位，扣</w:t>
            </w:r>
            <w:r>
              <w:rPr>
                <w:color w:val="auto"/>
              </w:rPr>
              <w:t>5</w:t>
            </w:r>
            <w:r>
              <w:rPr>
                <w:rFonts w:hint="eastAsia"/>
                <w:color w:val="auto"/>
              </w:rPr>
              <w:t>分</w:t>
            </w:r>
          </w:p>
          <w:p w14:paraId="60495F8D">
            <w:pPr>
              <w:pStyle w:val="44"/>
              <w:jc w:val="left"/>
              <w:rPr>
                <w:color w:val="auto"/>
              </w:rPr>
            </w:pPr>
            <w:r>
              <w:rPr>
                <w:color w:val="auto"/>
              </w:rPr>
              <w:t>6</w:t>
            </w:r>
            <w:r>
              <w:rPr>
                <w:rFonts w:hint="eastAsia"/>
                <w:color w:val="auto"/>
              </w:rPr>
              <w:t>）支承杆轴线与千斤顶轴线不一致，或偏斜度偏差超过</w:t>
            </w:r>
            <w:r>
              <w:rPr>
                <w:color w:val="auto"/>
              </w:rPr>
              <w:t>2</w:t>
            </w:r>
            <w:r>
              <w:rPr>
                <w:rFonts w:hint="eastAsia"/>
                <w:color w:val="auto"/>
              </w:rPr>
              <w:t>‰，扣</w:t>
            </w:r>
            <w:r>
              <w:rPr>
                <w:color w:val="auto"/>
              </w:rPr>
              <w:t>2-5</w:t>
            </w:r>
            <w:r>
              <w:rPr>
                <w:rFonts w:hint="eastAsia"/>
                <w:color w:val="auto"/>
              </w:rPr>
              <w:t>分</w:t>
            </w:r>
          </w:p>
          <w:p w14:paraId="58A79E96">
            <w:pPr>
              <w:pStyle w:val="44"/>
              <w:jc w:val="left"/>
              <w:rPr>
                <w:color w:val="auto"/>
              </w:rPr>
            </w:pPr>
            <w:r>
              <w:rPr>
                <w:color w:val="auto"/>
              </w:rPr>
              <w:t>7</w:t>
            </w:r>
            <w:r>
              <w:rPr>
                <w:rFonts w:hint="eastAsia"/>
                <w:color w:val="auto"/>
              </w:rPr>
              <w:t>）当千斤顶通过支承杆接头后未及时按标准要求采取加固措施，扣</w:t>
            </w:r>
            <w:r>
              <w:rPr>
                <w:color w:val="auto"/>
              </w:rPr>
              <w:t>5-10</w:t>
            </w:r>
            <w:r>
              <w:rPr>
                <w:rFonts w:hint="eastAsia"/>
                <w:color w:val="auto"/>
              </w:rPr>
              <w:t>分</w:t>
            </w:r>
          </w:p>
          <w:p w14:paraId="02588CF1">
            <w:pPr>
              <w:pStyle w:val="44"/>
              <w:jc w:val="left"/>
              <w:rPr>
                <w:color w:val="auto"/>
              </w:rPr>
            </w:pPr>
            <w:r>
              <w:rPr>
                <w:color w:val="auto"/>
              </w:rPr>
              <w:t>8</w:t>
            </w:r>
            <w:r>
              <w:rPr>
                <w:rFonts w:hint="eastAsia"/>
                <w:color w:val="auto"/>
              </w:rPr>
              <w:t>）工具式支承杆分批拔出时的数量超过总数的</w:t>
            </w:r>
            <w:r>
              <w:rPr>
                <w:color w:val="auto"/>
              </w:rPr>
              <w:t>1/4</w:t>
            </w:r>
            <w:r>
              <w:rPr>
                <w:rFonts w:hint="eastAsia"/>
                <w:color w:val="auto"/>
              </w:rPr>
              <w:t>，扣</w:t>
            </w:r>
            <w:r>
              <w:rPr>
                <w:color w:val="auto"/>
              </w:rPr>
              <w:t>10</w:t>
            </w:r>
            <w:r>
              <w:rPr>
                <w:rFonts w:hint="eastAsia"/>
                <w:color w:val="auto"/>
              </w:rPr>
              <w:t>分</w:t>
            </w:r>
          </w:p>
        </w:tc>
        <w:tc>
          <w:tcPr>
            <w:tcW w:w="720" w:type="dxa"/>
            <w:vAlign w:val="center"/>
          </w:tcPr>
          <w:p w14:paraId="1257CF5D">
            <w:pPr>
              <w:pStyle w:val="44"/>
              <w:rPr>
                <w:color w:val="auto"/>
              </w:rPr>
            </w:pPr>
            <w:r>
              <w:rPr>
                <w:color w:val="auto"/>
              </w:rPr>
              <w:t>10</w:t>
            </w:r>
          </w:p>
        </w:tc>
        <w:tc>
          <w:tcPr>
            <w:tcW w:w="720" w:type="dxa"/>
            <w:vAlign w:val="center"/>
          </w:tcPr>
          <w:p w14:paraId="147EA496">
            <w:pPr>
              <w:pStyle w:val="44"/>
              <w:rPr>
                <w:color w:val="auto"/>
              </w:rPr>
            </w:pPr>
          </w:p>
        </w:tc>
        <w:tc>
          <w:tcPr>
            <w:tcW w:w="720" w:type="dxa"/>
            <w:vAlign w:val="center"/>
          </w:tcPr>
          <w:p w14:paraId="5150F464">
            <w:pPr>
              <w:pStyle w:val="44"/>
              <w:rPr>
                <w:color w:val="auto"/>
              </w:rPr>
            </w:pPr>
          </w:p>
        </w:tc>
      </w:tr>
      <w:tr w14:paraId="102DA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134" w:hRule="atLeast"/>
        </w:trPr>
        <w:tc>
          <w:tcPr>
            <w:tcW w:w="539" w:type="dxa"/>
            <w:vAlign w:val="center"/>
          </w:tcPr>
          <w:p w14:paraId="7F5880FE">
            <w:pPr>
              <w:pStyle w:val="44"/>
              <w:rPr>
                <w:color w:val="auto"/>
              </w:rPr>
            </w:pPr>
            <w:r>
              <w:rPr>
                <w:color w:val="auto"/>
              </w:rPr>
              <w:t>6</w:t>
            </w:r>
          </w:p>
        </w:tc>
        <w:tc>
          <w:tcPr>
            <w:tcW w:w="543" w:type="dxa"/>
            <w:vMerge w:val="continue"/>
            <w:vAlign w:val="center"/>
          </w:tcPr>
          <w:p w14:paraId="63074646">
            <w:pPr>
              <w:pStyle w:val="44"/>
              <w:rPr>
                <w:color w:val="auto"/>
              </w:rPr>
            </w:pPr>
          </w:p>
        </w:tc>
        <w:tc>
          <w:tcPr>
            <w:tcW w:w="898" w:type="dxa"/>
            <w:textDirection w:val="tbRlV"/>
            <w:vAlign w:val="center"/>
          </w:tcPr>
          <w:p w14:paraId="2207F436">
            <w:pPr>
              <w:pStyle w:val="44"/>
              <w:rPr>
                <w:color w:val="auto"/>
              </w:rPr>
            </w:pPr>
            <w:r>
              <w:rPr>
                <w:rFonts w:hint="eastAsia"/>
                <w:color w:val="auto"/>
              </w:rPr>
              <w:t>检查验收</w:t>
            </w:r>
          </w:p>
        </w:tc>
        <w:tc>
          <w:tcPr>
            <w:tcW w:w="5580" w:type="dxa"/>
            <w:vAlign w:val="center"/>
          </w:tcPr>
          <w:p w14:paraId="7D1ED289">
            <w:pPr>
              <w:pStyle w:val="44"/>
              <w:jc w:val="left"/>
              <w:rPr>
                <w:color w:val="auto"/>
              </w:rPr>
            </w:pPr>
            <w:r>
              <w:rPr>
                <w:color w:val="auto"/>
              </w:rPr>
              <w:t>1</w:t>
            </w:r>
            <w:r>
              <w:rPr>
                <w:rFonts w:hint="eastAsia"/>
                <w:color w:val="auto"/>
              </w:rPr>
              <w:t>）千斤顶未按标准要求逐个编号并经过检验，扣</w:t>
            </w:r>
            <w:r>
              <w:rPr>
                <w:color w:val="auto"/>
              </w:rPr>
              <w:t>5</w:t>
            </w:r>
            <w:r>
              <w:rPr>
                <w:rFonts w:hint="eastAsia"/>
                <w:color w:val="auto"/>
              </w:rPr>
              <w:t>分</w:t>
            </w:r>
          </w:p>
          <w:p w14:paraId="156BE393">
            <w:pPr>
              <w:pStyle w:val="44"/>
              <w:jc w:val="left"/>
              <w:rPr>
                <w:color w:val="auto"/>
              </w:rPr>
            </w:pPr>
            <w:r>
              <w:rPr>
                <w:color w:val="auto"/>
              </w:rPr>
              <w:t>2</w:t>
            </w:r>
            <w:r>
              <w:rPr>
                <w:rFonts w:hint="eastAsia"/>
                <w:color w:val="auto"/>
              </w:rPr>
              <w:t>）在插入支承杆前未对液压系统进行试验和检查，扣</w:t>
            </w:r>
            <w:r>
              <w:rPr>
                <w:color w:val="auto"/>
              </w:rPr>
              <w:t>5</w:t>
            </w:r>
            <w:r>
              <w:rPr>
                <w:rFonts w:hint="eastAsia"/>
                <w:color w:val="auto"/>
              </w:rPr>
              <w:t>分</w:t>
            </w:r>
          </w:p>
          <w:p w14:paraId="6E272CEF">
            <w:pPr>
              <w:pStyle w:val="44"/>
              <w:jc w:val="left"/>
              <w:rPr>
                <w:color w:val="auto"/>
              </w:rPr>
            </w:pPr>
            <w:r>
              <w:rPr>
                <w:color w:val="auto"/>
              </w:rPr>
              <w:t>3</w:t>
            </w:r>
            <w:r>
              <w:rPr>
                <w:rFonts w:hint="eastAsia"/>
                <w:color w:val="auto"/>
              </w:rPr>
              <w:t>）模装置组装完成后未办理完工验收手续，扣</w:t>
            </w:r>
            <w:r>
              <w:rPr>
                <w:color w:val="auto"/>
              </w:rPr>
              <w:t>10</w:t>
            </w:r>
            <w:r>
              <w:rPr>
                <w:rFonts w:hint="eastAsia"/>
                <w:color w:val="auto"/>
              </w:rPr>
              <w:t>分</w:t>
            </w:r>
          </w:p>
          <w:p w14:paraId="635F1AE6">
            <w:pPr>
              <w:pStyle w:val="44"/>
              <w:jc w:val="left"/>
              <w:rPr>
                <w:color w:val="auto"/>
              </w:rPr>
            </w:pPr>
            <w:r>
              <w:rPr>
                <w:color w:val="auto"/>
              </w:rPr>
              <w:t>4</w:t>
            </w:r>
            <w:r>
              <w:rPr>
                <w:rFonts w:hint="eastAsia"/>
                <w:color w:val="auto"/>
              </w:rPr>
              <w:t>）完工验收未形成记录，或未经责任人签字确认，扣</w:t>
            </w:r>
            <w:r>
              <w:rPr>
                <w:color w:val="auto"/>
              </w:rPr>
              <w:t>5</w:t>
            </w:r>
            <w:r>
              <w:rPr>
                <w:rFonts w:hint="eastAsia"/>
                <w:color w:val="auto"/>
              </w:rPr>
              <w:t>分</w:t>
            </w:r>
          </w:p>
          <w:p w14:paraId="572B0D77">
            <w:pPr>
              <w:pStyle w:val="44"/>
              <w:jc w:val="left"/>
              <w:rPr>
                <w:color w:val="auto"/>
              </w:rPr>
            </w:pPr>
            <w:r>
              <w:rPr>
                <w:color w:val="auto"/>
              </w:rPr>
              <w:t>5</w:t>
            </w:r>
            <w:r>
              <w:rPr>
                <w:rFonts w:hint="eastAsia"/>
                <w:color w:val="auto"/>
              </w:rPr>
              <w:t>）正常滑升前未按专项施工方案和标准要求进行进行预滑升试验，扣</w:t>
            </w:r>
            <w:r>
              <w:rPr>
                <w:color w:val="auto"/>
              </w:rPr>
              <w:t>10</w:t>
            </w:r>
            <w:r>
              <w:rPr>
                <w:rFonts w:hint="eastAsia"/>
                <w:color w:val="auto"/>
              </w:rPr>
              <w:t>分</w:t>
            </w:r>
          </w:p>
        </w:tc>
        <w:tc>
          <w:tcPr>
            <w:tcW w:w="720" w:type="dxa"/>
            <w:vAlign w:val="center"/>
          </w:tcPr>
          <w:p w14:paraId="70D06B9C">
            <w:pPr>
              <w:pStyle w:val="44"/>
              <w:rPr>
                <w:color w:val="auto"/>
              </w:rPr>
            </w:pPr>
            <w:r>
              <w:rPr>
                <w:color w:val="auto"/>
              </w:rPr>
              <w:t>10</w:t>
            </w:r>
          </w:p>
        </w:tc>
        <w:tc>
          <w:tcPr>
            <w:tcW w:w="720" w:type="dxa"/>
            <w:vAlign w:val="center"/>
          </w:tcPr>
          <w:p w14:paraId="4044BAA3">
            <w:pPr>
              <w:pStyle w:val="44"/>
              <w:rPr>
                <w:color w:val="auto"/>
              </w:rPr>
            </w:pPr>
          </w:p>
        </w:tc>
        <w:tc>
          <w:tcPr>
            <w:tcW w:w="720" w:type="dxa"/>
            <w:vAlign w:val="center"/>
          </w:tcPr>
          <w:p w14:paraId="5EAD2956">
            <w:pPr>
              <w:pStyle w:val="44"/>
              <w:rPr>
                <w:color w:val="auto"/>
              </w:rPr>
            </w:pPr>
          </w:p>
        </w:tc>
      </w:tr>
      <w:tr w14:paraId="40DD7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134" w:hRule="atLeast"/>
        </w:trPr>
        <w:tc>
          <w:tcPr>
            <w:tcW w:w="539" w:type="dxa"/>
            <w:vAlign w:val="center"/>
          </w:tcPr>
          <w:p w14:paraId="5B80C997">
            <w:pPr>
              <w:pStyle w:val="44"/>
              <w:rPr>
                <w:color w:val="auto"/>
              </w:rPr>
            </w:pPr>
            <w:r>
              <w:rPr>
                <w:color w:val="auto"/>
              </w:rPr>
              <w:t>7</w:t>
            </w:r>
          </w:p>
        </w:tc>
        <w:tc>
          <w:tcPr>
            <w:tcW w:w="543" w:type="dxa"/>
            <w:vMerge w:val="restart"/>
          </w:tcPr>
          <w:p w14:paraId="5CDCF05F">
            <w:pPr>
              <w:pStyle w:val="44"/>
              <w:rPr>
                <w:color w:val="auto"/>
              </w:rPr>
            </w:pPr>
          </w:p>
        </w:tc>
        <w:tc>
          <w:tcPr>
            <w:tcW w:w="898" w:type="dxa"/>
            <w:textDirection w:val="tbRlV"/>
            <w:vAlign w:val="center"/>
          </w:tcPr>
          <w:p w14:paraId="6461EF44">
            <w:pPr>
              <w:pStyle w:val="44"/>
              <w:rPr>
                <w:color w:val="auto"/>
              </w:rPr>
            </w:pPr>
            <w:r>
              <w:rPr>
                <w:rFonts w:hint="eastAsia"/>
                <w:color w:val="auto"/>
              </w:rPr>
              <w:t>滑</w:t>
            </w:r>
            <w:r>
              <w:rPr>
                <w:color w:val="auto"/>
              </w:rPr>
              <w:t xml:space="preserve">  </w:t>
            </w:r>
            <w:r>
              <w:rPr>
                <w:rFonts w:hint="eastAsia"/>
                <w:color w:val="auto"/>
              </w:rPr>
              <w:t>升</w:t>
            </w:r>
          </w:p>
        </w:tc>
        <w:tc>
          <w:tcPr>
            <w:tcW w:w="5580" w:type="dxa"/>
            <w:vAlign w:val="center"/>
          </w:tcPr>
          <w:p w14:paraId="35B89003">
            <w:pPr>
              <w:pStyle w:val="44"/>
              <w:jc w:val="left"/>
              <w:rPr>
                <w:color w:val="auto"/>
              </w:rPr>
            </w:pPr>
            <w:r>
              <w:rPr>
                <w:color w:val="auto"/>
              </w:rPr>
              <w:t>1</w:t>
            </w:r>
            <w:r>
              <w:rPr>
                <w:rFonts w:hint="eastAsia"/>
                <w:color w:val="auto"/>
              </w:rPr>
              <w:t>）操作平台上施工荷载不均匀，或超过设计允许范围，</w:t>
            </w:r>
            <w:r>
              <w:rPr>
                <w:color w:val="auto"/>
              </w:rPr>
              <w:t>10</w:t>
            </w:r>
            <w:r>
              <w:rPr>
                <w:rFonts w:hint="eastAsia"/>
                <w:color w:val="auto"/>
              </w:rPr>
              <w:t>分</w:t>
            </w:r>
          </w:p>
          <w:p w14:paraId="3FD3ABD8">
            <w:pPr>
              <w:pStyle w:val="44"/>
              <w:jc w:val="left"/>
              <w:rPr>
                <w:color w:val="auto"/>
              </w:rPr>
            </w:pPr>
            <w:r>
              <w:rPr>
                <w:color w:val="auto"/>
              </w:rPr>
              <w:t>2</w:t>
            </w:r>
            <w:r>
              <w:rPr>
                <w:rFonts w:hint="eastAsia"/>
                <w:color w:val="auto"/>
              </w:rPr>
              <w:t>）混凝土输送管等设施与滑模装置相连接，扣</w:t>
            </w:r>
            <w:r>
              <w:rPr>
                <w:color w:val="auto"/>
              </w:rPr>
              <w:t>5-10</w:t>
            </w:r>
            <w:r>
              <w:rPr>
                <w:rFonts w:hint="eastAsia"/>
                <w:color w:val="auto"/>
              </w:rPr>
              <w:t>分</w:t>
            </w:r>
          </w:p>
          <w:p w14:paraId="4922D87A">
            <w:pPr>
              <w:pStyle w:val="44"/>
              <w:jc w:val="left"/>
              <w:rPr>
                <w:color w:val="auto"/>
              </w:rPr>
            </w:pPr>
            <w:r>
              <w:rPr>
                <w:color w:val="auto"/>
              </w:rPr>
              <w:t>3</w:t>
            </w:r>
            <w:r>
              <w:rPr>
                <w:rFonts w:hint="eastAsia"/>
                <w:color w:val="auto"/>
              </w:rPr>
              <w:t>）混凝土出模强度未控制在标准允许范围内，扣</w:t>
            </w:r>
            <w:r>
              <w:rPr>
                <w:color w:val="auto"/>
              </w:rPr>
              <w:t>10</w:t>
            </w:r>
            <w:r>
              <w:rPr>
                <w:rFonts w:hint="eastAsia"/>
                <w:color w:val="auto"/>
              </w:rPr>
              <w:t>分</w:t>
            </w:r>
          </w:p>
          <w:p w14:paraId="00893A63">
            <w:pPr>
              <w:pStyle w:val="44"/>
              <w:jc w:val="left"/>
              <w:rPr>
                <w:color w:val="auto"/>
              </w:rPr>
            </w:pPr>
            <w:r>
              <w:rPr>
                <w:color w:val="auto"/>
              </w:rPr>
              <w:t>4</w:t>
            </w:r>
            <w:r>
              <w:rPr>
                <w:rFonts w:hint="eastAsia"/>
                <w:color w:val="auto"/>
              </w:rPr>
              <w:t>）模板滑升速度不符合滑模设计和标准要求，扣</w:t>
            </w:r>
            <w:r>
              <w:rPr>
                <w:color w:val="auto"/>
              </w:rPr>
              <w:t>10</w:t>
            </w:r>
            <w:r>
              <w:rPr>
                <w:rFonts w:hint="eastAsia"/>
                <w:color w:val="auto"/>
              </w:rPr>
              <w:t>分</w:t>
            </w:r>
          </w:p>
          <w:p w14:paraId="1FB1584F">
            <w:pPr>
              <w:pStyle w:val="44"/>
              <w:jc w:val="left"/>
              <w:rPr>
                <w:color w:val="auto"/>
              </w:rPr>
            </w:pPr>
            <w:r>
              <w:rPr>
                <w:color w:val="auto"/>
              </w:rPr>
              <w:t>5</w:t>
            </w:r>
            <w:r>
              <w:rPr>
                <w:rFonts w:hint="eastAsia"/>
                <w:color w:val="auto"/>
              </w:rPr>
              <w:t>）模板空滑时未对支承杆采取防失稳的加固措施，扣</w:t>
            </w:r>
            <w:r>
              <w:rPr>
                <w:color w:val="auto"/>
              </w:rPr>
              <w:t>10</w:t>
            </w:r>
            <w:r>
              <w:rPr>
                <w:rFonts w:hint="eastAsia"/>
                <w:color w:val="auto"/>
              </w:rPr>
              <w:t>分</w:t>
            </w:r>
          </w:p>
          <w:p w14:paraId="46357A2E">
            <w:pPr>
              <w:pStyle w:val="44"/>
              <w:jc w:val="left"/>
              <w:rPr>
                <w:color w:val="auto"/>
              </w:rPr>
            </w:pPr>
            <w:r>
              <w:rPr>
                <w:color w:val="auto"/>
              </w:rPr>
              <w:t>6</w:t>
            </w:r>
            <w:r>
              <w:rPr>
                <w:rFonts w:hint="eastAsia"/>
                <w:color w:val="auto"/>
              </w:rPr>
              <w:t>）滑升过程中操作平台未处于水平状态，扣</w:t>
            </w:r>
            <w:r>
              <w:rPr>
                <w:color w:val="auto"/>
              </w:rPr>
              <w:t>2-5</w:t>
            </w:r>
            <w:r>
              <w:rPr>
                <w:rFonts w:hint="eastAsia"/>
                <w:color w:val="auto"/>
              </w:rPr>
              <w:t>分</w:t>
            </w:r>
          </w:p>
        </w:tc>
        <w:tc>
          <w:tcPr>
            <w:tcW w:w="720" w:type="dxa"/>
            <w:vAlign w:val="center"/>
          </w:tcPr>
          <w:p w14:paraId="11DD2076">
            <w:pPr>
              <w:pStyle w:val="44"/>
              <w:rPr>
                <w:color w:val="auto"/>
              </w:rPr>
            </w:pPr>
            <w:r>
              <w:rPr>
                <w:color w:val="auto"/>
              </w:rPr>
              <w:t>10</w:t>
            </w:r>
          </w:p>
        </w:tc>
        <w:tc>
          <w:tcPr>
            <w:tcW w:w="720" w:type="dxa"/>
            <w:vAlign w:val="center"/>
          </w:tcPr>
          <w:p w14:paraId="773E23C7">
            <w:pPr>
              <w:pStyle w:val="44"/>
              <w:rPr>
                <w:color w:val="auto"/>
              </w:rPr>
            </w:pPr>
          </w:p>
        </w:tc>
        <w:tc>
          <w:tcPr>
            <w:tcW w:w="720" w:type="dxa"/>
            <w:vAlign w:val="center"/>
          </w:tcPr>
          <w:p w14:paraId="1878B0E3">
            <w:pPr>
              <w:pStyle w:val="44"/>
              <w:rPr>
                <w:color w:val="auto"/>
              </w:rPr>
            </w:pPr>
          </w:p>
        </w:tc>
      </w:tr>
      <w:tr w14:paraId="03323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24B97C03">
            <w:pPr>
              <w:pStyle w:val="44"/>
              <w:rPr>
                <w:color w:val="auto"/>
              </w:rPr>
            </w:pPr>
          </w:p>
        </w:tc>
        <w:tc>
          <w:tcPr>
            <w:tcW w:w="543" w:type="dxa"/>
            <w:vMerge w:val="continue"/>
          </w:tcPr>
          <w:p w14:paraId="55ECF8AB">
            <w:pPr>
              <w:pStyle w:val="44"/>
              <w:rPr>
                <w:color w:val="auto"/>
              </w:rPr>
            </w:pPr>
          </w:p>
        </w:tc>
        <w:tc>
          <w:tcPr>
            <w:tcW w:w="6478" w:type="dxa"/>
            <w:gridSpan w:val="2"/>
            <w:vAlign w:val="center"/>
          </w:tcPr>
          <w:p w14:paraId="122CE265">
            <w:pPr>
              <w:pStyle w:val="44"/>
              <w:rPr>
                <w:b/>
                <w:bCs w:val="0"/>
                <w:color w:val="auto"/>
              </w:rPr>
            </w:pPr>
            <w:r>
              <w:rPr>
                <w:rFonts w:hint="eastAsia"/>
                <w:b/>
                <w:bCs w:val="0"/>
                <w:color w:val="auto"/>
              </w:rPr>
              <w:t xml:space="preserve">小 </w:t>
            </w:r>
            <w:r>
              <w:rPr>
                <w:b/>
                <w:bCs w:val="0"/>
                <w:color w:val="auto"/>
              </w:rPr>
              <w:t xml:space="preserve"> </w:t>
            </w:r>
            <w:r>
              <w:rPr>
                <w:rFonts w:hint="eastAsia"/>
                <w:b/>
                <w:bCs w:val="0"/>
                <w:color w:val="auto"/>
              </w:rPr>
              <w:t>计</w:t>
            </w:r>
          </w:p>
        </w:tc>
        <w:tc>
          <w:tcPr>
            <w:tcW w:w="720" w:type="dxa"/>
            <w:vAlign w:val="center"/>
          </w:tcPr>
          <w:p w14:paraId="3483C249">
            <w:pPr>
              <w:pStyle w:val="44"/>
              <w:rPr>
                <w:color w:val="auto"/>
              </w:rPr>
            </w:pPr>
            <w:r>
              <w:rPr>
                <w:color w:val="auto"/>
              </w:rPr>
              <w:t>70</w:t>
            </w:r>
          </w:p>
        </w:tc>
        <w:tc>
          <w:tcPr>
            <w:tcW w:w="720" w:type="dxa"/>
            <w:vAlign w:val="center"/>
          </w:tcPr>
          <w:p w14:paraId="78ECAF4E">
            <w:pPr>
              <w:pStyle w:val="44"/>
              <w:rPr>
                <w:color w:val="auto"/>
              </w:rPr>
            </w:pPr>
          </w:p>
        </w:tc>
        <w:tc>
          <w:tcPr>
            <w:tcW w:w="720" w:type="dxa"/>
            <w:vAlign w:val="center"/>
          </w:tcPr>
          <w:p w14:paraId="19AC4E94">
            <w:pPr>
              <w:pStyle w:val="44"/>
              <w:rPr>
                <w:color w:val="auto"/>
              </w:rPr>
            </w:pPr>
          </w:p>
        </w:tc>
      </w:tr>
      <w:tr w14:paraId="6AF49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trPr>
        <w:tc>
          <w:tcPr>
            <w:tcW w:w="539" w:type="dxa"/>
            <w:vAlign w:val="center"/>
          </w:tcPr>
          <w:p w14:paraId="29E4555B">
            <w:pPr>
              <w:pStyle w:val="44"/>
              <w:rPr>
                <w:color w:val="auto"/>
              </w:rPr>
            </w:pPr>
            <w:r>
              <w:rPr>
                <w:color w:val="auto"/>
              </w:rPr>
              <w:t>1</w:t>
            </w:r>
          </w:p>
        </w:tc>
        <w:tc>
          <w:tcPr>
            <w:tcW w:w="543" w:type="dxa"/>
            <w:vMerge w:val="restart"/>
            <w:vAlign w:val="center"/>
          </w:tcPr>
          <w:p w14:paraId="5B192B39">
            <w:pPr>
              <w:pStyle w:val="44"/>
              <w:rPr>
                <w:color w:val="auto"/>
              </w:rPr>
            </w:pPr>
            <w:r>
              <w:rPr>
                <w:rFonts w:hint="eastAsia"/>
                <w:color w:val="auto"/>
              </w:rPr>
              <w:t>一</w:t>
            </w:r>
          </w:p>
          <w:p w14:paraId="0FE2CEFB">
            <w:pPr>
              <w:pStyle w:val="44"/>
              <w:rPr>
                <w:color w:val="auto"/>
              </w:rPr>
            </w:pPr>
            <w:r>
              <w:rPr>
                <w:rFonts w:hint="eastAsia"/>
                <w:color w:val="auto"/>
              </w:rPr>
              <w:t>般</w:t>
            </w:r>
          </w:p>
          <w:p w14:paraId="1CADF5E8">
            <w:pPr>
              <w:pStyle w:val="44"/>
              <w:rPr>
                <w:color w:val="auto"/>
              </w:rPr>
            </w:pPr>
            <w:r>
              <w:rPr>
                <w:rFonts w:hint="eastAsia"/>
                <w:color w:val="auto"/>
              </w:rPr>
              <w:t>项</w:t>
            </w:r>
          </w:p>
          <w:p w14:paraId="76E436C1">
            <w:pPr>
              <w:pStyle w:val="44"/>
              <w:rPr>
                <w:color w:val="auto"/>
              </w:rPr>
            </w:pPr>
            <w:r>
              <w:rPr>
                <w:rFonts w:hint="eastAsia"/>
                <w:color w:val="auto"/>
              </w:rPr>
              <w:t>目</w:t>
            </w:r>
          </w:p>
        </w:tc>
        <w:tc>
          <w:tcPr>
            <w:tcW w:w="898" w:type="dxa"/>
            <w:vAlign w:val="center"/>
          </w:tcPr>
          <w:p w14:paraId="55C15FA9">
            <w:pPr>
              <w:pStyle w:val="44"/>
              <w:rPr>
                <w:color w:val="auto"/>
              </w:rPr>
            </w:pPr>
            <w:r>
              <w:rPr>
                <w:rFonts w:hint="eastAsia"/>
                <w:color w:val="auto"/>
              </w:rPr>
              <w:t>混凝土浇筑</w:t>
            </w:r>
          </w:p>
        </w:tc>
        <w:tc>
          <w:tcPr>
            <w:tcW w:w="5580" w:type="dxa"/>
            <w:vAlign w:val="center"/>
          </w:tcPr>
          <w:p w14:paraId="4E462FFF">
            <w:pPr>
              <w:pStyle w:val="44"/>
              <w:jc w:val="left"/>
              <w:rPr>
                <w:color w:val="auto"/>
              </w:rPr>
            </w:pPr>
            <w:r>
              <w:rPr>
                <w:color w:val="auto"/>
              </w:rPr>
              <w:t>1</w:t>
            </w:r>
            <w:r>
              <w:rPr>
                <w:rFonts w:hint="eastAsia"/>
                <w:color w:val="auto"/>
              </w:rPr>
              <w:t>）凝土浇筑未执行均匀对称交圈制度，扣</w:t>
            </w:r>
            <w:r>
              <w:rPr>
                <w:color w:val="auto"/>
              </w:rPr>
              <w:t>10</w:t>
            </w:r>
            <w:r>
              <w:rPr>
                <w:rFonts w:hint="eastAsia"/>
                <w:color w:val="auto"/>
              </w:rPr>
              <w:t>分</w:t>
            </w:r>
          </w:p>
          <w:p w14:paraId="13313501">
            <w:pPr>
              <w:pStyle w:val="44"/>
              <w:jc w:val="left"/>
              <w:rPr>
                <w:color w:val="auto"/>
              </w:rPr>
            </w:pPr>
            <w:r>
              <w:rPr>
                <w:color w:val="auto"/>
              </w:rPr>
              <w:t>2</w:t>
            </w:r>
            <w:r>
              <w:rPr>
                <w:rFonts w:hint="eastAsia"/>
                <w:color w:val="auto"/>
              </w:rPr>
              <w:t>）每次浇灌的厚度大于</w:t>
            </w:r>
            <w:r>
              <w:rPr>
                <w:color w:val="auto"/>
              </w:rPr>
              <w:t>200mm</w:t>
            </w:r>
            <w:r>
              <w:rPr>
                <w:rFonts w:hint="eastAsia"/>
                <w:color w:val="auto"/>
              </w:rPr>
              <w:t>，扣</w:t>
            </w:r>
            <w:r>
              <w:rPr>
                <w:color w:val="auto"/>
              </w:rPr>
              <w:t>2-5</w:t>
            </w:r>
            <w:r>
              <w:rPr>
                <w:rFonts w:hint="eastAsia"/>
                <w:color w:val="auto"/>
              </w:rPr>
              <w:t>分</w:t>
            </w:r>
          </w:p>
          <w:p w14:paraId="3424A23D">
            <w:pPr>
              <w:pStyle w:val="44"/>
              <w:jc w:val="left"/>
              <w:rPr>
                <w:color w:val="auto"/>
              </w:rPr>
            </w:pPr>
            <w:r>
              <w:rPr>
                <w:color w:val="auto"/>
              </w:rPr>
              <w:t>3</w:t>
            </w:r>
            <w:r>
              <w:rPr>
                <w:rFonts w:hint="eastAsia"/>
                <w:color w:val="auto"/>
              </w:rPr>
              <w:t>）振捣混凝土时，振捣器直接触及支承杆，扣</w:t>
            </w:r>
            <w:r>
              <w:rPr>
                <w:color w:val="auto"/>
              </w:rPr>
              <w:t>2-5</w:t>
            </w:r>
            <w:r>
              <w:rPr>
                <w:rFonts w:hint="eastAsia"/>
                <w:color w:val="auto"/>
              </w:rPr>
              <w:t>分</w:t>
            </w:r>
          </w:p>
        </w:tc>
        <w:tc>
          <w:tcPr>
            <w:tcW w:w="720" w:type="dxa"/>
            <w:vAlign w:val="center"/>
          </w:tcPr>
          <w:p w14:paraId="79CBBD56">
            <w:pPr>
              <w:pStyle w:val="44"/>
              <w:rPr>
                <w:color w:val="auto"/>
              </w:rPr>
            </w:pPr>
            <w:r>
              <w:rPr>
                <w:color w:val="auto"/>
              </w:rPr>
              <w:t>10</w:t>
            </w:r>
          </w:p>
        </w:tc>
        <w:tc>
          <w:tcPr>
            <w:tcW w:w="720" w:type="dxa"/>
            <w:vAlign w:val="center"/>
          </w:tcPr>
          <w:p w14:paraId="06219157">
            <w:pPr>
              <w:pStyle w:val="44"/>
              <w:rPr>
                <w:color w:val="auto"/>
              </w:rPr>
            </w:pPr>
          </w:p>
        </w:tc>
        <w:tc>
          <w:tcPr>
            <w:tcW w:w="720" w:type="dxa"/>
            <w:vAlign w:val="center"/>
          </w:tcPr>
          <w:p w14:paraId="6028608C">
            <w:pPr>
              <w:pStyle w:val="44"/>
              <w:rPr>
                <w:color w:val="auto"/>
              </w:rPr>
            </w:pPr>
          </w:p>
        </w:tc>
      </w:tr>
      <w:tr w14:paraId="3659D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504352EF">
            <w:pPr>
              <w:pStyle w:val="44"/>
              <w:rPr>
                <w:color w:val="auto"/>
              </w:rPr>
            </w:pPr>
            <w:r>
              <w:rPr>
                <w:color w:val="auto"/>
              </w:rPr>
              <w:t>2</w:t>
            </w:r>
          </w:p>
        </w:tc>
        <w:tc>
          <w:tcPr>
            <w:tcW w:w="543" w:type="dxa"/>
            <w:vMerge w:val="continue"/>
          </w:tcPr>
          <w:p w14:paraId="7DCE2BC4">
            <w:pPr>
              <w:pStyle w:val="44"/>
              <w:rPr>
                <w:color w:val="auto"/>
              </w:rPr>
            </w:pPr>
          </w:p>
        </w:tc>
        <w:tc>
          <w:tcPr>
            <w:tcW w:w="898" w:type="dxa"/>
            <w:vAlign w:val="center"/>
          </w:tcPr>
          <w:p w14:paraId="532D5F30">
            <w:pPr>
              <w:pStyle w:val="44"/>
              <w:rPr>
                <w:color w:val="auto"/>
              </w:rPr>
            </w:pPr>
            <w:r>
              <w:rPr>
                <w:rFonts w:hint="eastAsia"/>
                <w:color w:val="auto"/>
              </w:rPr>
              <w:t>安全防护</w:t>
            </w:r>
          </w:p>
        </w:tc>
        <w:tc>
          <w:tcPr>
            <w:tcW w:w="5580" w:type="dxa"/>
            <w:vAlign w:val="center"/>
          </w:tcPr>
          <w:p w14:paraId="7DEA7584">
            <w:pPr>
              <w:pStyle w:val="44"/>
              <w:jc w:val="left"/>
              <w:rPr>
                <w:color w:val="auto"/>
              </w:rPr>
            </w:pPr>
            <w:r>
              <w:rPr>
                <w:color w:val="auto"/>
              </w:rPr>
              <w:t>1</w:t>
            </w:r>
            <w:r>
              <w:rPr>
                <w:rFonts w:hint="eastAsia"/>
                <w:color w:val="auto"/>
              </w:rPr>
              <w:t>）操作平台和吊脚手架的外侧未按临边作业要求设置安全防护栏杆、挡脚板、安全立网，扣</w:t>
            </w:r>
            <w:r>
              <w:rPr>
                <w:color w:val="auto"/>
              </w:rPr>
              <w:t>5-10</w:t>
            </w:r>
            <w:r>
              <w:rPr>
                <w:rFonts w:hint="eastAsia"/>
                <w:color w:val="auto"/>
              </w:rPr>
              <w:t>分</w:t>
            </w:r>
          </w:p>
          <w:p w14:paraId="76AD1321">
            <w:pPr>
              <w:pStyle w:val="44"/>
              <w:jc w:val="left"/>
              <w:rPr>
                <w:color w:val="auto"/>
              </w:rPr>
            </w:pPr>
            <w:r>
              <w:rPr>
                <w:color w:val="auto"/>
              </w:rPr>
              <w:t>2</w:t>
            </w:r>
            <w:r>
              <w:rPr>
                <w:rFonts w:hint="eastAsia"/>
                <w:color w:val="auto"/>
              </w:rPr>
              <w:t>）操作平台和吊脚手架的走道未牢固满铺脚手板，扣</w:t>
            </w:r>
            <w:r>
              <w:rPr>
                <w:color w:val="auto"/>
              </w:rPr>
              <w:t>5-10</w:t>
            </w:r>
            <w:r>
              <w:rPr>
                <w:rFonts w:hint="eastAsia"/>
                <w:color w:val="auto"/>
              </w:rPr>
              <w:t>分</w:t>
            </w:r>
          </w:p>
          <w:p w14:paraId="5AFC9A21">
            <w:pPr>
              <w:pStyle w:val="44"/>
              <w:jc w:val="left"/>
              <w:rPr>
                <w:color w:val="auto"/>
              </w:rPr>
            </w:pPr>
            <w:r>
              <w:rPr>
                <w:color w:val="auto"/>
              </w:rPr>
              <w:t>3</w:t>
            </w:r>
            <w:r>
              <w:rPr>
                <w:rFonts w:hint="eastAsia"/>
                <w:color w:val="auto"/>
              </w:rPr>
              <w:t>）操作平台和吊脚手架的底部未兜设安全平网，扣</w:t>
            </w:r>
            <w:r>
              <w:rPr>
                <w:color w:val="auto"/>
              </w:rPr>
              <w:t>5</w:t>
            </w:r>
            <w:r>
              <w:rPr>
                <w:rFonts w:hint="eastAsia"/>
                <w:color w:val="auto"/>
              </w:rPr>
              <w:t>分</w:t>
            </w:r>
          </w:p>
          <w:p w14:paraId="284B7CB7">
            <w:pPr>
              <w:pStyle w:val="44"/>
              <w:jc w:val="left"/>
              <w:rPr>
                <w:color w:val="auto"/>
              </w:rPr>
            </w:pPr>
            <w:r>
              <w:rPr>
                <w:color w:val="auto"/>
              </w:rPr>
              <w:t>4</w:t>
            </w:r>
            <w:r>
              <w:rPr>
                <w:rFonts w:hint="eastAsia"/>
                <w:color w:val="auto"/>
              </w:rPr>
              <w:t>）上下操作平台及掉脚手架间未设置专用通行梯道，扣</w:t>
            </w:r>
            <w:r>
              <w:rPr>
                <w:color w:val="auto"/>
              </w:rPr>
              <w:t>10</w:t>
            </w:r>
            <w:r>
              <w:rPr>
                <w:rFonts w:hint="eastAsia"/>
                <w:color w:val="auto"/>
              </w:rPr>
              <w:t>分；梯道不牢固，或通行不畅通，扣</w:t>
            </w:r>
            <w:r>
              <w:rPr>
                <w:color w:val="auto"/>
              </w:rPr>
              <w:t>3-5</w:t>
            </w:r>
            <w:r>
              <w:rPr>
                <w:rFonts w:hint="eastAsia"/>
                <w:color w:val="auto"/>
              </w:rPr>
              <w:t>分；</w:t>
            </w:r>
          </w:p>
          <w:p w14:paraId="1AC7D8B9">
            <w:pPr>
              <w:pStyle w:val="44"/>
              <w:jc w:val="left"/>
              <w:rPr>
                <w:color w:val="auto"/>
              </w:rPr>
            </w:pPr>
            <w:r>
              <w:rPr>
                <w:color w:val="auto"/>
              </w:rPr>
              <w:t>5</w:t>
            </w:r>
            <w:r>
              <w:rPr>
                <w:rFonts w:hint="eastAsia"/>
                <w:color w:val="auto"/>
              </w:rPr>
              <w:t>）操作平台上应按消防要求设置消防设施，扣</w:t>
            </w:r>
            <w:r>
              <w:rPr>
                <w:color w:val="auto"/>
              </w:rPr>
              <w:t>3</w:t>
            </w:r>
            <w:r>
              <w:rPr>
                <w:rFonts w:hint="eastAsia"/>
                <w:color w:val="auto"/>
              </w:rPr>
              <w:t>分</w:t>
            </w:r>
          </w:p>
          <w:p w14:paraId="6E996D19">
            <w:pPr>
              <w:pStyle w:val="44"/>
              <w:jc w:val="left"/>
              <w:rPr>
                <w:color w:val="auto"/>
              </w:rPr>
            </w:pPr>
            <w:r>
              <w:rPr>
                <w:color w:val="auto"/>
              </w:rPr>
              <w:t>6</w:t>
            </w:r>
            <w:r>
              <w:rPr>
                <w:rFonts w:hint="eastAsia"/>
                <w:color w:val="auto"/>
              </w:rPr>
              <w:t>）周围未按标准要求设立危险警戒区，扣</w:t>
            </w:r>
            <w:r>
              <w:rPr>
                <w:color w:val="auto"/>
              </w:rPr>
              <w:t>2-5</w:t>
            </w:r>
            <w:r>
              <w:rPr>
                <w:rFonts w:hint="eastAsia"/>
                <w:color w:val="auto"/>
              </w:rPr>
              <w:t>分</w:t>
            </w:r>
          </w:p>
          <w:p w14:paraId="14B7E628">
            <w:pPr>
              <w:pStyle w:val="44"/>
              <w:jc w:val="left"/>
              <w:rPr>
                <w:color w:val="auto"/>
              </w:rPr>
            </w:pPr>
            <w:r>
              <w:rPr>
                <w:color w:val="auto"/>
              </w:rPr>
              <w:t>7</w:t>
            </w:r>
            <w:r>
              <w:rPr>
                <w:rFonts w:hint="eastAsia"/>
                <w:color w:val="auto"/>
              </w:rPr>
              <w:t>）警戒区内的出入口未按标准要求设置安全防护棚，扣</w:t>
            </w:r>
            <w:r>
              <w:rPr>
                <w:color w:val="auto"/>
              </w:rPr>
              <w:t>2-5</w:t>
            </w:r>
            <w:r>
              <w:rPr>
                <w:rFonts w:hint="eastAsia"/>
                <w:color w:val="auto"/>
              </w:rPr>
              <w:t>分</w:t>
            </w:r>
          </w:p>
        </w:tc>
        <w:tc>
          <w:tcPr>
            <w:tcW w:w="720" w:type="dxa"/>
            <w:vAlign w:val="center"/>
          </w:tcPr>
          <w:p w14:paraId="5D7BD72E">
            <w:pPr>
              <w:pStyle w:val="44"/>
              <w:rPr>
                <w:color w:val="auto"/>
              </w:rPr>
            </w:pPr>
            <w:r>
              <w:rPr>
                <w:color w:val="auto"/>
              </w:rPr>
              <w:t>10</w:t>
            </w:r>
          </w:p>
        </w:tc>
        <w:tc>
          <w:tcPr>
            <w:tcW w:w="720" w:type="dxa"/>
            <w:vAlign w:val="center"/>
          </w:tcPr>
          <w:p w14:paraId="2DEAF7BD">
            <w:pPr>
              <w:pStyle w:val="44"/>
              <w:rPr>
                <w:color w:val="auto"/>
              </w:rPr>
            </w:pPr>
          </w:p>
        </w:tc>
        <w:tc>
          <w:tcPr>
            <w:tcW w:w="720" w:type="dxa"/>
            <w:vAlign w:val="center"/>
          </w:tcPr>
          <w:p w14:paraId="14DCB545">
            <w:pPr>
              <w:pStyle w:val="44"/>
              <w:rPr>
                <w:color w:val="auto"/>
              </w:rPr>
            </w:pPr>
          </w:p>
        </w:tc>
      </w:tr>
      <w:tr w14:paraId="5520F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58766482">
            <w:pPr>
              <w:pStyle w:val="44"/>
              <w:rPr>
                <w:color w:val="auto"/>
              </w:rPr>
            </w:pPr>
            <w:r>
              <w:rPr>
                <w:color w:val="auto"/>
              </w:rPr>
              <w:t>3</w:t>
            </w:r>
          </w:p>
        </w:tc>
        <w:tc>
          <w:tcPr>
            <w:tcW w:w="543" w:type="dxa"/>
            <w:vMerge w:val="continue"/>
          </w:tcPr>
          <w:p w14:paraId="72E44D69">
            <w:pPr>
              <w:pStyle w:val="44"/>
              <w:rPr>
                <w:color w:val="auto"/>
              </w:rPr>
            </w:pPr>
          </w:p>
        </w:tc>
        <w:tc>
          <w:tcPr>
            <w:tcW w:w="898" w:type="dxa"/>
            <w:vAlign w:val="center"/>
          </w:tcPr>
          <w:p w14:paraId="114A7607">
            <w:pPr>
              <w:pStyle w:val="44"/>
              <w:rPr>
                <w:color w:val="auto"/>
              </w:rPr>
            </w:pPr>
            <w:r>
              <w:rPr>
                <w:rFonts w:hint="eastAsia"/>
                <w:color w:val="auto"/>
              </w:rPr>
              <w:t>拆除</w:t>
            </w:r>
          </w:p>
        </w:tc>
        <w:tc>
          <w:tcPr>
            <w:tcW w:w="5580" w:type="dxa"/>
            <w:vAlign w:val="center"/>
          </w:tcPr>
          <w:p w14:paraId="1F7B8E3E">
            <w:pPr>
              <w:pStyle w:val="44"/>
              <w:jc w:val="left"/>
              <w:rPr>
                <w:color w:val="auto"/>
              </w:rPr>
            </w:pPr>
            <w:r>
              <w:rPr>
                <w:color w:val="auto"/>
              </w:rPr>
              <w:t>1</w:t>
            </w:r>
            <w:r>
              <w:rPr>
                <w:rFonts w:hint="eastAsia"/>
                <w:color w:val="auto"/>
              </w:rPr>
              <w:t>）滑模装置分段拆除时各分段未采取固定措施，扣</w:t>
            </w:r>
            <w:r>
              <w:rPr>
                <w:color w:val="auto"/>
              </w:rPr>
              <w:t>10</w:t>
            </w:r>
            <w:r>
              <w:rPr>
                <w:rFonts w:hint="eastAsia"/>
                <w:color w:val="auto"/>
              </w:rPr>
              <w:t>分</w:t>
            </w:r>
          </w:p>
          <w:p w14:paraId="7512CF93">
            <w:pPr>
              <w:pStyle w:val="44"/>
              <w:jc w:val="left"/>
              <w:rPr>
                <w:color w:val="auto"/>
              </w:rPr>
            </w:pPr>
            <w:r>
              <w:rPr>
                <w:color w:val="auto"/>
              </w:rPr>
              <w:t>2</w:t>
            </w:r>
            <w:r>
              <w:rPr>
                <w:rFonts w:hint="eastAsia"/>
                <w:color w:val="auto"/>
              </w:rPr>
              <w:t>）支承杆的拆除未采取防坠措施，扣</w:t>
            </w:r>
            <w:r>
              <w:rPr>
                <w:color w:val="auto"/>
              </w:rPr>
              <w:t>10</w:t>
            </w:r>
            <w:r>
              <w:rPr>
                <w:rFonts w:hint="eastAsia"/>
                <w:color w:val="auto"/>
              </w:rPr>
              <w:t>分</w:t>
            </w:r>
          </w:p>
          <w:p w14:paraId="306ECE76">
            <w:pPr>
              <w:pStyle w:val="44"/>
              <w:jc w:val="left"/>
              <w:rPr>
                <w:color w:val="auto"/>
              </w:rPr>
            </w:pPr>
            <w:r>
              <w:rPr>
                <w:color w:val="auto"/>
              </w:rPr>
              <w:t>3</w:t>
            </w:r>
            <w:r>
              <w:rPr>
                <w:rFonts w:hint="eastAsia"/>
                <w:color w:val="auto"/>
              </w:rPr>
              <w:t>）滑模装置拆除时，未按规定设置警戒区或未指定专人负责统一指挥，扣</w:t>
            </w:r>
            <w:r>
              <w:rPr>
                <w:color w:val="auto"/>
              </w:rPr>
              <w:t>5</w:t>
            </w:r>
            <w:r>
              <w:rPr>
                <w:rFonts w:hint="eastAsia"/>
                <w:color w:val="auto"/>
              </w:rPr>
              <w:t>分</w:t>
            </w:r>
          </w:p>
        </w:tc>
        <w:tc>
          <w:tcPr>
            <w:tcW w:w="720" w:type="dxa"/>
            <w:vAlign w:val="center"/>
          </w:tcPr>
          <w:p w14:paraId="04B71D64">
            <w:pPr>
              <w:pStyle w:val="44"/>
              <w:rPr>
                <w:color w:val="auto"/>
              </w:rPr>
            </w:pPr>
          </w:p>
        </w:tc>
        <w:tc>
          <w:tcPr>
            <w:tcW w:w="720" w:type="dxa"/>
            <w:vAlign w:val="center"/>
          </w:tcPr>
          <w:p w14:paraId="33FA0137">
            <w:pPr>
              <w:pStyle w:val="44"/>
              <w:rPr>
                <w:color w:val="auto"/>
              </w:rPr>
            </w:pPr>
          </w:p>
        </w:tc>
        <w:tc>
          <w:tcPr>
            <w:tcW w:w="720" w:type="dxa"/>
            <w:vAlign w:val="center"/>
          </w:tcPr>
          <w:p w14:paraId="431BE366">
            <w:pPr>
              <w:pStyle w:val="44"/>
              <w:rPr>
                <w:color w:val="auto"/>
              </w:rPr>
            </w:pPr>
          </w:p>
        </w:tc>
      </w:tr>
      <w:tr w14:paraId="10F31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656FCC55">
            <w:pPr>
              <w:pStyle w:val="44"/>
              <w:rPr>
                <w:color w:val="auto"/>
              </w:rPr>
            </w:pPr>
          </w:p>
        </w:tc>
        <w:tc>
          <w:tcPr>
            <w:tcW w:w="543" w:type="dxa"/>
            <w:vMerge w:val="continue"/>
          </w:tcPr>
          <w:p w14:paraId="3B1E5EC8">
            <w:pPr>
              <w:pStyle w:val="44"/>
              <w:rPr>
                <w:color w:val="auto"/>
              </w:rPr>
            </w:pPr>
          </w:p>
        </w:tc>
        <w:tc>
          <w:tcPr>
            <w:tcW w:w="6478" w:type="dxa"/>
            <w:gridSpan w:val="2"/>
            <w:vAlign w:val="center"/>
          </w:tcPr>
          <w:p w14:paraId="4CD068AB">
            <w:pPr>
              <w:pStyle w:val="44"/>
              <w:rPr>
                <w:b/>
                <w:bCs w:val="0"/>
                <w:color w:val="auto"/>
              </w:rPr>
            </w:pPr>
            <w:r>
              <w:rPr>
                <w:rFonts w:hint="eastAsia"/>
                <w:b/>
                <w:bCs w:val="0"/>
                <w:color w:val="auto"/>
              </w:rPr>
              <w:t xml:space="preserve">小 </w:t>
            </w:r>
            <w:r>
              <w:rPr>
                <w:b/>
                <w:bCs w:val="0"/>
                <w:color w:val="auto"/>
              </w:rPr>
              <w:t xml:space="preserve"> </w:t>
            </w:r>
            <w:r>
              <w:rPr>
                <w:rFonts w:hint="eastAsia"/>
                <w:b/>
                <w:bCs w:val="0"/>
                <w:color w:val="auto"/>
              </w:rPr>
              <w:t>计</w:t>
            </w:r>
          </w:p>
        </w:tc>
        <w:tc>
          <w:tcPr>
            <w:tcW w:w="720" w:type="dxa"/>
            <w:vAlign w:val="center"/>
          </w:tcPr>
          <w:p w14:paraId="4EDB22D3">
            <w:pPr>
              <w:pStyle w:val="44"/>
              <w:rPr>
                <w:color w:val="auto"/>
              </w:rPr>
            </w:pPr>
            <w:r>
              <w:rPr>
                <w:color w:val="auto"/>
              </w:rPr>
              <w:t>30</w:t>
            </w:r>
          </w:p>
        </w:tc>
        <w:tc>
          <w:tcPr>
            <w:tcW w:w="720" w:type="dxa"/>
            <w:vAlign w:val="center"/>
          </w:tcPr>
          <w:p w14:paraId="18457F36">
            <w:pPr>
              <w:pStyle w:val="44"/>
              <w:rPr>
                <w:color w:val="auto"/>
              </w:rPr>
            </w:pPr>
          </w:p>
        </w:tc>
        <w:tc>
          <w:tcPr>
            <w:tcW w:w="720" w:type="dxa"/>
            <w:vAlign w:val="center"/>
          </w:tcPr>
          <w:p w14:paraId="7BF8EF8B">
            <w:pPr>
              <w:pStyle w:val="44"/>
              <w:rPr>
                <w:color w:val="auto"/>
              </w:rPr>
            </w:pPr>
          </w:p>
        </w:tc>
      </w:tr>
      <w:tr w14:paraId="56685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trPr>
        <w:tc>
          <w:tcPr>
            <w:tcW w:w="7560" w:type="dxa"/>
            <w:gridSpan w:val="4"/>
            <w:vAlign w:val="center"/>
          </w:tcPr>
          <w:p w14:paraId="35A08765">
            <w:pPr>
              <w:pStyle w:val="44"/>
              <w:rPr>
                <w:b/>
                <w:bCs w:val="0"/>
                <w:color w:val="auto"/>
              </w:rPr>
            </w:pPr>
            <w:r>
              <w:rPr>
                <w:rFonts w:hint="eastAsia"/>
                <w:b/>
                <w:bCs w:val="0"/>
                <w:color w:val="auto"/>
              </w:rPr>
              <w:t>检查项目合计</w:t>
            </w:r>
          </w:p>
        </w:tc>
        <w:tc>
          <w:tcPr>
            <w:tcW w:w="720" w:type="dxa"/>
            <w:vAlign w:val="center"/>
          </w:tcPr>
          <w:p w14:paraId="14DD701A">
            <w:pPr>
              <w:pStyle w:val="44"/>
              <w:rPr>
                <w:color w:val="auto"/>
              </w:rPr>
            </w:pPr>
            <w:r>
              <w:rPr>
                <w:color w:val="auto"/>
              </w:rPr>
              <w:t>100</w:t>
            </w:r>
          </w:p>
        </w:tc>
        <w:tc>
          <w:tcPr>
            <w:tcW w:w="720" w:type="dxa"/>
            <w:vAlign w:val="center"/>
          </w:tcPr>
          <w:p w14:paraId="7EAD63C0">
            <w:pPr>
              <w:pStyle w:val="44"/>
              <w:rPr>
                <w:color w:val="auto"/>
              </w:rPr>
            </w:pPr>
          </w:p>
        </w:tc>
        <w:tc>
          <w:tcPr>
            <w:tcW w:w="720" w:type="dxa"/>
            <w:vAlign w:val="center"/>
          </w:tcPr>
          <w:p w14:paraId="1B32524D">
            <w:pPr>
              <w:pStyle w:val="44"/>
              <w:rPr>
                <w:color w:val="auto"/>
              </w:rPr>
            </w:pPr>
          </w:p>
        </w:tc>
      </w:tr>
    </w:tbl>
    <w:p w14:paraId="1019923F"/>
    <w:p w14:paraId="719FA949">
      <w:pPr>
        <w:pStyle w:val="5"/>
      </w:pPr>
      <w:r>
        <w:rPr>
          <w:rFonts w:hint="eastAsia"/>
        </w:rPr>
        <w:br w:type="page"/>
      </w:r>
      <w:bookmarkStart w:id="73" w:name="_Toc7434"/>
      <w:bookmarkStart w:id="74" w:name="_Toc19144"/>
      <w:bookmarkStart w:id="75" w:name="_Toc1891"/>
      <w:r>
        <w:rPr>
          <w:rFonts w:hint="eastAsia"/>
        </w:rPr>
        <w:t>表B.</w:t>
      </w:r>
      <w:r>
        <w:t>22</w:t>
      </w:r>
      <w:r>
        <w:rPr>
          <w:rFonts w:hint="eastAsia"/>
        </w:rPr>
        <w:t xml:space="preserve">  液压爬升模板检查</w:t>
      </w:r>
      <w:r>
        <w:t>评分表</w:t>
      </w:r>
      <w:bookmarkEnd w:id="73"/>
      <w:bookmarkEnd w:id="74"/>
      <w:bookmarkEnd w:id="75"/>
    </w:p>
    <w:tbl>
      <w:tblPr>
        <w:tblStyle w:val="19"/>
        <w:tblpPr w:leftFromText="180" w:rightFromText="180" w:vertAnchor="text" w:horzAnchor="page" w:tblpX="1150" w:tblpY="631"/>
        <w:tblOverlap w:val="never"/>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458F0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trPr>
        <w:tc>
          <w:tcPr>
            <w:tcW w:w="539" w:type="dxa"/>
            <w:vAlign w:val="center"/>
          </w:tcPr>
          <w:p w14:paraId="17C310CA">
            <w:pPr>
              <w:pStyle w:val="44"/>
              <w:rPr>
                <w:color w:val="auto"/>
              </w:rPr>
            </w:pPr>
            <w:r>
              <w:rPr>
                <w:rFonts w:hint="eastAsia"/>
                <w:color w:val="auto"/>
              </w:rPr>
              <w:t>序号</w:t>
            </w:r>
          </w:p>
        </w:tc>
        <w:tc>
          <w:tcPr>
            <w:tcW w:w="1441" w:type="dxa"/>
            <w:gridSpan w:val="2"/>
            <w:vAlign w:val="center"/>
          </w:tcPr>
          <w:p w14:paraId="04B2A88D">
            <w:pPr>
              <w:pStyle w:val="44"/>
              <w:rPr>
                <w:color w:val="auto"/>
              </w:rPr>
            </w:pPr>
            <w:r>
              <w:rPr>
                <w:rFonts w:hint="eastAsia"/>
                <w:color w:val="auto"/>
              </w:rPr>
              <w:t>检查项目</w:t>
            </w:r>
          </w:p>
        </w:tc>
        <w:tc>
          <w:tcPr>
            <w:tcW w:w="5580" w:type="dxa"/>
            <w:vAlign w:val="center"/>
          </w:tcPr>
          <w:p w14:paraId="49266379">
            <w:pPr>
              <w:pStyle w:val="44"/>
              <w:rPr>
                <w:color w:val="auto"/>
              </w:rPr>
            </w:pPr>
            <w:r>
              <w:rPr>
                <w:rFonts w:hint="eastAsia"/>
                <w:color w:val="auto"/>
              </w:rPr>
              <w:t>扣</w:t>
            </w:r>
            <w:r>
              <w:rPr>
                <w:color w:val="auto"/>
              </w:rPr>
              <w:t xml:space="preserve"> </w:t>
            </w:r>
            <w:r>
              <w:rPr>
                <w:rFonts w:hint="eastAsia"/>
                <w:color w:val="auto"/>
              </w:rPr>
              <w:t>分</w:t>
            </w:r>
            <w:r>
              <w:rPr>
                <w:color w:val="auto"/>
              </w:rPr>
              <w:t xml:space="preserve"> </w:t>
            </w:r>
            <w:r>
              <w:rPr>
                <w:rFonts w:hint="eastAsia"/>
                <w:color w:val="auto"/>
              </w:rPr>
              <w:t>标</w:t>
            </w:r>
            <w:r>
              <w:rPr>
                <w:color w:val="auto"/>
              </w:rPr>
              <w:t xml:space="preserve"> </w:t>
            </w:r>
            <w:r>
              <w:rPr>
                <w:rFonts w:hint="eastAsia"/>
                <w:color w:val="auto"/>
              </w:rPr>
              <w:t>准</w:t>
            </w:r>
          </w:p>
        </w:tc>
        <w:tc>
          <w:tcPr>
            <w:tcW w:w="720" w:type="dxa"/>
            <w:vAlign w:val="center"/>
          </w:tcPr>
          <w:p w14:paraId="28C84B1C">
            <w:pPr>
              <w:pStyle w:val="44"/>
              <w:rPr>
                <w:color w:val="auto"/>
              </w:rPr>
            </w:pPr>
            <w:r>
              <w:rPr>
                <w:rFonts w:hint="eastAsia"/>
                <w:color w:val="auto"/>
              </w:rPr>
              <w:t>应得</w:t>
            </w:r>
          </w:p>
          <w:p w14:paraId="68889882">
            <w:pPr>
              <w:pStyle w:val="44"/>
              <w:rPr>
                <w:color w:val="auto"/>
              </w:rPr>
            </w:pPr>
            <w:r>
              <w:rPr>
                <w:rFonts w:hint="eastAsia"/>
                <w:color w:val="auto"/>
              </w:rPr>
              <w:t>分数</w:t>
            </w:r>
          </w:p>
        </w:tc>
        <w:tc>
          <w:tcPr>
            <w:tcW w:w="720" w:type="dxa"/>
            <w:vAlign w:val="center"/>
          </w:tcPr>
          <w:p w14:paraId="19216B82">
            <w:pPr>
              <w:pStyle w:val="44"/>
              <w:rPr>
                <w:color w:val="auto"/>
              </w:rPr>
            </w:pPr>
            <w:r>
              <w:rPr>
                <w:rFonts w:hint="eastAsia"/>
                <w:color w:val="auto"/>
              </w:rPr>
              <w:t>扣减</w:t>
            </w:r>
          </w:p>
          <w:p w14:paraId="579D98D5">
            <w:pPr>
              <w:pStyle w:val="44"/>
              <w:rPr>
                <w:color w:val="auto"/>
              </w:rPr>
            </w:pPr>
            <w:r>
              <w:rPr>
                <w:rFonts w:hint="eastAsia"/>
                <w:color w:val="auto"/>
              </w:rPr>
              <w:t>分数</w:t>
            </w:r>
          </w:p>
        </w:tc>
        <w:tc>
          <w:tcPr>
            <w:tcW w:w="720" w:type="dxa"/>
            <w:vAlign w:val="center"/>
          </w:tcPr>
          <w:p w14:paraId="0BD8B92B">
            <w:pPr>
              <w:pStyle w:val="44"/>
              <w:rPr>
                <w:color w:val="auto"/>
              </w:rPr>
            </w:pPr>
            <w:r>
              <w:rPr>
                <w:rFonts w:hint="eastAsia"/>
                <w:color w:val="auto"/>
              </w:rPr>
              <w:t>实得</w:t>
            </w:r>
          </w:p>
          <w:p w14:paraId="3537886C">
            <w:pPr>
              <w:pStyle w:val="44"/>
              <w:rPr>
                <w:color w:val="auto"/>
              </w:rPr>
            </w:pPr>
            <w:r>
              <w:rPr>
                <w:rFonts w:hint="eastAsia"/>
                <w:color w:val="auto"/>
              </w:rPr>
              <w:t>分数</w:t>
            </w:r>
          </w:p>
        </w:tc>
      </w:tr>
      <w:tr w14:paraId="05211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trPr>
        <w:tc>
          <w:tcPr>
            <w:tcW w:w="539" w:type="dxa"/>
            <w:vAlign w:val="center"/>
          </w:tcPr>
          <w:p w14:paraId="052C17C2">
            <w:pPr>
              <w:pStyle w:val="44"/>
              <w:rPr>
                <w:color w:val="auto"/>
              </w:rPr>
            </w:pPr>
            <w:r>
              <w:rPr>
                <w:color w:val="auto"/>
              </w:rPr>
              <w:t>1</w:t>
            </w:r>
          </w:p>
        </w:tc>
        <w:tc>
          <w:tcPr>
            <w:tcW w:w="543" w:type="dxa"/>
            <w:vMerge w:val="restart"/>
            <w:vAlign w:val="center"/>
          </w:tcPr>
          <w:p w14:paraId="6271EB1A">
            <w:pPr>
              <w:pStyle w:val="44"/>
              <w:rPr>
                <w:color w:val="auto"/>
              </w:rPr>
            </w:pPr>
            <w:r>
              <w:rPr>
                <w:rFonts w:hint="eastAsia"/>
                <w:color w:val="auto"/>
              </w:rPr>
              <w:t>保</w:t>
            </w:r>
          </w:p>
          <w:p w14:paraId="3C5D4B02">
            <w:pPr>
              <w:pStyle w:val="44"/>
              <w:rPr>
                <w:color w:val="auto"/>
              </w:rPr>
            </w:pPr>
            <w:r>
              <w:rPr>
                <w:rFonts w:hint="eastAsia"/>
                <w:color w:val="auto"/>
              </w:rPr>
              <w:t>证</w:t>
            </w:r>
          </w:p>
          <w:p w14:paraId="4BA97E00">
            <w:pPr>
              <w:pStyle w:val="44"/>
              <w:rPr>
                <w:color w:val="auto"/>
              </w:rPr>
            </w:pPr>
            <w:r>
              <w:rPr>
                <w:rFonts w:hint="eastAsia"/>
                <w:color w:val="auto"/>
              </w:rPr>
              <w:t>项</w:t>
            </w:r>
          </w:p>
          <w:p w14:paraId="11B4F8BD">
            <w:pPr>
              <w:pStyle w:val="44"/>
              <w:rPr>
                <w:color w:val="auto"/>
              </w:rPr>
            </w:pPr>
            <w:r>
              <w:rPr>
                <w:rFonts w:hint="eastAsia"/>
                <w:color w:val="auto"/>
              </w:rPr>
              <w:t>目</w:t>
            </w:r>
          </w:p>
        </w:tc>
        <w:tc>
          <w:tcPr>
            <w:tcW w:w="898" w:type="dxa"/>
            <w:vAlign w:val="center"/>
          </w:tcPr>
          <w:p w14:paraId="6A7A7EFE">
            <w:pPr>
              <w:pStyle w:val="44"/>
              <w:rPr>
                <w:color w:val="auto"/>
              </w:rPr>
            </w:pPr>
            <w:r>
              <w:rPr>
                <w:rFonts w:hint="eastAsia"/>
                <w:color w:val="auto"/>
              </w:rPr>
              <w:t>专项方案</w:t>
            </w:r>
          </w:p>
        </w:tc>
        <w:tc>
          <w:tcPr>
            <w:tcW w:w="5580" w:type="dxa"/>
            <w:vAlign w:val="center"/>
          </w:tcPr>
          <w:p w14:paraId="6F7DE14E">
            <w:pPr>
              <w:pStyle w:val="44"/>
              <w:jc w:val="left"/>
              <w:rPr>
                <w:color w:val="auto"/>
              </w:rPr>
            </w:pPr>
            <w:r>
              <w:rPr>
                <w:color w:val="auto"/>
              </w:rPr>
              <w:t>1</w:t>
            </w:r>
            <w:r>
              <w:rPr>
                <w:rFonts w:hint="eastAsia"/>
                <w:color w:val="auto"/>
              </w:rPr>
              <w:t>）未编制专项施工方案或未进行设计计算，扣</w:t>
            </w:r>
            <w:r>
              <w:rPr>
                <w:color w:val="auto"/>
              </w:rPr>
              <w:t>10</w:t>
            </w:r>
            <w:r>
              <w:rPr>
                <w:rFonts w:hint="eastAsia"/>
                <w:color w:val="auto"/>
              </w:rPr>
              <w:t>分</w:t>
            </w:r>
          </w:p>
          <w:p w14:paraId="125D3F07">
            <w:pPr>
              <w:pStyle w:val="44"/>
              <w:jc w:val="left"/>
              <w:rPr>
                <w:color w:val="auto"/>
              </w:rPr>
            </w:pPr>
            <w:r>
              <w:rPr>
                <w:color w:val="auto"/>
              </w:rPr>
              <w:t>2</w:t>
            </w:r>
            <w:r>
              <w:rPr>
                <w:rFonts w:hint="eastAsia"/>
                <w:color w:val="auto"/>
              </w:rPr>
              <w:t>）专项施工方案未按规定进行审核、审批，扣</w:t>
            </w:r>
            <w:r>
              <w:rPr>
                <w:color w:val="auto"/>
              </w:rPr>
              <w:t>10</w:t>
            </w:r>
            <w:r>
              <w:rPr>
                <w:rFonts w:hint="eastAsia"/>
                <w:color w:val="auto"/>
              </w:rPr>
              <w:t>分</w:t>
            </w:r>
          </w:p>
          <w:p w14:paraId="48679C1A">
            <w:pPr>
              <w:pStyle w:val="44"/>
              <w:jc w:val="left"/>
              <w:rPr>
                <w:color w:val="auto"/>
              </w:rPr>
            </w:pPr>
            <w:r>
              <w:rPr>
                <w:color w:val="auto"/>
              </w:rPr>
              <w:t>3</w:t>
            </w:r>
            <w:r>
              <w:rPr>
                <w:rFonts w:hint="eastAsia"/>
                <w:color w:val="auto"/>
              </w:rPr>
              <w:t>）专项施工方案未按规定组织专家论证，扣</w:t>
            </w:r>
            <w:r>
              <w:rPr>
                <w:color w:val="auto"/>
              </w:rPr>
              <w:t>10</w:t>
            </w:r>
            <w:r>
              <w:rPr>
                <w:rFonts w:hint="eastAsia"/>
                <w:color w:val="auto"/>
              </w:rPr>
              <w:t>分</w:t>
            </w:r>
          </w:p>
          <w:p w14:paraId="69C30088">
            <w:pPr>
              <w:pStyle w:val="44"/>
              <w:jc w:val="left"/>
              <w:rPr>
                <w:color w:val="auto"/>
              </w:rPr>
            </w:pPr>
            <w:r>
              <w:rPr>
                <w:color w:val="auto"/>
              </w:rPr>
              <w:t>4</w:t>
            </w:r>
            <w:r>
              <w:rPr>
                <w:rFonts w:hint="eastAsia"/>
                <w:color w:val="auto"/>
              </w:rPr>
              <w:t>）专项施工方案实施前，未进行安全技术交底，扣</w:t>
            </w:r>
            <w:r>
              <w:rPr>
                <w:color w:val="auto"/>
              </w:rPr>
              <w:t>10</w:t>
            </w:r>
            <w:r>
              <w:rPr>
                <w:rFonts w:hint="eastAsia"/>
                <w:color w:val="auto"/>
              </w:rPr>
              <w:t>分</w:t>
            </w:r>
          </w:p>
          <w:p w14:paraId="4E6BD2BD">
            <w:pPr>
              <w:pStyle w:val="44"/>
              <w:jc w:val="left"/>
              <w:rPr>
                <w:color w:val="auto"/>
              </w:rPr>
            </w:pPr>
            <w:r>
              <w:rPr>
                <w:color w:val="auto"/>
              </w:rPr>
              <w:t>5</w:t>
            </w:r>
            <w:r>
              <w:rPr>
                <w:rFonts w:hint="eastAsia"/>
                <w:color w:val="auto"/>
              </w:rPr>
              <w:t>）专项方案交底无针对性或无文字记录，扣</w:t>
            </w:r>
            <w:r>
              <w:rPr>
                <w:color w:val="auto"/>
              </w:rPr>
              <w:t>2-10</w:t>
            </w:r>
            <w:r>
              <w:rPr>
                <w:rFonts w:hint="eastAsia"/>
                <w:color w:val="auto"/>
              </w:rPr>
              <w:t>分</w:t>
            </w:r>
          </w:p>
        </w:tc>
        <w:tc>
          <w:tcPr>
            <w:tcW w:w="720" w:type="dxa"/>
            <w:vAlign w:val="center"/>
          </w:tcPr>
          <w:p w14:paraId="010C4DE5">
            <w:pPr>
              <w:pStyle w:val="44"/>
              <w:rPr>
                <w:color w:val="auto"/>
              </w:rPr>
            </w:pPr>
            <w:r>
              <w:rPr>
                <w:color w:val="auto"/>
              </w:rPr>
              <w:t>10</w:t>
            </w:r>
          </w:p>
        </w:tc>
        <w:tc>
          <w:tcPr>
            <w:tcW w:w="720" w:type="dxa"/>
            <w:vAlign w:val="center"/>
          </w:tcPr>
          <w:p w14:paraId="2201E88A">
            <w:pPr>
              <w:pStyle w:val="44"/>
              <w:rPr>
                <w:color w:val="auto"/>
              </w:rPr>
            </w:pPr>
          </w:p>
        </w:tc>
        <w:tc>
          <w:tcPr>
            <w:tcW w:w="720" w:type="dxa"/>
            <w:vAlign w:val="center"/>
          </w:tcPr>
          <w:p w14:paraId="47B273FC">
            <w:pPr>
              <w:pStyle w:val="44"/>
              <w:rPr>
                <w:color w:val="auto"/>
              </w:rPr>
            </w:pPr>
          </w:p>
        </w:tc>
      </w:tr>
      <w:tr w14:paraId="4CF65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trPr>
        <w:tc>
          <w:tcPr>
            <w:tcW w:w="539" w:type="dxa"/>
            <w:vAlign w:val="center"/>
          </w:tcPr>
          <w:p w14:paraId="0ADFB3AD">
            <w:pPr>
              <w:pStyle w:val="44"/>
              <w:rPr>
                <w:color w:val="auto"/>
              </w:rPr>
            </w:pPr>
            <w:r>
              <w:rPr>
                <w:color w:val="auto"/>
              </w:rPr>
              <w:t>2</w:t>
            </w:r>
          </w:p>
        </w:tc>
        <w:tc>
          <w:tcPr>
            <w:tcW w:w="543" w:type="dxa"/>
            <w:vMerge w:val="continue"/>
          </w:tcPr>
          <w:p w14:paraId="0F5911E0">
            <w:pPr>
              <w:pStyle w:val="44"/>
              <w:rPr>
                <w:color w:val="auto"/>
              </w:rPr>
            </w:pPr>
          </w:p>
        </w:tc>
        <w:tc>
          <w:tcPr>
            <w:tcW w:w="898" w:type="dxa"/>
            <w:vAlign w:val="center"/>
          </w:tcPr>
          <w:p w14:paraId="2D0D186A">
            <w:pPr>
              <w:pStyle w:val="44"/>
              <w:rPr>
                <w:color w:val="auto"/>
              </w:rPr>
            </w:pPr>
            <w:r>
              <w:rPr>
                <w:rFonts w:hint="eastAsia"/>
                <w:color w:val="auto"/>
              </w:rPr>
              <w:t>承载体</w:t>
            </w:r>
          </w:p>
        </w:tc>
        <w:tc>
          <w:tcPr>
            <w:tcW w:w="5580" w:type="dxa"/>
            <w:vAlign w:val="center"/>
          </w:tcPr>
          <w:p w14:paraId="56F90175">
            <w:pPr>
              <w:pStyle w:val="44"/>
              <w:jc w:val="left"/>
              <w:rPr>
                <w:color w:val="auto"/>
              </w:rPr>
            </w:pPr>
            <w:r>
              <w:rPr>
                <w:color w:val="auto"/>
              </w:rPr>
              <w:t>1</w:t>
            </w:r>
            <w:r>
              <w:rPr>
                <w:rFonts w:hint="eastAsia"/>
                <w:color w:val="auto"/>
              </w:rPr>
              <w:t>）锥形承载接头的安装位置与爬模设计规定的定位中心超过</w:t>
            </w:r>
            <w:r>
              <w:rPr>
                <w:color w:val="auto"/>
              </w:rPr>
              <w:t>±5mm</w:t>
            </w:r>
            <w:r>
              <w:rPr>
                <w:rFonts w:hint="eastAsia"/>
                <w:color w:val="auto"/>
              </w:rPr>
              <w:t>，扣</w:t>
            </w:r>
            <w:r>
              <w:rPr>
                <w:color w:val="auto"/>
              </w:rPr>
              <w:t>5</w:t>
            </w:r>
            <w:r>
              <w:rPr>
                <w:rFonts w:hint="eastAsia"/>
                <w:color w:val="auto"/>
              </w:rPr>
              <w:t>分</w:t>
            </w:r>
          </w:p>
          <w:p w14:paraId="43B45118">
            <w:pPr>
              <w:pStyle w:val="44"/>
              <w:jc w:val="left"/>
              <w:rPr>
                <w:color w:val="auto"/>
              </w:rPr>
            </w:pPr>
            <w:r>
              <w:rPr>
                <w:color w:val="auto"/>
              </w:rPr>
              <w:t>2</w:t>
            </w:r>
            <w:r>
              <w:rPr>
                <w:rFonts w:hint="eastAsia"/>
                <w:color w:val="auto"/>
              </w:rPr>
              <w:t>）挂钩连接座未采用专用承载螺栓固定，或未与建筑物表面有效接触，扣</w:t>
            </w:r>
            <w:r>
              <w:rPr>
                <w:color w:val="auto"/>
              </w:rPr>
              <w:t>5</w:t>
            </w:r>
            <w:r>
              <w:rPr>
                <w:rFonts w:hint="eastAsia"/>
                <w:color w:val="auto"/>
              </w:rPr>
              <w:t>分</w:t>
            </w:r>
          </w:p>
          <w:p w14:paraId="49D140C1">
            <w:pPr>
              <w:pStyle w:val="44"/>
              <w:jc w:val="left"/>
              <w:rPr>
                <w:color w:val="auto"/>
              </w:rPr>
            </w:pPr>
            <w:r>
              <w:rPr>
                <w:color w:val="auto"/>
              </w:rPr>
              <w:t>3</w:t>
            </w:r>
            <w:r>
              <w:rPr>
                <w:rFonts w:hint="eastAsia"/>
                <w:color w:val="auto"/>
              </w:rPr>
              <w:t>）锥体螺母长度小于承载螺栓外径的</w:t>
            </w:r>
            <w:r>
              <w:rPr>
                <w:color w:val="auto"/>
              </w:rPr>
              <w:t>3</w:t>
            </w:r>
            <w:r>
              <w:rPr>
                <w:rFonts w:hint="eastAsia"/>
                <w:color w:val="auto"/>
              </w:rPr>
              <w:t>倍，扣</w:t>
            </w:r>
            <w:r>
              <w:rPr>
                <w:color w:val="auto"/>
              </w:rPr>
              <w:t>10</w:t>
            </w:r>
            <w:r>
              <w:rPr>
                <w:rFonts w:hint="eastAsia"/>
                <w:color w:val="auto"/>
              </w:rPr>
              <w:t>分</w:t>
            </w:r>
          </w:p>
          <w:p w14:paraId="29F8AC6F">
            <w:pPr>
              <w:pStyle w:val="44"/>
              <w:jc w:val="left"/>
              <w:rPr>
                <w:color w:val="auto"/>
              </w:rPr>
            </w:pPr>
            <w:r>
              <w:rPr>
                <w:color w:val="auto"/>
              </w:rPr>
              <w:t>4</w:t>
            </w:r>
            <w:r>
              <w:rPr>
                <w:rFonts w:hint="eastAsia"/>
                <w:color w:val="auto"/>
              </w:rPr>
              <w:t>）预埋件和承载螺栓拧入锥体螺母的深度不同时大于承载螺栓外径的</w:t>
            </w:r>
            <w:r>
              <w:rPr>
                <w:color w:val="auto"/>
              </w:rPr>
              <w:t>1.5</w:t>
            </w:r>
            <w:r>
              <w:rPr>
                <w:rFonts w:hint="eastAsia"/>
                <w:color w:val="auto"/>
              </w:rPr>
              <w:t>倍，扣</w:t>
            </w:r>
            <w:r>
              <w:rPr>
                <w:color w:val="auto"/>
              </w:rPr>
              <w:t>10</w:t>
            </w:r>
            <w:r>
              <w:rPr>
                <w:rFonts w:hint="eastAsia"/>
                <w:color w:val="auto"/>
              </w:rPr>
              <w:t>分</w:t>
            </w:r>
          </w:p>
          <w:p w14:paraId="6B2B41C5">
            <w:pPr>
              <w:pStyle w:val="44"/>
              <w:jc w:val="left"/>
              <w:rPr>
                <w:color w:val="auto"/>
              </w:rPr>
            </w:pPr>
            <w:r>
              <w:rPr>
                <w:color w:val="auto"/>
              </w:rPr>
              <w:t>5</w:t>
            </w:r>
            <w:r>
              <w:rPr>
                <w:rFonts w:hint="eastAsia"/>
                <w:color w:val="auto"/>
              </w:rPr>
              <w:t>）承载螺栓螺杆露出螺母小于</w:t>
            </w:r>
            <w:r>
              <w:rPr>
                <w:color w:val="auto"/>
              </w:rPr>
              <w:t>3</w:t>
            </w:r>
            <w:r>
              <w:rPr>
                <w:rFonts w:hint="eastAsia"/>
                <w:color w:val="auto"/>
              </w:rPr>
              <w:t>扣，或垫板尺寸小于</w:t>
            </w:r>
            <w:r>
              <w:rPr>
                <w:color w:val="auto"/>
              </w:rPr>
              <w:t>100mm×100mm×10mm</w:t>
            </w:r>
            <w:r>
              <w:rPr>
                <w:rFonts w:hint="eastAsia"/>
                <w:color w:val="auto"/>
              </w:rPr>
              <w:t>，扣</w:t>
            </w:r>
            <w:r>
              <w:rPr>
                <w:color w:val="auto"/>
              </w:rPr>
              <w:t>10</w:t>
            </w:r>
            <w:r>
              <w:rPr>
                <w:rFonts w:hint="eastAsia"/>
                <w:color w:val="auto"/>
              </w:rPr>
              <w:t>分</w:t>
            </w:r>
          </w:p>
          <w:p w14:paraId="05560BAF">
            <w:pPr>
              <w:pStyle w:val="44"/>
              <w:jc w:val="left"/>
              <w:rPr>
                <w:color w:val="auto"/>
              </w:rPr>
            </w:pPr>
            <w:r>
              <w:rPr>
                <w:color w:val="auto"/>
              </w:rPr>
              <w:t>6</w:t>
            </w:r>
            <w:r>
              <w:rPr>
                <w:rFonts w:hint="eastAsia"/>
                <w:color w:val="auto"/>
              </w:rPr>
              <w:t>）承载螺栓未与锥体螺母扭紧，扣</w:t>
            </w:r>
            <w:r>
              <w:rPr>
                <w:color w:val="auto"/>
              </w:rPr>
              <w:t>10</w:t>
            </w:r>
            <w:r>
              <w:rPr>
                <w:rFonts w:hint="eastAsia"/>
                <w:color w:val="auto"/>
              </w:rPr>
              <w:t>分</w:t>
            </w:r>
          </w:p>
        </w:tc>
        <w:tc>
          <w:tcPr>
            <w:tcW w:w="720" w:type="dxa"/>
            <w:vAlign w:val="center"/>
          </w:tcPr>
          <w:p w14:paraId="7D580EC3">
            <w:pPr>
              <w:pStyle w:val="44"/>
              <w:rPr>
                <w:color w:val="auto"/>
              </w:rPr>
            </w:pPr>
            <w:r>
              <w:rPr>
                <w:color w:val="auto"/>
              </w:rPr>
              <w:t>10</w:t>
            </w:r>
          </w:p>
        </w:tc>
        <w:tc>
          <w:tcPr>
            <w:tcW w:w="720" w:type="dxa"/>
            <w:vAlign w:val="center"/>
          </w:tcPr>
          <w:p w14:paraId="046B8F78">
            <w:pPr>
              <w:pStyle w:val="44"/>
              <w:rPr>
                <w:color w:val="auto"/>
              </w:rPr>
            </w:pPr>
          </w:p>
        </w:tc>
        <w:tc>
          <w:tcPr>
            <w:tcW w:w="720" w:type="dxa"/>
            <w:vAlign w:val="center"/>
          </w:tcPr>
          <w:p w14:paraId="7E91098F">
            <w:pPr>
              <w:pStyle w:val="44"/>
              <w:rPr>
                <w:color w:val="auto"/>
              </w:rPr>
            </w:pPr>
          </w:p>
        </w:tc>
      </w:tr>
      <w:tr w14:paraId="62975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2A4B67E3">
            <w:pPr>
              <w:pStyle w:val="44"/>
              <w:rPr>
                <w:color w:val="auto"/>
              </w:rPr>
            </w:pPr>
            <w:r>
              <w:rPr>
                <w:color w:val="auto"/>
              </w:rPr>
              <w:t>3</w:t>
            </w:r>
          </w:p>
        </w:tc>
        <w:tc>
          <w:tcPr>
            <w:tcW w:w="543" w:type="dxa"/>
            <w:vMerge w:val="continue"/>
          </w:tcPr>
          <w:p w14:paraId="7AC66324">
            <w:pPr>
              <w:pStyle w:val="44"/>
              <w:rPr>
                <w:color w:val="auto"/>
              </w:rPr>
            </w:pPr>
          </w:p>
        </w:tc>
        <w:tc>
          <w:tcPr>
            <w:tcW w:w="898" w:type="dxa"/>
            <w:vAlign w:val="center"/>
          </w:tcPr>
          <w:p w14:paraId="03FFD73D">
            <w:pPr>
              <w:pStyle w:val="44"/>
              <w:rPr>
                <w:color w:val="auto"/>
              </w:rPr>
            </w:pPr>
            <w:r>
              <w:rPr>
                <w:rFonts w:hint="eastAsia"/>
                <w:color w:val="auto"/>
              </w:rPr>
              <w:t>防倾、防坠装置</w:t>
            </w:r>
          </w:p>
        </w:tc>
        <w:tc>
          <w:tcPr>
            <w:tcW w:w="5580" w:type="dxa"/>
            <w:vAlign w:val="center"/>
          </w:tcPr>
          <w:p w14:paraId="71D30B3C">
            <w:pPr>
              <w:pStyle w:val="44"/>
              <w:jc w:val="left"/>
              <w:rPr>
                <w:color w:val="auto"/>
              </w:rPr>
            </w:pPr>
            <w:r>
              <w:rPr>
                <w:color w:val="auto"/>
              </w:rPr>
              <w:t>1</w:t>
            </w:r>
            <w:r>
              <w:rPr>
                <w:rFonts w:hint="eastAsia"/>
                <w:color w:val="auto"/>
              </w:rPr>
              <w:t>）导轨的垂直度大于</w:t>
            </w:r>
            <w:r>
              <w:rPr>
                <w:color w:val="auto"/>
              </w:rPr>
              <w:t>5/1000</w:t>
            </w:r>
            <w:r>
              <w:rPr>
                <w:rFonts w:hint="eastAsia"/>
                <w:color w:val="auto"/>
              </w:rPr>
              <w:t>或</w:t>
            </w:r>
            <w:r>
              <w:rPr>
                <w:color w:val="auto"/>
              </w:rPr>
              <w:t>30mm</w:t>
            </w:r>
            <w:r>
              <w:rPr>
                <w:rFonts w:hint="eastAsia"/>
                <w:color w:val="auto"/>
              </w:rPr>
              <w:t>，或工作状态中的最大挠度大于</w:t>
            </w:r>
            <w:r>
              <w:rPr>
                <w:color w:val="auto"/>
              </w:rPr>
              <w:t>5mm</w:t>
            </w:r>
            <w:r>
              <w:rPr>
                <w:rFonts w:hint="eastAsia"/>
                <w:color w:val="auto"/>
              </w:rPr>
              <w:t>，扣</w:t>
            </w:r>
            <w:r>
              <w:rPr>
                <w:color w:val="auto"/>
              </w:rPr>
              <w:t>5</w:t>
            </w:r>
            <w:r>
              <w:rPr>
                <w:rFonts w:hint="eastAsia"/>
                <w:color w:val="auto"/>
              </w:rPr>
              <w:t>分</w:t>
            </w:r>
          </w:p>
          <w:p w14:paraId="074D88F6">
            <w:pPr>
              <w:pStyle w:val="44"/>
              <w:jc w:val="left"/>
              <w:rPr>
                <w:color w:val="auto"/>
              </w:rPr>
            </w:pPr>
            <w:r>
              <w:rPr>
                <w:color w:val="auto"/>
              </w:rPr>
              <w:t>2</w:t>
            </w:r>
            <w:r>
              <w:rPr>
                <w:rFonts w:hint="eastAsia"/>
                <w:color w:val="auto"/>
              </w:rPr>
              <w:t>）防倾装置的导向间隙大于</w:t>
            </w:r>
            <w:r>
              <w:rPr>
                <w:color w:val="auto"/>
              </w:rPr>
              <w:t>5mm</w:t>
            </w:r>
            <w:r>
              <w:rPr>
                <w:rFonts w:hint="eastAsia"/>
                <w:color w:val="auto"/>
              </w:rPr>
              <w:t>，扣</w:t>
            </w:r>
            <w:r>
              <w:rPr>
                <w:color w:val="auto"/>
              </w:rPr>
              <w:t>5</w:t>
            </w:r>
            <w:r>
              <w:rPr>
                <w:rFonts w:hint="eastAsia"/>
                <w:color w:val="auto"/>
              </w:rPr>
              <w:t>分</w:t>
            </w:r>
          </w:p>
          <w:p w14:paraId="05E7645F">
            <w:pPr>
              <w:pStyle w:val="44"/>
              <w:jc w:val="left"/>
              <w:rPr>
                <w:color w:val="auto"/>
              </w:rPr>
            </w:pPr>
            <w:r>
              <w:rPr>
                <w:color w:val="auto"/>
              </w:rPr>
              <w:t>3</w:t>
            </w:r>
            <w:r>
              <w:rPr>
                <w:rFonts w:hint="eastAsia"/>
                <w:color w:val="auto"/>
              </w:rPr>
              <w:t>）防坠装置不灵敏可靠，或下坠制动距离大于</w:t>
            </w:r>
            <w:r>
              <w:rPr>
                <w:color w:val="auto"/>
              </w:rPr>
              <w:t>50mm</w:t>
            </w:r>
            <w:r>
              <w:rPr>
                <w:rFonts w:hint="eastAsia"/>
                <w:color w:val="auto"/>
              </w:rPr>
              <w:t>，扣</w:t>
            </w:r>
            <w:r>
              <w:rPr>
                <w:color w:val="auto"/>
              </w:rPr>
              <w:t>10</w:t>
            </w:r>
            <w:r>
              <w:rPr>
                <w:rFonts w:hint="eastAsia"/>
                <w:color w:val="auto"/>
              </w:rPr>
              <w:t>分</w:t>
            </w:r>
          </w:p>
          <w:p w14:paraId="00C60A12">
            <w:pPr>
              <w:pStyle w:val="44"/>
              <w:jc w:val="left"/>
              <w:rPr>
                <w:color w:val="auto"/>
              </w:rPr>
            </w:pPr>
            <w:r>
              <w:rPr>
                <w:color w:val="auto"/>
              </w:rPr>
              <w:t>4</w:t>
            </w:r>
            <w:r>
              <w:rPr>
                <w:rFonts w:hint="eastAsia"/>
                <w:color w:val="auto"/>
              </w:rPr>
              <w:t>）液压系统超载时不能启动溢流阀保护功能，扣</w:t>
            </w:r>
            <w:r>
              <w:rPr>
                <w:color w:val="auto"/>
              </w:rPr>
              <w:t>10</w:t>
            </w:r>
            <w:r>
              <w:rPr>
                <w:rFonts w:hint="eastAsia"/>
                <w:color w:val="auto"/>
              </w:rPr>
              <w:t>分</w:t>
            </w:r>
          </w:p>
          <w:p w14:paraId="7A99422B">
            <w:pPr>
              <w:pStyle w:val="44"/>
              <w:jc w:val="left"/>
              <w:rPr>
                <w:color w:val="auto"/>
              </w:rPr>
            </w:pPr>
            <w:r>
              <w:rPr>
                <w:color w:val="auto"/>
              </w:rPr>
              <w:t>5</w:t>
            </w:r>
            <w:r>
              <w:rPr>
                <w:rFonts w:hint="eastAsia"/>
                <w:color w:val="auto"/>
              </w:rPr>
              <w:t>）油缸油管破裂时不能启动液压锁保护功能，扣</w:t>
            </w:r>
            <w:r>
              <w:rPr>
                <w:color w:val="auto"/>
              </w:rPr>
              <w:t>10</w:t>
            </w:r>
            <w:r>
              <w:rPr>
                <w:rFonts w:hint="eastAsia"/>
                <w:color w:val="auto"/>
              </w:rPr>
              <w:t>分</w:t>
            </w:r>
          </w:p>
          <w:p w14:paraId="622C010A">
            <w:pPr>
              <w:pStyle w:val="44"/>
              <w:jc w:val="left"/>
              <w:rPr>
                <w:color w:val="auto"/>
              </w:rPr>
            </w:pPr>
            <w:r>
              <w:rPr>
                <w:color w:val="auto"/>
              </w:rPr>
              <w:t>6</w:t>
            </w:r>
            <w:r>
              <w:rPr>
                <w:rFonts w:hint="eastAsia"/>
                <w:color w:val="auto"/>
              </w:rPr>
              <w:t>）油缸不同步时不能单独升降某个油缸，扣</w:t>
            </w:r>
            <w:r>
              <w:rPr>
                <w:color w:val="auto"/>
              </w:rPr>
              <w:t>10</w:t>
            </w:r>
            <w:r>
              <w:rPr>
                <w:rFonts w:hint="eastAsia"/>
                <w:color w:val="auto"/>
              </w:rPr>
              <w:t>分</w:t>
            </w:r>
          </w:p>
        </w:tc>
        <w:tc>
          <w:tcPr>
            <w:tcW w:w="720" w:type="dxa"/>
            <w:vAlign w:val="center"/>
          </w:tcPr>
          <w:p w14:paraId="0C848A08">
            <w:pPr>
              <w:pStyle w:val="44"/>
              <w:rPr>
                <w:color w:val="auto"/>
              </w:rPr>
            </w:pPr>
            <w:r>
              <w:rPr>
                <w:color w:val="auto"/>
              </w:rPr>
              <w:t>10</w:t>
            </w:r>
          </w:p>
        </w:tc>
        <w:tc>
          <w:tcPr>
            <w:tcW w:w="720" w:type="dxa"/>
            <w:vAlign w:val="center"/>
          </w:tcPr>
          <w:p w14:paraId="7A1104D3">
            <w:pPr>
              <w:pStyle w:val="44"/>
              <w:rPr>
                <w:color w:val="auto"/>
              </w:rPr>
            </w:pPr>
          </w:p>
        </w:tc>
        <w:tc>
          <w:tcPr>
            <w:tcW w:w="720" w:type="dxa"/>
            <w:vAlign w:val="center"/>
          </w:tcPr>
          <w:p w14:paraId="0A6BFFA2">
            <w:pPr>
              <w:pStyle w:val="44"/>
              <w:rPr>
                <w:color w:val="auto"/>
              </w:rPr>
            </w:pPr>
          </w:p>
        </w:tc>
      </w:tr>
      <w:tr w14:paraId="49C3C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6D18D216">
            <w:pPr>
              <w:pStyle w:val="44"/>
              <w:rPr>
                <w:color w:val="auto"/>
              </w:rPr>
            </w:pPr>
            <w:r>
              <w:rPr>
                <w:color w:val="auto"/>
              </w:rPr>
              <w:t>4</w:t>
            </w:r>
          </w:p>
        </w:tc>
        <w:tc>
          <w:tcPr>
            <w:tcW w:w="543" w:type="dxa"/>
            <w:vMerge w:val="continue"/>
          </w:tcPr>
          <w:p w14:paraId="6F51FDC2">
            <w:pPr>
              <w:pStyle w:val="44"/>
              <w:rPr>
                <w:color w:val="auto"/>
              </w:rPr>
            </w:pPr>
          </w:p>
        </w:tc>
        <w:tc>
          <w:tcPr>
            <w:tcW w:w="898" w:type="dxa"/>
            <w:vAlign w:val="center"/>
          </w:tcPr>
          <w:p w14:paraId="5DBEA0B1">
            <w:pPr>
              <w:pStyle w:val="44"/>
              <w:rPr>
                <w:color w:val="auto"/>
              </w:rPr>
            </w:pPr>
            <w:r>
              <w:rPr>
                <w:rFonts w:hint="eastAsia"/>
                <w:color w:val="auto"/>
              </w:rPr>
              <w:t>爬升机构</w:t>
            </w:r>
          </w:p>
        </w:tc>
        <w:tc>
          <w:tcPr>
            <w:tcW w:w="5580" w:type="dxa"/>
            <w:vAlign w:val="center"/>
          </w:tcPr>
          <w:p w14:paraId="56A514AC">
            <w:pPr>
              <w:pStyle w:val="44"/>
              <w:jc w:val="left"/>
              <w:rPr>
                <w:color w:val="auto"/>
              </w:rPr>
            </w:pPr>
            <w:r>
              <w:rPr>
                <w:color w:val="auto"/>
              </w:rPr>
              <w:t>1</w:t>
            </w:r>
            <w:r>
              <w:rPr>
                <w:rFonts w:hint="eastAsia"/>
                <w:color w:val="auto"/>
              </w:rPr>
              <w:t>）导轨的梯挡与油缸行程不匹配，或不满足与防坠爬升器相互运动的要求，扣</w:t>
            </w:r>
            <w:r>
              <w:rPr>
                <w:color w:val="auto"/>
              </w:rPr>
              <w:t>10</w:t>
            </w:r>
            <w:r>
              <w:rPr>
                <w:rFonts w:hint="eastAsia"/>
                <w:color w:val="auto"/>
              </w:rPr>
              <w:t>分</w:t>
            </w:r>
          </w:p>
          <w:p w14:paraId="06C2C8DD">
            <w:pPr>
              <w:pStyle w:val="44"/>
              <w:jc w:val="left"/>
              <w:rPr>
                <w:color w:val="auto"/>
              </w:rPr>
            </w:pPr>
            <w:r>
              <w:rPr>
                <w:color w:val="auto"/>
              </w:rPr>
              <w:t>2</w:t>
            </w:r>
            <w:r>
              <w:rPr>
                <w:rFonts w:hint="eastAsia"/>
                <w:color w:val="auto"/>
              </w:rPr>
              <w:t>）导轨顶部不能与挂钩连接座可靠挂接，或中部未穿入架体防倾调节支腿中，扣</w:t>
            </w:r>
            <w:r>
              <w:rPr>
                <w:color w:val="auto"/>
              </w:rPr>
              <w:t>10</w:t>
            </w:r>
            <w:r>
              <w:rPr>
                <w:rFonts w:hint="eastAsia"/>
                <w:color w:val="auto"/>
              </w:rPr>
              <w:t>分</w:t>
            </w:r>
          </w:p>
          <w:p w14:paraId="5C5BA1FD">
            <w:pPr>
              <w:pStyle w:val="44"/>
              <w:jc w:val="left"/>
              <w:rPr>
                <w:color w:val="auto"/>
              </w:rPr>
            </w:pPr>
            <w:r>
              <w:rPr>
                <w:color w:val="auto"/>
              </w:rPr>
              <w:t>3</w:t>
            </w:r>
            <w:r>
              <w:rPr>
                <w:rFonts w:hint="eastAsia"/>
                <w:color w:val="auto"/>
              </w:rPr>
              <w:t>）上、下防坠爬升器的定位销、限位器、导向板、承力块等组装件转动不灵活，或定位不正确，扣</w:t>
            </w:r>
            <w:r>
              <w:rPr>
                <w:color w:val="auto"/>
              </w:rPr>
              <w:t>10</w:t>
            </w:r>
            <w:r>
              <w:rPr>
                <w:rFonts w:hint="eastAsia"/>
                <w:color w:val="auto"/>
              </w:rPr>
              <w:t>分</w:t>
            </w:r>
          </w:p>
          <w:p w14:paraId="07EB3572">
            <w:pPr>
              <w:pStyle w:val="44"/>
              <w:jc w:val="left"/>
              <w:rPr>
                <w:color w:val="auto"/>
              </w:rPr>
            </w:pPr>
            <w:r>
              <w:rPr>
                <w:color w:val="auto"/>
              </w:rPr>
              <w:t>4</w:t>
            </w:r>
            <w:r>
              <w:rPr>
                <w:rFonts w:hint="eastAsia"/>
                <w:color w:val="auto"/>
              </w:rPr>
              <w:t>）防坠爬升器换向不可靠，或不能确保棘爪支承在导轨的梯挡上，扣</w:t>
            </w:r>
            <w:r>
              <w:rPr>
                <w:color w:val="auto"/>
              </w:rPr>
              <w:t>10</w:t>
            </w:r>
            <w:r>
              <w:rPr>
                <w:rFonts w:hint="eastAsia"/>
                <w:color w:val="auto"/>
              </w:rPr>
              <w:t>分</w:t>
            </w:r>
          </w:p>
          <w:p w14:paraId="67675CE2">
            <w:pPr>
              <w:pStyle w:val="44"/>
              <w:jc w:val="left"/>
              <w:rPr>
                <w:color w:val="auto"/>
              </w:rPr>
            </w:pPr>
            <w:r>
              <w:rPr>
                <w:color w:val="auto"/>
              </w:rPr>
              <w:t>5</w:t>
            </w:r>
            <w:r>
              <w:rPr>
                <w:rFonts w:hint="eastAsia"/>
                <w:color w:val="auto"/>
              </w:rPr>
              <w:t>）油缸机位间距不满足爬模设计及标准的规定，扣</w:t>
            </w:r>
            <w:r>
              <w:rPr>
                <w:color w:val="auto"/>
              </w:rPr>
              <w:t>10</w:t>
            </w:r>
            <w:r>
              <w:rPr>
                <w:rFonts w:hint="eastAsia"/>
                <w:color w:val="auto"/>
              </w:rPr>
              <w:t>分</w:t>
            </w:r>
          </w:p>
          <w:p w14:paraId="43C4F9EB">
            <w:pPr>
              <w:pStyle w:val="44"/>
              <w:jc w:val="left"/>
              <w:rPr>
                <w:color w:val="auto"/>
              </w:rPr>
            </w:pPr>
            <w:r>
              <w:rPr>
                <w:color w:val="auto"/>
              </w:rPr>
              <w:t>6</w:t>
            </w:r>
            <w:r>
              <w:rPr>
                <w:rFonts w:hint="eastAsia"/>
                <w:color w:val="auto"/>
              </w:rPr>
              <w:t>）油缸选用的额定荷载小于工作荷载的</w:t>
            </w:r>
            <w:r>
              <w:rPr>
                <w:color w:val="auto"/>
              </w:rPr>
              <w:t>2</w:t>
            </w:r>
            <w:r>
              <w:rPr>
                <w:rFonts w:hint="eastAsia"/>
                <w:color w:val="auto"/>
              </w:rPr>
              <w:t>倍，扣</w:t>
            </w:r>
            <w:r>
              <w:rPr>
                <w:color w:val="auto"/>
              </w:rPr>
              <w:t>10</w:t>
            </w:r>
            <w:r>
              <w:rPr>
                <w:rFonts w:hint="eastAsia"/>
                <w:color w:val="auto"/>
              </w:rPr>
              <w:t>分</w:t>
            </w:r>
          </w:p>
        </w:tc>
        <w:tc>
          <w:tcPr>
            <w:tcW w:w="720" w:type="dxa"/>
            <w:vAlign w:val="center"/>
          </w:tcPr>
          <w:p w14:paraId="5A401FFC">
            <w:pPr>
              <w:pStyle w:val="44"/>
              <w:rPr>
                <w:color w:val="auto"/>
              </w:rPr>
            </w:pPr>
            <w:r>
              <w:rPr>
                <w:color w:val="auto"/>
              </w:rPr>
              <w:t>15</w:t>
            </w:r>
          </w:p>
        </w:tc>
        <w:tc>
          <w:tcPr>
            <w:tcW w:w="720" w:type="dxa"/>
            <w:vAlign w:val="center"/>
          </w:tcPr>
          <w:p w14:paraId="3A7C9755">
            <w:pPr>
              <w:pStyle w:val="44"/>
              <w:rPr>
                <w:color w:val="auto"/>
              </w:rPr>
            </w:pPr>
          </w:p>
        </w:tc>
        <w:tc>
          <w:tcPr>
            <w:tcW w:w="720" w:type="dxa"/>
            <w:vAlign w:val="center"/>
          </w:tcPr>
          <w:p w14:paraId="0E3029A6">
            <w:pPr>
              <w:pStyle w:val="44"/>
              <w:rPr>
                <w:color w:val="auto"/>
              </w:rPr>
            </w:pPr>
          </w:p>
        </w:tc>
      </w:tr>
      <w:tr w14:paraId="01695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trPr>
        <w:tc>
          <w:tcPr>
            <w:tcW w:w="539" w:type="dxa"/>
            <w:vAlign w:val="center"/>
          </w:tcPr>
          <w:p w14:paraId="559F11F9">
            <w:pPr>
              <w:pStyle w:val="44"/>
              <w:rPr>
                <w:color w:val="auto"/>
              </w:rPr>
            </w:pPr>
            <w:r>
              <w:rPr>
                <w:color w:val="auto"/>
              </w:rPr>
              <w:t>5</w:t>
            </w:r>
          </w:p>
        </w:tc>
        <w:tc>
          <w:tcPr>
            <w:tcW w:w="543" w:type="dxa"/>
            <w:vMerge w:val="continue"/>
          </w:tcPr>
          <w:p w14:paraId="3FD3D752">
            <w:pPr>
              <w:pStyle w:val="44"/>
              <w:rPr>
                <w:color w:val="auto"/>
              </w:rPr>
            </w:pPr>
          </w:p>
        </w:tc>
        <w:tc>
          <w:tcPr>
            <w:tcW w:w="898" w:type="dxa"/>
            <w:vAlign w:val="center"/>
          </w:tcPr>
          <w:p w14:paraId="1341694C">
            <w:pPr>
              <w:pStyle w:val="44"/>
              <w:rPr>
                <w:color w:val="auto"/>
              </w:rPr>
            </w:pPr>
            <w:r>
              <w:rPr>
                <w:rFonts w:hint="eastAsia"/>
                <w:color w:val="auto"/>
              </w:rPr>
              <w:t>架体爬升</w:t>
            </w:r>
          </w:p>
        </w:tc>
        <w:tc>
          <w:tcPr>
            <w:tcW w:w="5580" w:type="dxa"/>
            <w:vAlign w:val="center"/>
          </w:tcPr>
          <w:p w14:paraId="35F65E59">
            <w:pPr>
              <w:pStyle w:val="44"/>
              <w:jc w:val="left"/>
              <w:rPr>
                <w:color w:val="auto"/>
              </w:rPr>
            </w:pPr>
            <w:r>
              <w:rPr>
                <w:color w:val="auto"/>
              </w:rPr>
              <w:t>1</w:t>
            </w:r>
            <w:r>
              <w:rPr>
                <w:rFonts w:hint="eastAsia"/>
                <w:color w:val="auto"/>
              </w:rPr>
              <w:t>）爬模装置爬升时，承载体受力处混凝土的强度未达到</w:t>
            </w:r>
            <w:r>
              <w:rPr>
                <w:color w:val="auto"/>
              </w:rPr>
              <w:t>10MPa</w:t>
            </w:r>
            <w:r>
              <w:rPr>
                <w:rFonts w:hint="eastAsia"/>
                <w:color w:val="auto"/>
              </w:rPr>
              <w:t>，或不满足设计要求，扣</w:t>
            </w:r>
            <w:r>
              <w:rPr>
                <w:color w:val="auto"/>
              </w:rPr>
              <w:t>10</w:t>
            </w:r>
            <w:r>
              <w:rPr>
                <w:rFonts w:hint="eastAsia"/>
                <w:color w:val="auto"/>
              </w:rPr>
              <w:t>分</w:t>
            </w:r>
          </w:p>
          <w:p w14:paraId="45A49504">
            <w:pPr>
              <w:pStyle w:val="44"/>
              <w:jc w:val="left"/>
              <w:rPr>
                <w:color w:val="auto"/>
              </w:rPr>
            </w:pPr>
            <w:r>
              <w:rPr>
                <w:color w:val="auto"/>
              </w:rPr>
              <w:t>2</w:t>
            </w:r>
            <w:r>
              <w:rPr>
                <w:rFonts w:hint="eastAsia"/>
                <w:color w:val="auto"/>
              </w:rPr>
              <w:t>）架体爬升前，未解除下层附墙连接装置及相邻分段架体之间、架体与构筑物之间的连接，扣</w:t>
            </w:r>
            <w:r>
              <w:rPr>
                <w:color w:val="auto"/>
              </w:rPr>
              <w:t>10</w:t>
            </w:r>
            <w:r>
              <w:rPr>
                <w:rFonts w:hint="eastAsia"/>
                <w:color w:val="auto"/>
              </w:rPr>
              <w:t>分</w:t>
            </w:r>
          </w:p>
          <w:p w14:paraId="61FC92BA">
            <w:pPr>
              <w:pStyle w:val="44"/>
              <w:jc w:val="left"/>
              <w:rPr>
                <w:color w:val="auto"/>
              </w:rPr>
            </w:pPr>
            <w:r>
              <w:rPr>
                <w:color w:val="auto"/>
              </w:rPr>
              <w:t>3</w:t>
            </w:r>
            <w:r>
              <w:rPr>
                <w:rFonts w:hint="eastAsia"/>
                <w:color w:val="auto"/>
              </w:rPr>
              <w:t>）架体爬升前，未清除操作平台上的堆料，扣</w:t>
            </w:r>
            <w:r>
              <w:rPr>
                <w:color w:val="auto"/>
              </w:rPr>
              <w:t>5</w:t>
            </w:r>
            <w:r>
              <w:rPr>
                <w:rFonts w:hint="eastAsia"/>
                <w:color w:val="auto"/>
              </w:rPr>
              <w:t>分</w:t>
            </w:r>
          </w:p>
          <w:p w14:paraId="34FAD23A">
            <w:pPr>
              <w:pStyle w:val="44"/>
              <w:jc w:val="left"/>
              <w:rPr>
                <w:color w:val="auto"/>
              </w:rPr>
            </w:pPr>
            <w:r>
              <w:rPr>
                <w:color w:val="auto"/>
              </w:rPr>
              <w:t>4</w:t>
            </w:r>
            <w:r>
              <w:rPr>
                <w:rFonts w:hint="eastAsia"/>
                <w:color w:val="auto"/>
              </w:rPr>
              <w:t>）防坠爬升器的工作状态与导轨或架体的爬升状态不一致，扣</w:t>
            </w:r>
            <w:r>
              <w:rPr>
                <w:color w:val="auto"/>
              </w:rPr>
              <w:t>10</w:t>
            </w:r>
            <w:r>
              <w:rPr>
                <w:rFonts w:hint="eastAsia"/>
                <w:color w:val="auto"/>
              </w:rPr>
              <w:t>分</w:t>
            </w:r>
          </w:p>
          <w:p w14:paraId="6F07A3AB">
            <w:pPr>
              <w:pStyle w:val="44"/>
              <w:jc w:val="left"/>
              <w:rPr>
                <w:color w:val="auto"/>
              </w:rPr>
            </w:pPr>
            <w:r>
              <w:rPr>
                <w:color w:val="auto"/>
              </w:rPr>
              <w:t>5</w:t>
            </w:r>
            <w:r>
              <w:rPr>
                <w:rFonts w:hint="eastAsia"/>
                <w:color w:val="auto"/>
              </w:rPr>
              <w:t>）导轨爬升前，导轨锁定销键和导轨底部调节支腿未处于松开状态，扣</w:t>
            </w:r>
            <w:r>
              <w:rPr>
                <w:color w:val="auto"/>
              </w:rPr>
              <w:t>10</w:t>
            </w:r>
            <w:r>
              <w:rPr>
                <w:rFonts w:hint="eastAsia"/>
                <w:color w:val="auto"/>
              </w:rPr>
              <w:t>分</w:t>
            </w:r>
          </w:p>
          <w:p w14:paraId="35143480">
            <w:pPr>
              <w:pStyle w:val="44"/>
              <w:jc w:val="left"/>
              <w:rPr>
                <w:color w:val="auto"/>
              </w:rPr>
            </w:pPr>
            <w:r>
              <w:rPr>
                <w:color w:val="auto"/>
              </w:rPr>
              <w:t>6</w:t>
            </w:r>
            <w:r>
              <w:rPr>
                <w:rFonts w:hint="eastAsia"/>
                <w:color w:val="auto"/>
              </w:rPr>
              <w:t>）架体爬升前，架体防倾调节支腿未退出，或挂钩锁定销应处于拔出状态，扣</w:t>
            </w:r>
            <w:r>
              <w:rPr>
                <w:color w:val="auto"/>
              </w:rPr>
              <w:t>10</w:t>
            </w:r>
            <w:r>
              <w:rPr>
                <w:rFonts w:hint="eastAsia"/>
                <w:color w:val="auto"/>
              </w:rPr>
              <w:t>分</w:t>
            </w:r>
          </w:p>
          <w:p w14:paraId="74C23454">
            <w:pPr>
              <w:pStyle w:val="44"/>
              <w:jc w:val="left"/>
              <w:rPr>
                <w:color w:val="auto"/>
              </w:rPr>
            </w:pPr>
            <w:r>
              <w:rPr>
                <w:color w:val="auto"/>
              </w:rPr>
              <w:t>7</w:t>
            </w:r>
            <w:r>
              <w:rPr>
                <w:rFonts w:hint="eastAsia"/>
                <w:color w:val="auto"/>
              </w:rPr>
              <w:t>）架体爬升到位后，挂钩连接座未及时插入承力销和挂钩锁定销，或未及时将防倾调节支腿紧密顶撑在混凝土结构上扣</w:t>
            </w:r>
            <w:r>
              <w:rPr>
                <w:color w:val="auto"/>
              </w:rPr>
              <w:t>5</w:t>
            </w:r>
            <w:r>
              <w:rPr>
                <w:rFonts w:hint="eastAsia"/>
                <w:color w:val="auto"/>
              </w:rPr>
              <w:t>分</w:t>
            </w:r>
          </w:p>
          <w:p w14:paraId="4D4E78A0">
            <w:pPr>
              <w:pStyle w:val="44"/>
              <w:jc w:val="left"/>
              <w:rPr>
                <w:color w:val="auto"/>
              </w:rPr>
            </w:pPr>
            <w:r>
              <w:rPr>
                <w:color w:val="auto"/>
              </w:rPr>
              <w:t>8</w:t>
            </w:r>
            <w:r>
              <w:rPr>
                <w:rFonts w:hint="eastAsia"/>
                <w:color w:val="auto"/>
              </w:rPr>
              <w:t>）架体爬升到位后，未及时建立下层附墙连接装置及相邻分段架体之间、架体与构筑物之间的连接，扣</w:t>
            </w:r>
            <w:r>
              <w:rPr>
                <w:color w:val="auto"/>
              </w:rPr>
              <w:t>5</w:t>
            </w:r>
            <w:r>
              <w:rPr>
                <w:rFonts w:hint="eastAsia"/>
                <w:color w:val="auto"/>
              </w:rPr>
              <w:t>分</w:t>
            </w:r>
          </w:p>
          <w:p w14:paraId="2292AAB4">
            <w:pPr>
              <w:pStyle w:val="44"/>
              <w:jc w:val="left"/>
              <w:rPr>
                <w:color w:val="auto"/>
              </w:rPr>
            </w:pPr>
            <w:r>
              <w:rPr>
                <w:color w:val="auto"/>
              </w:rPr>
              <w:t>9</w:t>
            </w:r>
            <w:r>
              <w:rPr>
                <w:rFonts w:hint="eastAsia"/>
                <w:color w:val="auto"/>
              </w:rPr>
              <w:t>）架体爬升过程未设专人检查防坠爬升器，确保棘爪处于正常工作状态，扣</w:t>
            </w:r>
            <w:r>
              <w:rPr>
                <w:color w:val="auto"/>
              </w:rPr>
              <w:t>5</w:t>
            </w:r>
            <w:r>
              <w:rPr>
                <w:rFonts w:hint="eastAsia"/>
                <w:color w:val="auto"/>
              </w:rPr>
              <w:t>分</w:t>
            </w:r>
          </w:p>
        </w:tc>
        <w:tc>
          <w:tcPr>
            <w:tcW w:w="720" w:type="dxa"/>
            <w:vAlign w:val="center"/>
          </w:tcPr>
          <w:p w14:paraId="2E3A0C33">
            <w:pPr>
              <w:pStyle w:val="44"/>
              <w:rPr>
                <w:color w:val="auto"/>
              </w:rPr>
            </w:pPr>
            <w:r>
              <w:rPr>
                <w:color w:val="auto"/>
              </w:rPr>
              <w:t>15</w:t>
            </w:r>
          </w:p>
        </w:tc>
        <w:tc>
          <w:tcPr>
            <w:tcW w:w="720" w:type="dxa"/>
            <w:vAlign w:val="center"/>
          </w:tcPr>
          <w:p w14:paraId="749D83D1">
            <w:pPr>
              <w:pStyle w:val="44"/>
              <w:rPr>
                <w:color w:val="auto"/>
              </w:rPr>
            </w:pPr>
          </w:p>
        </w:tc>
        <w:tc>
          <w:tcPr>
            <w:tcW w:w="720" w:type="dxa"/>
            <w:vAlign w:val="center"/>
          </w:tcPr>
          <w:p w14:paraId="62DB9E0D">
            <w:pPr>
              <w:pStyle w:val="44"/>
              <w:rPr>
                <w:color w:val="auto"/>
              </w:rPr>
            </w:pPr>
          </w:p>
        </w:tc>
      </w:tr>
      <w:tr w14:paraId="00FE7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trPr>
        <w:tc>
          <w:tcPr>
            <w:tcW w:w="539" w:type="dxa"/>
            <w:vAlign w:val="center"/>
          </w:tcPr>
          <w:p w14:paraId="31CE89DF">
            <w:pPr>
              <w:pStyle w:val="44"/>
              <w:rPr>
                <w:color w:val="auto"/>
              </w:rPr>
            </w:pPr>
            <w:r>
              <w:rPr>
                <w:color w:val="auto"/>
              </w:rPr>
              <w:t>6</w:t>
            </w:r>
          </w:p>
        </w:tc>
        <w:tc>
          <w:tcPr>
            <w:tcW w:w="543" w:type="dxa"/>
            <w:vMerge w:val="restart"/>
            <w:vAlign w:val="center"/>
          </w:tcPr>
          <w:p w14:paraId="73799E0F">
            <w:pPr>
              <w:pStyle w:val="44"/>
              <w:rPr>
                <w:color w:val="auto"/>
              </w:rPr>
            </w:pPr>
          </w:p>
        </w:tc>
        <w:tc>
          <w:tcPr>
            <w:tcW w:w="898" w:type="dxa"/>
            <w:vAlign w:val="center"/>
          </w:tcPr>
          <w:p w14:paraId="173AD8A3">
            <w:pPr>
              <w:pStyle w:val="44"/>
              <w:rPr>
                <w:color w:val="auto"/>
              </w:rPr>
            </w:pPr>
            <w:r>
              <w:rPr>
                <w:rFonts w:hint="eastAsia"/>
                <w:color w:val="auto"/>
              </w:rPr>
              <w:t>检查验收</w:t>
            </w:r>
          </w:p>
        </w:tc>
        <w:tc>
          <w:tcPr>
            <w:tcW w:w="5580" w:type="dxa"/>
            <w:vAlign w:val="center"/>
          </w:tcPr>
          <w:p w14:paraId="32F4DF04">
            <w:pPr>
              <w:pStyle w:val="44"/>
              <w:jc w:val="left"/>
              <w:rPr>
                <w:color w:val="auto"/>
              </w:rPr>
            </w:pPr>
            <w:r>
              <w:rPr>
                <w:color w:val="auto"/>
              </w:rPr>
              <w:t>1)</w:t>
            </w:r>
            <w:r>
              <w:rPr>
                <w:rFonts w:hint="eastAsia"/>
                <w:color w:val="auto"/>
              </w:rPr>
              <w:t>附墙装置、爬升装置、防倾和防坠装置以及架体结构的主要构配件进场未按规定进行验收，扣</w:t>
            </w:r>
            <w:r>
              <w:rPr>
                <w:color w:val="auto"/>
              </w:rPr>
              <w:t>10</w:t>
            </w:r>
            <w:r>
              <w:rPr>
                <w:rFonts w:hint="eastAsia"/>
                <w:color w:val="auto"/>
              </w:rPr>
              <w:t>分</w:t>
            </w:r>
          </w:p>
          <w:p w14:paraId="7F1B3AF0">
            <w:pPr>
              <w:pStyle w:val="44"/>
              <w:jc w:val="left"/>
              <w:rPr>
                <w:color w:val="auto"/>
              </w:rPr>
            </w:pPr>
            <w:r>
              <w:rPr>
                <w:color w:val="auto"/>
              </w:rPr>
              <w:t>2</w:t>
            </w:r>
            <w:r>
              <w:rPr>
                <w:rFonts w:hint="eastAsia"/>
                <w:color w:val="auto"/>
              </w:rPr>
              <w:t>）未提供应至少两个机位的出厂前爬模装置的安装试验、爬升性能试验和承载试验检验报告，扣</w:t>
            </w:r>
            <w:r>
              <w:rPr>
                <w:color w:val="auto"/>
              </w:rPr>
              <w:t>10</w:t>
            </w:r>
            <w:r>
              <w:rPr>
                <w:rFonts w:hint="eastAsia"/>
                <w:color w:val="auto"/>
              </w:rPr>
              <w:t>分</w:t>
            </w:r>
          </w:p>
          <w:p w14:paraId="704F9382">
            <w:pPr>
              <w:pStyle w:val="44"/>
              <w:jc w:val="left"/>
              <w:rPr>
                <w:color w:val="auto"/>
              </w:rPr>
            </w:pPr>
            <w:r>
              <w:rPr>
                <w:color w:val="auto"/>
              </w:rPr>
              <w:t>3</w:t>
            </w:r>
            <w:r>
              <w:rPr>
                <w:rFonts w:hint="eastAsia"/>
                <w:color w:val="auto"/>
              </w:rPr>
              <w:t>）爬模装置安装完毕未按规定进行整体验收，扣</w:t>
            </w:r>
            <w:r>
              <w:rPr>
                <w:color w:val="auto"/>
              </w:rPr>
              <w:t>10</w:t>
            </w:r>
            <w:r>
              <w:rPr>
                <w:rFonts w:hint="eastAsia"/>
                <w:color w:val="auto"/>
              </w:rPr>
              <w:t>分；验收内容和指标未按标准要求进行量化，扣</w:t>
            </w:r>
            <w:r>
              <w:rPr>
                <w:color w:val="auto"/>
              </w:rPr>
              <w:t>5</w:t>
            </w:r>
            <w:r>
              <w:rPr>
                <w:rFonts w:hint="eastAsia"/>
                <w:color w:val="auto"/>
              </w:rPr>
              <w:t>分</w:t>
            </w:r>
          </w:p>
          <w:p w14:paraId="479E9E03">
            <w:pPr>
              <w:pStyle w:val="44"/>
              <w:jc w:val="left"/>
              <w:rPr>
                <w:color w:val="auto"/>
              </w:rPr>
            </w:pPr>
            <w:r>
              <w:rPr>
                <w:color w:val="auto"/>
              </w:rPr>
              <w:t>4</w:t>
            </w:r>
            <w:r>
              <w:rPr>
                <w:rFonts w:hint="eastAsia"/>
                <w:color w:val="auto"/>
              </w:rPr>
              <w:t>）架体每次爬升前未组织安全检查，或未按标准要求形成安全检查记录，扣</w:t>
            </w:r>
            <w:r>
              <w:rPr>
                <w:color w:val="auto"/>
              </w:rPr>
              <w:t>10</w:t>
            </w:r>
            <w:r>
              <w:rPr>
                <w:rFonts w:hint="eastAsia"/>
                <w:color w:val="auto"/>
              </w:rPr>
              <w:t>分</w:t>
            </w:r>
          </w:p>
        </w:tc>
        <w:tc>
          <w:tcPr>
            <w:tcW w:w="720" w:type="dxa"/>
            <w:vAlign w:val="center"/>
          </w:tcPr>
          <w:p w14:paraId="137CFA35">
            <w:pPr>
              <w:pStyle w:val="44"/>
              <w:rPr>
                <w:color w:val="auto"/>
              </w:rPr>
            </w:pPr>
            <w:r>
              <w:rPr>
                <w:color w:val="auto"/>
              </w:rPr>
              <w:t>10</w:t>
            </w:r>
          </w:p>
        </w:tc>
        <w:tc>
          <w:tcPr>
            <w:tcW w:w="720" w:type="dxa"/>
            <w:vAlign w:val="center"/>
          </w:tcPr>
          <w:p w14:paraId="01312B60">
            <w:pPr>
              <w:pStyle w:val="44"/>
              <w:rPr>
                <w:color w:val="auto"/>
              </w:rPr>
            </w:pPr>
          </w:p>
        </w:tc>
        <w:tc>
          <w:tcPr>
            <w:tcW w:w="720" w:type="dxa"/>
            <w:vAlign w:val="center"/>
          </w:tcPr>
          <w:p w14:paraId="06A9D4C3">
            <w:pPr>
              <w:pStyle w:val="44"/>
              <w:rPr>
                <w:color w:val="auto"/>
              </w:rPr>
            </w:pPr>
          </w:p>
        </w:tc>
      </w:tr>
      <w:tr w14:paraId="28AFE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1CB1A562">
            <w:pPr>
              <w:pStyle w:val="44"/>
              <w:rPr>
                <w:color w:val="auto"/>
              </w:rPr>
            </w:pPr>
          </w:p>
        </w:tc>
        <w:tc>
          <w:tcPr>
            <w:tcW w:w="543" w:type="dxa"/>
            <w:vMerge w:val="continue"/>
            <w:vAlign w:val="center"/>
          </w:tcPr>
          <w:p w14:paraId="00CEA233">
            <w:pPr>
              <w:pStyle w:val="44"/>
              <w:rPr>
                <w:color w:val="auto"/>
              </w:rPr>
            </w:pPr>
          </w:p>
        </w:tc>
        <w:tc>
          <w:tcPr>
            <w:tcW w:w="6478" w:type="dxa"/>
            <w:gridSpan w:val="2"/>
            <w:vAlign w:val="center"/>
          </w:tcPr>
          <w:p w14:paraId="490F1D20">
            <w:pPr>
              <w:pStyle w:val="44"/>
              <w:rPr>
                <w:b/>
                <w:bCs w:val="0"/>
                <w:color w:val="auto"/>
              </w:rPr>
            </w:pPr>
            <w:r>
              <w:rPr>
                <w:rFonts w:hint="eastAsia"/>
                <w:b/>
                <w:bCs w:val="0"/>
                <w:color w:val="auto"/>
              </w:rPr>
              <w:t xml:space="preserve">小 </w:t>
            </w:r>
            <w:r>
              <w:rPr>
                <w:b/>
                <w:bCs w:val="0"/>
                <w:color w:val="auto"/>
              </w:rPr>
              <w:t xml:space="preserve"> </w:t>
            </w:r>
            <w:r>
              <w:rPr>
                <w:rFonts w:hint="eastAsia"/>
                <w:b/>
                <w:bCs w:val="0"/>
                <w:color w:val="auto"/>
              </w:rPr>
              <w:t>计</w:t>
            </w:r>
          </w:p>
        </w:tc>
        <w:tc>
          <w:tcPr>
            <w:tcW w:w="720" w:type="dxa"/>
            <w:vAlign w:val="center"/>
          </w:tcPr>
          <w:p w14:paraId="60AC181D">
            <w:pPr>
              <w:pStyle w:val="44"/>
              <w:rPr>
                <w:color w:val="auto"/>
              </w:rPr>
            </w:pPr>
            <w:r>
              <w:rPr>
                <w:color w:val="auto"/>
              </w:rPr>
              <w:t>70</w:t>
            </w:r>
          </w:p>
        </w:tc>
        <w:tc>
          <w:tcPr>
            <w:tcW w:w="720" w:type="dxa"/>
            <w:vAlign w:val="center"/>
          </w:tcPr>
          <w:p w14:paraId="004A26F9">
            <w:pPr>
              <w:pStyle w:val="44"/>
              <w:rPr>
                <w:color w:val="auto"/>
              </w:rPr>
            </w:pPr>
          </w:p>
        </w:tc>
        <w:tc>
          <w:tcPr>
            <w:tcW w:w="720" w:type="dxa"/>
            <w:vAlign w:val="center"/>
          </w:tcPr>
          <w:p w14:paraId="1FAEB624">
            <w:pPr>
              <w:pStyle w:val="44"/>
              <w:rPr>
                <w:color w:val="auto"/>
              </w:rPr>
            </w:pPr>
          </w:p>
        </w:tc>
      </w:tr>
      <w:tr w14:paraId="2105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trPr>
        <w:tc>
          <w:tcPr>
            <w:tcW w:w="539" w:type="dxa"/>
            <w:vAlign w:val="center"/>
          </w:tcPr>
          <w:p w14:paraId="567AEED6">
            <w:pPr>
              <w:pStyle w:val="44"/>
              <w:rPr>
                <w:color w:val="auto"/>
              </w:rPr>
            </w:pPr>
            <w:r>
              <w:rPr>
                <w:color w:val="auto"/>
              </w:rPr>
              <w:t>1</w:t>
            </w:r>
          </w:p>
        </w:tc>
        <w:tc>
          <w:tcPr>
            <w:tcW w:w="543" w:type="dxa"/>
            <w:vMerge w:val="restart"/>
            <w:vAlign w:val="center"/>
          </w:tcPr>
          <w:p w14:paraId="4FF8C703">
            <w:pPr>
              <w:pStyle w:val="44"/>
              <w:rPr>
                <w:color w:val="auto"/>
              </w:rPr>
            </w:pPr>
            <w:r>
              <w:rPr>
                <w:rFonts w:hint="eastAsia"/>
                <w:color w:val="auto"/>
              </w:rPr>
              <w:t>一</w:t>
            </w:r>
          </w:p>
          <w:p w14:paraId="61A150AE">
            <w:pPr>
              <w:pStyle w:val="44"/>
              <w:rPr>
                <w:color w:val="auto"/>
              </w:rPr>
            </w:pPr>
            <w:r>
              <w:rPr>
                <w:rFonts w:hint="eastAsia"/>
                <w:color w:val="auto"/>
              </w:rPr>
              <w:t>般</w:t>
            </w:r>
          </w:p>
          <w:p w14:paraId="32AA3460">
            <w:pPr>
              <w:pStyle w:val="44"/>
              <w:rPr>
                <w:color w:val="auto"/>
              </w:rPr>
            </w:pPr>
            <w:r>
              <w:rPr>
                <w:rFonts w:hint="eastAsia"/>
                <w:color w:val="auto"/>
              </w:rPr>
              <w:t>项</w:t>
            </w:r>
          </w:p>
          <w:p w14:paraId="76B618AA">
            <w:pPr>
              <w:pStyle w:val="44"/>
              <w:rPr>
                <w:color w:val="auto"/>
              </w:rPr>
            </w:pPr>
            <w:r>
              <w:rPr>
                <w:rFonts w:hint="eastAsia"/>
                <w:color w:val="auto"/>
              </w:rPr>
              <w:t>目</w:t>
            </w:r>
          </w:p>
        </w:tc>
        <w:tc>
          <w:tcPr>
            <w:tcW w:w="898" w:type="dxa"/>
            <w:vAlign w:val="center"/>
          </w:tcPr>
          <w:p w14:paraId="3E3E7E52">
            <w:pPr>
              <w:pStyle w:val="44"/>
              <w:rPr>
                <w:color w:val="auto"/>
              </w:rPr>
            </w:pPr>
            <w:r>
              <w:rPr>
                <w:rFonts w:hint="eastAsia"/>
                <w:color w:val="auto"/>
              </w:rPr>
              <w:t>架体构造</w:t>
            </w:r>
          </w:p>
        </w:tc>
        <w:tc>
          <w:tcPr>
            <w:tcW w:w="5580" w:type="dxa"/>
            <w:vAlign w:val="center"/>
          </w:tcPr>
          <w:p w14:paraId="179DCF43">
            <w:pPr>
              <w:pStyle w:val="44"/>
              <w:jc w:val="left"/>
              <w:rPr>
                <w:color w:val="auto"/>
              </w:rPr>
            </w:pPr>
            <w:r>
              <w:rPr>
                <w:color w:val="auto"/>
              </w:rPr>
              <w:t>1</w:t>
            </w:r>
            <w:r>
              <w:rPr>
                <w:rFonts w:hint="eastAsia"/>
                <w:color w:val="auto"/>
              </w:rPr>
              <w:t>）上架体高度、宽度不满足结构施工操作需要，扣</w:t>
            </w:r>
            <w:r>
              <w:rPr>
                <w:color w:val="auto"/>
              </w:rPr>
              <w:t>5</w:t>
            </w:r>
            <w:r>
              <w:rPr>
                <w:rFonts w:hint="eastAsia"/>
                <w:color w:val="auto"/>
              </w:rPr>
              <w:t>分</w:t>
            </w:r>
          </w:p>
          <w:p w14:paraId="63ECB453">
            <w:pPr>
              <w:pStyle w:val="44"/>
              <w:jc w:val="left"/>
              <w:rPr>
                <w:color w:val="auto"/>
              </w:rPr>
            </w:pPr>
            <w:r>
              <w:rPr>
                <w:color w:val="auto"/>
              </w:rPr>
              <w:t>2</w:t>
            </w:r>
            <w:r>
              <w:rPr>
                <w:rFonts w:hint="eastAsia"/>
                <w:color w:val="auto"/>
              </w:rPr>
              <w:t>）下架体高度和宽度不满足爬模装置操作需要或模板工程施工操作需要，扣</w:t>
            </w:r>
            <w:r>
              <w:rPr>
                <w:color w:val="auto"/>
              </w:rPr>
              <w:t>5</w:t>
            </w:r>
            <w:r>
              <w:rPr>
                <w:rFonts w:hint="eastAsia"/>
                <w:color w:val="auto"/>
              </w:rPr>
              <w:t>分</w:t>
            </w:r>
          </w:p>
          <w:p w14:paraId="505CB688">
            <w:pPr>
              <w:pStyle w:val="44"/>
              <w:jc w:val="left"/>
              <w:rPr>
                <w:color w:val="auto"/>
              </w:rPr>
            </w:pPr>
            <w:r>
              <w:rPr>
                <w:color w:val="auto"/>
              </w:rPr>
              <w:t>3</w:t>
            </w:r>
            <w:r>
              <w:rPr>
                <w:rFonts w:hint="eastAsia"/>
                <w:color w:val="auto"/>
              </w:rPr>
              <w:t>）上架体和下架体未采用纵向连系梁将平面架体连成整体，扣</w:t>
            </w:r>
            <w:r>
              <w:rPr>
                <w:color w:val="auto"/>
              </w:rPr>
              <w:t>10</w:t>
            </w:r>
            <w:r>
              <w:rPr>
                <w:rFonts w:hint="eastAsia"/>
                <w:color w:val="auto"/>
              </w:rPr>
              <w:t>分</w:t>
            </w:r>
          </w:p>
          <w:p w14:paraId="07E619DF">
            <w:pPr>
              <w:pStyle w:val="44"/>
              <w:jc w:val="left"/>
              <w:rPr>
                <w:color w:val="auto"/>
              </w:rPr>
            </w:pPr>
            <w:r>
              <w:rPr>
                <w:color w:val="auto"/>
              </w:rPr>
              <w:t>4</w:t>
            </w:r>
            <w:r>
              <w:rPr>
                <w:rFonts w:hint="eastAsia"/>
                <w:color w:val="auto"/>
              </w:rPr>
              <w:t>）架体主框架水平支承跨度大于</w:t>
            </w:r>
            <w:r>
              <w:rPr>
                <w:color w:val="auto"/>
              </w:rPr>
              <w:t>6m</w:t>
            </w:r>
            <w:r>
              <w:rPr>
                <w:rFonts w:hint="eastAsia"/>
                <w:color w:val="auto"/>
              </w:rPr>
              <w:t>，扣</w:t>
            </w:r>
            <w:r>
              <w:rPr>
                <w:color w:val="auto"/>
              </w:rPr>
              <w:t>5</w:t>
            </w:r>
            <w:r>
              <w:rPr>
                <w:rFonts w:hint="eastAsia"/>
                <w:color w:val="auto"/>
              </w:rPr>
              <w:t>分</w:t>
            </w:r>
          </w:p>
          <w:p w14:paraId="4C0779C2">
            <w:pPr>
              <w:pStyle w:val="44"/>
              <w:jc w:val="left"/>
              <w:rPr>
                <w:color w:val="auto"/>
              </w:rPr>
            </w:pPr>
            <w:r>
              <w:rPr>
                <w:color w:val="auto"/>
              </w:rPr>
              <w:t>5</w:t>
            </w:r>
            <w:r>
              <w:rPr>
                <w:rFonts w:hint="eastAsia"/>
                <w:color w:val="auto"/>
              </w:rPr>
              <w:t>）架体的水平悬臂长度大于水平支承跨度的</w:t>
            </w:r>
            <w:r>
              <w:rPr>
                <w:color w:val="auto"/>
              </w:rPr>
              <w:t>1/3</w:t>
            </w:r>
            <w:r>
              <w:rPr>
                <w:rFonts w:hint="eastAsia"/>
                <w:color w:val="auto"/>
              </w:rPr>
              <w:t>或</w:t>
            </w:r>
            <w:r>
              <w:rPr>
                <w:color w:val="auto"/>
              </w:rPr>
              <w:t>3m</w:t>
            </w:r>
            <w:r>
              <w:rPr>
                <w:rFonts w:hint="eastAsia"/>
                <w:color w:val="auto"/>
              </w:rPr>
              <w:t>，扣</w:t>
            </w:r>
            <w:r>
              <w:rPr>
                <w:color w:val="auto"/>
              </w:rPr>
              <w:t>5</w:t>
            </w:r>
            <w:r>
              <w:rPr>
                <w:rFonts w:hint="eastAsia"/>
                <w:color w:val="auto"/>
              </w:rPr>
              <w:t>分</w:t>
            </w:r>
          </w:p>
          <w:p w14:paraId="0E6F9B13">
            <w:pPr>
              <w:pStyle w:val="44"/>
              <w:jc w:val="left"/>
              <w:rPr>
                <w:color w:val="auto"/>
              </w:rPr>
            </w:pPr>
            <w:r>
              <w:rPr>
                <w:color w:val="auto"/>
              </w:rPr>
              <w:t>6</w:t>
            </w:r>
            <w:r>
              <w:rPr>
                <w:rFonts w:hint="eastAsia"/>
                <w:color w:val="auto"/>
              </w:rPr>
              <w:t>）在爬升和使用工况下，架体竖向悬臂高度大于</w:t>
            </w:r>
            <w:r>
              <w:rPr>
                <w:color w:val="auto"/>
              </w:rPr>
              <w:t>7.2m</w:t>
            </w:r>
            <w:r>
              <w:rPr>
                <w:rFonts w:hint="eastAsia"/>
                <w:color w:val="auto"/>
              </w:rPr>
              <w:t>，扣</w:t>
            </w:r>
            <w:r>
              <w:rPr>
                <w:color w:val="auto"/>
              </w:rPr>
              <w:t>10</w:t>
            </w:r>
            <w:r>
              <w:rPr>
                <w:rFonts w:hint="eastAsia"/>
                <w:color w:val="auto"/>
              </w:rPr>
              <w:t>分</w:t>
            </w:r>
          </w:p>
        </w:tc>
        <w:tc>
          <w:tcPr>
            <w:tcW w:w="720" w:type="dxa"/>
            <w:vAlign w:val="center"/>
          </w:tcPr>
          <w:p w14:paraId="6BDEAB13">
            <w:pPr>
              <w:pStyle w:val="44"/>
              <w:rPr>
                <w:color w:val="auto"/>
              </w:rPr>
            </w:pPr>
            <w:r>
              <w:rPr>
                <w:color w:val="auto"/>
              </w:rPr>
              <w:t>10</w:t>
            </w:r>
          </w:p>
        </w:tc>
        <w:tc>
          <w:tcPr>
            <w:tcW w:w="720" w:type="dxa"/>
            <w:vAlign w:val="center"/>
          </w:tcPr>
          <w:p w14:paraId="70CABA7D">
            <w:pPr>
              <w:pStyle w:val="44"/>
              <w:rPr>
                <w:color w:val="auto"/>
              </w:rPr>
            </w:pPr>
          </w:p>
        </w:tc>
        <w:tc>
          <w:tcPr>
            <w:tcW w:w="720" w:type="dxa"/>
            <w:vAlign w:val="center"/>
          </w:tcPr>
          <w:p w14:paraId="1D1F7BE0">
            <w:pPr>
              <w:pStyle w:val="44"/>
              <w:rPr>
                <w:color w:val="auto"/>
              </w:rPr>
            </w:pPr>
          </w:p>
        </w:tc>
      </w:tr>
      <w:tr w14:paraId="28CC4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37CA12B4">
            <w:pPr>
              <w:pStyle w:val="44"/>
              <w:rPr>
                <w:color w:val="auto"/>
              </w:rPr>
            </w:pPr>
            <w:r>
              <w:rPr>
                <w:color w:val="auto"/>
              </w:rPr>
              <w:t>2</w:t>
            </w:r>
          </w:p>
        </w:tc>
        <w:tc>
          <w:tcPr>
            <w:tcW w:w="543" w:type="dxa"/>
            <w:vMerge w:val="continue"/>
          </w:tcPr>
          <w:p w14:paraId="1FDEE4C1">
            <w:pPr>
              <w:pStyle w:val="44"/>
              <w:rPr>
                <w:color w:val="auto"/>
              </w:rPr>
            </w:pPr>
          </w:p>
        </w:tc>
        <w:tc>
          <w:tcPr>
            <w:tcW w:w="898" w:type="dxa"/>
            <w:vAlign w:val="center"/>
          </w:tcPr>
          <w:p w14:paraId="2352C5F7">
            <w:pPr>
              <w:pStyle w:val="44"/>
              <w:rPr>
                <w:color w:val="auto"/>
              </w:rPr>
            </w:pPr>
            <w:r>
              <w:rPr>
                <w:rFonts w:hint="eastAsia"/>
                <w:color w:val="auto"/>
              </w:rPr>
              <w:t>安全防护</w:t>
            </w:r>
          </w:p>
        </w:tc>
        <w:tc>
          <w:tcPr>
            <w:tcW w:w="5580" w:type="dxa"/>
            <w:vAlign w:val="center"/>
          </w:tcPr>
          <w:p w14:paraId="0DFCE86C">
            <w:pPr>
              <w:pStyle w:val="44"/>
              <w:jc w:val="left"/>
              <w:rPr>
                <w:color w:val="auto"/>
              </w:rPr>
            </w:pPr>
            <w:r>
              <w:rPr>
                <w:color w:val="auto"/>
              </w:rPr>
              <w:t>1</w:t>
            </w:r>
            <w:r>
              <w:rPr>
                <w:rFonts w:hint="eastAsia"/>
                <w:color w:val="auto"/>
              </w:rPr>
              <w:t>）上下操作平台间未设置专用通行梯道，扣</w:t>
            </w:r>
            <w:r>
              <w:rPr>
                <w:color w:val="auto"/>
              </w:rPr>
              <w:t>10</w:t>
            </w:r>
            <w:r>
              <w:rPr>
                <w:rFonts w:hint="eastAsia"/>
                <w:color w:val="auto"/>
              </w:rPr>
              <w:t>分；梯道不牢固，或通行不畅通，扣</w:t>
            </w:r>
            <w:r>
              <w:rPr>
                <w:color w:val="auto"/>
              </w:rPr>
              <w:t>3-5</w:t>
            </w:r>
            <w:r>
              <w:rPr>
                <w:rFonts w:hint="eastAsia"/>
                <w:color w:val="auto"/>
              </w:rPr>
              <w:t>分</w:t>
            </w:r>
          </w:p>
          <w:p w14:paraId="4A7F9DBF">
            <w:pPr>
              <w:pStyle w:val="44"/>
              <w:jc w:val="left"/>
              <w:rPr>
                <w:color w:val="auto"/>
              </w:rPr>
            </w:pPr>
            <w:r>
              <w:rPr>
                <w:color w:val="auto"/>
              </w:rPr>
              <w:t>2</w:t>
            </w:r>
            <w:r>
              <w:rPr>
                <w:rFonts w:hint="eastAsia"/>
                <w:color w:val="auto"/>
              </w:rPr>
              <w:t>）上下操作平台未牢固满铺脚手板，扣</w:t>
            </w:r>
            <w:r>
              <w:rPr>
                <w:color w:val="auto"/>
              </w:rPr>
              <w:t>5</w:t>
            </w:r>
            <w:r>
              <w:rPr>
                <w:rFonts w:hint="eastAsia"/>
                <w:color w:val="auto"/>
              </w:rPr>
              <w:t>分</w:t>
            </w:r>
          </w:p>
          <w:p w14:paraId="555833F0">
            <w:pPr>
              <w:pStyle w:val="44"/>
              <w:jc w:val="left"/>
              <w:rPr>
                <w:color w:val="auto"/>
              </w:rPr>
            </w:pPr>
            <w:r>
              <w:rPr>
                <w:color w:val="auto"/>
              </w:rPr>
              <w:t>3</w:t>
            </w:r>
            <w:r>
              <w:rPr>
                <w:rFonts w:hint="eastAsia"/>
                <w:color w:val="auto"/>
              </w:rPr>
              <w:t>）上、下架体全高范围及吊平台底部未按临边作业要求设置安全防护栏杆、挡脚板、安全立网，扣</w:t>
            </w:r>
            <w:r>
              <w:rPr>
                <w:color w:val="auto"/>
              </w:rPr>
              <w:t>5-10</w:t>
            </w:r>
            <w:r>
              <w:rPr>
                <w:rFonts w:hint="eastAsia"/>
                <w:color w:val="auto"/>
              </w:rPr>
              <w:t>分</w:t>
            </w:r>
          </w:p>
          <w:p w14:paraId="0E02EAA3">
            <w:pPr>
              <w:pStyle w:val="44"/>
              <w:jc w:val="left"/>
              <w:rPr>
                <w:color w:val="auto"/>
              </w:rPr>
            </w:pPr>
            <w:r>
              <w:rPr>
                <w:color w:val="auto"/>
              </w:rPr>
              <w:t>4</w:t>
            </w:r>
            <w:r>
              <w:rPr>
                <w:rFonts w:hint="eastAsia"/>
                <w:color w:val="auto"/>
              </w:rPr>
              <w:t>）操作层未在外侧设置高度不低于</w:t>
            </w:r>
            <w:r>
              <w:rPr>
                <w:color w:val="auto"/>
              </w:rPr>
              <w:t>180mm</w:t>
            </w:r>
            <w:r>
              <w:rPr>
                <w:rFonts w:hint="eastAsia"/>
                <w:color w:val="auto"/>
              </w:rPr>
              <w:t>的挡脚板，扣</w:t>
            </w:r>
            <w:r>
              <w:rPr>
                <w:color w:val="auto"/>
              </w:rPr>
              <w:t>3</w:t>
            </w:r>
            <w:r>
              <w:rPr>
                <w:rFonts w:hint="eastAsia"/>
                <w:color w:val="auto"/>
              </w:rPr>
              <w:t>分</w:t>
            </w:r>
          </w:p>
          <w:p w14:paraId="7A3A6525">
            <w:pPr>
              <w:pStyle w:val="44"/>
              <w:jc w:val="left"/>
              <w:rPr>
                <w:color w:val="auto"/>
              </w:rPr>
            </w:pPr>
            <w:r>
              <w:rPr>
                <w:color w:val="auto"/>
              </w:rPr>
              <w:t>5</w:t>
            </w:r>
            <w:r>
              <w:rPr>
                <w:rFonts w:hint="eastAsia"/>
                <w:color w:val="auto"/>
              </w:rPr>
              <w:t>）下操作平台及吊平台与结构表面之间未设置翻板和兜网，扣</w:t>
            </w:r>
            <w:r>
              <w:rPr>
                <w:color w:val="auto"/>
              </w:rPr>
              <w:t>5</w:t>
            </w:r>
            <w:r>
              <w:rPr>
                <w:rFonts w:hint="eastAsia"/>
                <w:color w:val="auto"/>
              </w:rPr>
              <w:t>分</w:t>
            </w:r>
          </w:p>
          <w:p w14:paraId="4621B8A8">
            <w:pPr>
              <w:pStyle w:val="44"/>
              <w:jc w:val="left"/>
              <w:rPr>
                <w:color w:val="auto"/>
              </w:rPr>
            </w:pPr>
            <w:r>
              <w:rPr>
                <w:color w:val="auto"/>
              </w:rPr>
              <w:t>6</w:t>
            </w:r>
            <w:r>
              <w:rPr>
                <w:rFonts w:hint="eastAsia"/>
                <w:color w:val="auto"/>
              </w:rPr>
              <w:t>）操作平台上应按消防要求设置消防设施，扣</w:t>
            </w:r>
            <w:r>
              <w:rPr>
                <w:color w:val="auto"/>
              </w:rPr>
              <w:t>3</w:t>
            </w:r>
            <w:r>
              <w:rPr>
                <w:rFonts w:hint="eastAsia"/>
                <w:color w:val="auto"/>
              </w:rPr>
              <w:t>分</w:t>
            </w:r>
          </w:p>
        </w:tc>
        <w:tc>
          <w:tcPr>
            <w:tcW w:w="720" w:type="dxa"/>
            <w:vAlign w:val="center"/>
          </w:tcPr>
          <w:p w14:paraId="61949876">
            <w:pPr>
              <w:pStyle w:val="44"/>
              <w:rPr>
                <w:color w:val="auto"/>
              </w:rPr>
            </w:pPr>
            <w:r>
              <w:rPr>
                <w:color w:val="auto"/>
              </w:rPr>
              <w:t>10</w:t>
            </w:r>
          </w:p>
        </w:tc>
        <w:tc>
          <w:tcPr>
            <w:tcW w:w="720" w:type="dxa"/>
            <w:vAlign w:val="center"/>
          </w:tcPr>
          <w:p w14:paraId="191BD753">
            <w:pPr>
              <w:pStyle w:val="44"/>
              <w:rPr>
                <w:color w:val="auto"/>
              </w:rPr>
            </w:pPr>
          </w:p>
        </w:tc>
        <w:tc>
          <w:tcPr>
            <w:tcW w:w="720" w:type="dxa"/>
            <w:vAlign w:val="center"/>
          </w:tcPr>
          <w:p w14:paraId="16BB1130">
            <w:pPr>
              <w:pStyle w:val="44"/>
              <w:rPr>
                <w:color w:val="auto"/>
              </w:rPr>
            </w:pPr>
          </w:p>
        </w:tc>
      </w:tr>
      <w:tr w14:paraId="173F5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05CC644F">
            <w:pPr>
              <w:pStyle w:val="44"/>
              <w:rPr>
                <w:color w:val="auto"/>
              </w:rPr>
            </w:pPr>
            <w:r>
              <w:rPr>
                <w:color w:val="auto"/>
              </w:rPr>
              <w:t>3</w:t>
            </w:r>
          </w:p>
        </w:tc>
        <w:tc>
          <w:tcPr>
            <w:tcW w:w="543" w:type="dxa"/>
            <w:vMerge w:val="continue"/>
          </w:tcPr>
          <w:p w14:paraId="054C1799">
            <w:pPr>
              <w:pStyle w:val="44"/>
              <w:rPr>
                <w:color w:val="auto"/>
              </w:rPr>
            </w:pPr>
          </w:p>
        </w:tc>
        <w:tc>
          <w:tcPr>
            <w:tcW w:w="898" w:type="dxa"/>
            <w:vAlign w:val="center"/>
          </w:tcPr>
          <w:p w14:paraId="44FCE9E3">
            <w:pPr>
              <w:pStyle w:val="44"/>
              <w:rPr>
                <w:color w:val="auto"/>
              </w:rPr>
            </w:pPr>
            <w:r>
              <w:rPr>
                <w:rFonts w:hint="eastAsia"/>
                <w:color w:val="auto"/>
              </w:rPr>
              <w:t>安全作业</w:t>
            </w:r>
          </w:p>
        </w:tc>
        <w:tc>
          <w:tcPr>
            <w:tcW w:w="5580" w:type="dxa"/>
            <w:vAlign w:val="center"/>
          </w:tcPr>
          <w:p w14:paraId="01CF54B4">
            <w:pPr>
              <w:pStyle w:val="44"/>
              <w:jc w:val="left"/>
              <w:rPr>
                <w:color w:val="auto"/>
              </w:rPr>
            </w:pPr>
            <w:r>
              <w:rPr>
                <w:color w:val="auto"/>
              </w:rPr>
              <w:t>1</w:t>
            </w:r>
            <w:r>
              <w:rPr>
                <w:rFonts w:hint="eastAsia"/>
                <w:color w:val="auto"/>
              </w:rPr>
              <w:t>）爬模操作人员未经培训或未定岗定责，扣</w:t>
            </w:r>
            <w:r>
              <w:rPr>
                <w:color w:val="auto"/>
              </w:rPr>
              <w:t>10</w:t>
            </w:r>
            <w:r>
              <w:rPr>
                <w:rFonts w:hint="eastAsia"/>
                <w:color w:val="auto"/>
              </w:rPr>
              <w:t>分</w:t>
            </w:r>
          </w:p>
          <w:p w14:paraId="6A17C3EA">
            <w:pPr>
              <w:pStyle w:val="44"/>
              <w:jc w:val="left"/>
              <w:rPr>
                <w:color w:val="auto"/>
              </w:rPr>
            </w:pPr>
            <w:r>
              <w:rPr>
                <w:color w:val="auto"/>
              </w:rPr>
              <w:t>2</w:t>
            </w:r>
            <w:r>
              <w:rPr>
                <w:rFonts w:hint="eastAsia"/>
                <w:color w:val="auto"/>
              </w:rPr>
              <w:t>）操作平台上施工荷载不均匀，或超过设计允许范围，</w:t>
            </w:r>
            <w:r>
              <w:rPr>
                <w:color w:val="auto"/>
              </w:rPr>
              <w:t>10</w:t>
            </w:r>
            <w:r>
              <w:rPr>
                <w:rFonts w:hint="eastAsia"/>
                <w:color w:val="auto"/>
              </w:rPr>
              <w:t>分</w:t>
            </w:r>
          </w:p>
          <w:p w14:paraId="5682FF7F">
            <w:pPr>
              <w:pStyle w:val="44"/>
              <w:jc w:val="left"/>
              <w:rPr>
                <w:color w:val="auto"/>
              </w:rPr>
            </w:pPr>
            <w:r>
              <w:rPr>
                <w:color w:val="auto"/>
              </w:rPr>
              <w:t>3</w:t>
            </w:r>
            <w:r>
              <w:rPr>
                <w:rFonts w:hint="eastAsia"/>
                <w:color w:val="auto"/>
              </w:rPr>
              <w:t>）爬模装置安装、爬升、拆除时未设置安全警戒或未设置专人监护，扣</w:t>
            </w:r>
            <w:r>
              <w:rPr>
                <w:color w:val="auto"/>
              </w:rPr>
              <w:t>10</w:t>
            </w:r>
            <w:r>
              <w:rPr>
                <w:rFonts w:hint="eastAsia"/>
                <w:color w:val="auto"/>
              </w:rPr>
              <w:t>分</w:t>
            </w:r>
          </w:p>
          <w:p w14:paraId="00969BDF">
            <w:pPr>
              <w:pStyle w:val="44"/>
              <w:jc w:val="left"/>
              <w:rPr>
                <w:color w:val="auto"/>
              </w:rPr>
            </w:pPr>
            <w:r>
              <w:rPr>
                <w:color w:val="auto"/>
              </w:rPr>
              <w:t>4</w:t>
            </w:r>
            <w:r>
              <w:rPr>
                <w:rFonts w:hint="eastAsia"/>
                <w:color w:val="auto"/>
              </w:rPr>
              <w:t>）操作平台与地面之间无可靠的通信联络，或未统一指挥，扣</w:t>
            </w:r>
            <w:r>
              <w:rPr>
                <w:color w:val="auto"/>
              </w:rPr>
              <w:t>3-5</w:t>
            </w:r>
            <w:r>
              <w:rPr>
                <w:rFonts w:hint="eastAsia"/>
                <w:color w:val="auto"/>
              </w:rPr>
              <w:t>分</w:t>
            </w:r>
          </w:p>
        </w:tc>
        <w:tc>
          <w:tcPr>
            <w:tcW w:w="720" w:type="dxa"/>
            <w:vAlign w:val="center"/>
          </w:tcPr>
          <w:p w14:paraId="48D58D50">
            <w:pPr>
              <w:pStyle w:val="44"/>
              <w:rPr>
                <w:color w:val="auto"/>
              </w:rPr>
            </w:pPr>
            <w:r>
              <w:rPr>
                <w:color w:val="auto"/>
              </w:rPr>
              <w:t>10</w:t>
            </w:r>
          </w:p>
        </w:tc>
        <w:tc>
          <w:tcPr>
            <w:tcW w:w="720" w:type="dxa"/>
            <w:vAlign w:val="center"/>
          </w:tcPr>
          <w:p w14:paraId="71FFC103">
            <w:pPr>
              <w:pStyle w:val="44"/>
              <w:rPr>
                <w:color w:val="auto"/>
              </w:rPr>
            </w:pPr>
          </w:p>
        </w:tc>
        <w:tc>
          <w:tcPr>
            <w:tcW w:w="720" w:type="dxa"/>
            <w:vAlign w:val="center"/>
          </w:tcPr>
          <w:p w14:paraId="049652DC">
            <w:pPr>
              <w:pStyle w:val="44"/>
              <w:rPr>
                <w:color w:val="auto"/>
              </w:rPr>
            </w:pPr>
          </w:p>
        </w:tc>
      </w:tr>
      <w:tr w14:paraId="7A436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7EBAC3AF">
            <w:pPr>
              <w:pStyle w:val="44"/>
              <w:rPr>
                <w:color w:val="auto"/>
              </w:rPr>
            </w:pPr>
          </w:p>
        </w:tc>
        <w:tc>
          <w:tcPr>
            <w:tcW w:w="543" w:type="dxa"/>
            <w:vMerge w:val="continue"/>
          </w:tcPr>
          <w:p w14:paraId="3226AD5C">
            <w:pPr>
              <w:pStyle w:val="44"/>
              <w:rPr>
                <w:color w:val="auto"/>
              </w:rPr>
            </w:pPr>
          </w:p>
        </w:tc>
        <w:tc>
          <w:tcPr>
            <w:tcW w:w="6478" w:type="dxa"/>
            <w:gridSpan w:val="2"/>
            <w:vAlign w:val="center"/>
          </w:tcPr>
          <w:p w14:paraId="5368CB21">
            <w:pPr>
              <w:pStyle w:val="44"/>
              <w:rPr>
                <w:b/>
                <w:bCs w:val="0"/>
                <w:color w:val="auto"/>
              </w:rPr>
            </w:pPr>
            <w:r>
              <w:rPr>
                <w:rFonts w:hint="eastAsia"/>
                <w:b/>
                <w:bCs w:val="0"/>
                <w:color w:val="auto"/>
              </w:rPr>
              <w:t>小</w:t>
            </w:r>
            <w:r>
              <w:rPr>
                <w:b/>
                <w:bCs w:val="0"/>
                <w:color w:val="auto"/>
              </w:rPr>
              <w:t xml:space="preserve">  </w:t>
            </w:r>
            <w:r>
              <w:rPr>
                <w:rFonts w:hint="eastAsia"/>
                <w:b/>
                <w:bCs w:val="0"/>
                <w:color w:val="auto"/>
              </w:rPr>
              <w:t>计</w:t>
            </w:r>
          </w:p>
        </w:tc>
        <w:tc>
          <w:tcPr>
            <w:tcW w:w="720" w:type="dxa"/>
            <w:vAlign w:val="center"/>
          </w:tcPr>
          <w:p w14:paraId="7A5FA446">
            <w:pPr>
              <w:pStyle w:val="44"/>
              <w:rPr>
                <w:color w:val="auto"/>
              </w:rPr>
            </w:pPr>
            <w:r>
              <w:rPr>
                <w:color w:val="auto"/>
              </w:rPr>
              <w:t>30</w:t>
            </w:r>
          </w:p>
        </w:tc>
        <w:tc>
          <w:tcPr>
            <w:tcW w:w="720" w:type="dxa"/>
            <w:vAlign w:val="center"/>
          </w:tcPr>
          <w:p w14:paraId="6B717DD8">
            <w:pPr>
              <w:pStyle w:val="44"/>
              <w:rPr>
                <w:color w:val="auto"/>
              </w:rPr>
            </w:pPr>
          </w:p>
        </w:tc>
        <w:tc>
          <w:tcPr>
            <w:tcW w:w="720" w:type="dxa"/>
            <w:vAlign w:val="center"/>
          </w:tcPr>
          <w:p w14:paraId="471FC229">
            <w:pPr>
              <w:pStyle w:val="44"/>
              <w:rPr>
                <w:color w:val="auto"/>
              </w:rPr>
            </w:pPr>
          </w:p>
        </w:tc>
      </w:tr>
      <w:tr w14:paraId="1C3FE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trPr>
        <w:tc>
          <w:tcPr>
            <w:tcW w:w="7560" w:type="dxa"/>
            <w:gridSpan w:val="4"/>
            <w:vAlign w:val="center"/>
          </w:tcPr>
          <w:p w14:paraId="62E70A0B">
            <w:pPr>
              <w:pStyle w:val="44"/>
              <w:rPr>
                <w:b/>
                <w:bCs w:val="0"/>
                <w:color w:val="auto"/>
              </w:rPr>
            </w:pPr>
            <w:r>
              <w:rPr>
                <w:rFonts w:hint="eastAsia"/>
                <w:b/>
                <w:bCs w:val="0"/>
                <w:color w:val="auto"/>
              </w:rPr>
              <w:t>检查项目合计</w:t>
            </w:r>
          </w:p>
        </w:tc>
        <w:tc>
          <w:tcPr>
            <w:tcW w:w="720" w:type="dxa"/>
            <w:vAlign w:val="center"/>
          </w:tcPr>
          <w:p w14:paraId="13DAD53B">
            <w:pPr>
              <w:pStyle w:val="44"/>
              <w:rPr>
                <w:color w:val="auto"/>
              </w:rPr>
            </w:pPr>
            <w:r>
              <w:rPr>
                <w:color w:val="auto"/>
              </w:rPr>
              <w:t>100</w:t>
            </w:r>
          </w:p>
        </w:tc>
        <w:tc>
          <w:tcPr>
            <w:tcW w:w="720" w:type="dxa"/>
            <w:vAlign w:val="center"/>
          </w:tcPr>
          <w:p w14:paraId="0AF2E21D">
            <w:pPr>
              <w:pStyle w:val="44"/>
              <w:rPr>
                <w:color w:val="auto"/>
              </w:rPr>
            </w:pPr>
          </w:p>
        </w:tc>
        <w:tc>
          <w:tcPr>
            <w:tcW w:w="720" w:type="dxa"/>
            <w:vAlign w:val="center"/>
          </w:tcPr>
          <w:p w14:paraId="1938B345">
            <w:pPr>
              <w:pStyle w:val="44"/>
              <w:rPr>
                <w:color w:val="auto"/>
              </w:rPr>
            </w:pPr>
          </w:p>
        </w:tc>
      </w:tr>
    </w:tbl>
    <w:p w14:paraId="1AE3B1D6"/>
    <w:p w14:paraId="5069BB67">
      <w:pPr>
        <w:pStyle w:val="5"/>
      </w:pPr>
      <w:r>
        <w:rPr>
          <w:rFonts w:hint="eastAsia"/>
        </w:rPr>
        <w:br w:type="page"/>
      </w:r>
      <w:bookmarkStart w:id="76" w:name="_Toc17712"/>
      <w:bookmarkStart w:id="77" w:name="_Toc26964"/>
      <w:bookmarkStart w:id="78" w:name="_Toc11137"/>
      <w:r>
        <w:rPr>
          <w:rFonts w:hint="eastAsia"/>
        </w:rPr>
        <w:t>表B.</w:t>
      </w:r>
      <w:r>
        <w:t>23</w:t>
      </w:r>
      <w:r>
        <w:rPr>
          <w:rFonts w:hint="eastAsia"/>
        </w:rPr>
        <w:t xml:space="preserve">  矿山法隧道检查</w:t>
      </w:r>
      <w:r>
        <w:t>评分表</w:t>
      </w:r>
      <w:bookmarkEnd w:id="76"/>
      <w:bookmarkEnd w:id="77"/>
      <w:bookmarkEnd w:id="78"/>
    </w:p>
    <w:tbl>
      <w:tblPr>
        <w:tblStyle w:val="19"/>
        <w:tblpPr w:leftFromText="180" w:rightFromText="180" w:vertAnchor="text" w:horzAnchor="page" w:tblpX="1150" w:tblpY="631"/>
        <w:tblOverlap w:val="never"/>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2EED7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trPr>
        <w:tc>
          <w:tcPr>
            <w:tcW w:w="539" w:type="dxa"/>
            <w:vAlign w:val="center"/>
          </w:tcPr>
          <w:p w14:paraId="7200198E">
            <w:pPr>
              <w:pStyle w:val="44"/>
              <w:rPr>
                <w:color w:val="auto"/>
              </w:rPr>
            </w:pPr>
            <w:r>
              <w:rPr>
                <w:rFonts w:hint="eastAsia"/>
                <w:color w:val="auto"/>
              </w:rPr>
              <w:t>序号</w:t>
            </w:r>
          </w:p>
        </w:tc>
        <w:tc>
          <w:tcPr>
            <w:tcW w:w="1441" w:type="dxa"/>
            <w:gridSpan w:val="2"/>
            <w:vAlign w:val="center"/>
          </w:tcPr>
          <w:p w14:paraId="6605A41D">
            <w:pPr>
              <w:pStyle w:val="44"/>
              <w:rPr>
                <w:color w:val="auto"/>
              </w:rPr>
            </w:pPr>
            <w:r>
              <w:rPr>
                <w:rFonts w:hint="eastAsia"/>
                <w:color w:val="auto"/>
              </w:rPr>
              <w:t>检查项目</w:t>
            </w:r>
          </w:p>
        </w:tc>
        <w:tc>
          <w:tcPr>
            <w:tcW w:w="5580" w:type="dxa"/>
            <w:vAlign w:val="center"/>
          </w:tcPr>
          <w:p w14:paraId="541C962D">
            <w:pPr>
              <w:pStyle w:val="44"/>
              <w:rPr>
                <w:color w:val="auto"/>
              </w:rPr>
            </w:pPr>
            <w:r>
              <w:rPr>
                <w:rFonts w:hint="eastAsia"/>
                <w:color w:val="auto"/>
              </w:rPr>
              <w:t>扣</w:t>
            </w:r>
            <w:r>
              <w:rPr>
                <w:color w:val="auto"/>
              </w:rPr>
              <w:t xml:space="preserve"> </w:t>
            </w:r>
            <w:r>
              <w:rPr>
                <w:rFonts w:hint="eastAsia"/>
                <w:color w:val="auto"/>
              </w:rPr>
              <w:t>分</w:t>
            </w:r>
            <w:r>
              <w:rPr>
                <w:color w:val="auto"/>
              </w:rPr>
              <w:t xml:space="preserve"> </w:t>
            </w:r>
            <w:r>
              <w:rPr>
                <w:rFonts w:hint="eastAsia"/>
                <w:color w:val="auto"/>
              </w:rPr>
              <w:t>标</w:t>
            </w:r>
            <w:r>
              <w:rPr>
                <w:color w:val="auto"/>
              </w:rPr>
              <w:t xml:space="preserve"> </w:t>
            </w:r>
            <w:r>
              <w:rPr>
                <w:rFonts w:hint="eastAsia"/>
                <w:color w:val="auto"/>
              </w:rPr>
              <w:t>准</w:t>
            </w:r>
          </w:p>
        </w:tc>
        <w:tc>
          <w:tcPr>
            <w:tcW w:w="720" w:type="dxa"/>
            <w:vAlign w:val="center"/>
          </w:tcPr>
          <w:p w14:paraId="57245661">
            <w:pPr>
              <w:pStyle w:val="44"/>
              <w:rPr>
                <w:color w:val="auto"/>
              </w:rPr>
            </w:pPr>
            <w:r>
              <w:rPr>
                <w:rFonts w:hint="eastAsia"/>
                <w:color w:val="auto"/>
              </w:rPr>
              <w:t>应得</w:t>
            </w:r>
          </w:p>
          <w:p w14:paraId="7631F6FC">
            <w:pPr>
              <w:pStyle w:val="44"/>
              <w:rPr>
                <w:color w:val="auto"/>
              </w:rPr>
            </w:pPr>
            <w:r>
              <w:rPr>
                <w:rFonts w:hint="eastAsia"/>
                <w:color w:val="auto"/>
              </w:rPr>
              <w:t>分数</w:t>
            </w:r>
          </w:p>
        </w:tc>
        <w:tc>
          <w:tcPr>
            <w:tcW w:w="720" w:type="dxa"/>
            <w:vAlign w:val="center"/>
          </w:tcPr>
          <w:p w14:paraId="242F055E">
            <w:pPr>
              <w:pStyle w:val="44"/>
              <w:rPr>
                <w:color w:val="auto"/>
              </w:rPr>
            </w:pPr>
            <w:r>
              <w:rPr>
                <w:rFonts w:hint="eastAsia"/>
                <w:color w:val="auto"/>
              </w:rPr>
              <w:t>扣减</w:t>
            </w:r>
          </w:p>
          <w:p w14:paraId="736A7FC7">
            <w:pPr>
              <w:pStyle w:val="44"/>
              <w:rPr>
                <w:color w:val="auto"/>
              </w:rPr>
            </w:pPr>
            <w:r>
              <w:rPr>
                <w:rFonts w:hint="eastAsia"/>
                <w:color w:val="auto"/>
              </w:rPr>
              <w:t>分数</w:t>
            </w:r>
          </w:p>
        </w:tc>
        <w:tc>
          <w:tcPr>
            <w:tcW w:w="720" w:type="dxa"/>
            <w:vAlign w:val="center"/>
          </w:tcPr>
          <w:p w14:paraId="52E96264">
            <w:pPr>
              <w:pStyle w:val="44"/>
              <w:rPr>
                <w:color w:val="auto"/>
              </w:rPr>
            </w:pPr>
            <w:r>
              <w:rPr>
                <w:rFonts w:hint="eastAsia"/>
                <w:color w:val="auto"/>
              </w:rPr>
              <w:t>实得</w:t>
            </w:r>
          </w:p>
          <w:p w14:paraId="4AE2C610">
            <w:pPr>
              <w:pStyle w:val="44"/>
              <w:rPr>
                <w:color w:val="auto"/>
              </w:rPr>
            </w:pPr>
            <w:r>
              <w:rPr>
                <w:rFonts w:hint="eastAsia"/>
                <w:color w:val="auto"/>
              </w:rPr>
              <w:t>分数</w:t>
            </w:r>
          </w:p>
        </w:tc>
      </w:tr>
      <w:tr w14:paraId="4019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trPr>
        <w:tc>
          <w:tcPr>
            <w:tcW w:w="539" w:type="dxa"/>
            <w:vAlign w:val="center"/>
          </w:tcPr>
          <w:p w14:paraId="47F15384">
            <w:pPr>
              <w:pStyle w:val="44"/>
              <w:rPr>
                <w:color w:val="auto"/>
              </w:rPr>
            </w:pPr>
            <w:r>
              <w:rPr>
                <w:color w:val="auto"/>
              </w:rPr>
              <w:t>1</w:t>
            </w:r>
          </w:p>
        </w:tc>
        <w:tc>
          <w:tcPr>
            <w:tcW w:w="543" w:type="dxa"/>
            <w:vMerge w:val="restart"/>
            <w:vAlign w:val="center"/>
          </w:tcPr>
          <w:p w14:paraId="327096DA">
            <w:pPr>
              <w:pStyle w:val="44"/>
              <w:rPr>
                <w:color w:val="auto"/>
              </w:rPr>
            </w:pPr>
            <w:r>
              <w:rPr>
                <w:rFonts w:hint="eastAsia"/>
                <w:color w:val="auto"/>
              </w:rPr>
              <w:t>保</w:t>
            </w:r>
          </w:p>
          <w:p w14:paraId="6DC47CF5">
            <w:pPr>
              <w:pStyle w:val="44"/>
              <w:rPr>
                <w:color w:val="auto"/>
              </w:rPr>
            </w:pPr>
            <w:r>
              <w:rPr>
                <w:rFonts w:hint="eastAsia"/>
                <w:color w:val="auto"/>
              </w:rPr>
              <w:t>证</w:t>
            </w:r>
          </w:p>
          <w:p w14:paraId="0CB349FA">
            <w:pPr>
              <w:pStyle w:val="44"/>
              <w:rPr>
                <w:color w:val="auto"/>
              </w:rPr>
            </w:pPr>
            <w:r>
              <w:rPr>
                <w:rFonts w:hint="eastAsia"/>
                <w:color w:val="auto"/>
              </w:rPr>
              <w:t>项</w:t>
            </w:r>
          </w:p>
          <w:p w14:paraId="259DA79A">
            <w:pPr>
              <w:pStyle w:val="44"/>
              <w:rPr>
                <w:color w:val="auto"/>
              </w:rPr>
            </w:pPr>
            <w:r>
              <w:rPr>
                <w:rFonts w:hint="eastAsia"/>
                <w:color w:val="auto"/>
              </w:rPr>
              <w:t>目</w:t>
            </w:r>
          </w:p>
        </w:tc>
        <w:tc>
          <w:tcPr>
            <w:tcW w:w="898" w:type="dxa"/>
            <w:vAlign w:val="center"/>
          </w:tcPr>
          <w:p w14:paraId="58F06321">
            <w:pPr>
              <w:pStyle w:val="44"/>
              <w:rPr>
                <w:color w:val="auto"/>
              </w:rPr>
            </w:pPr>
            <w:r>
              <w:rPr>
                <w:rFonts w:hint="eastAsia"/>
                <w:color w:val="auto"/>
              </w:rPr>
              <w:t>施工方案</w:t>
            </w:r>
          </w:p>
        </w:tc>
        <w:tc>
          <w:tcPr>
            <w:tcW w:w="5580" w:type="dxa"/>
            <w:vAlign w:val="center"/>
          </w:tcPr>
          <w:p w14:paraId="0B676469">
            <w:pPr>
              <w:pStyle w:val="44"/>
              <w:jc w:val="left"/>
              <w:rPr>
                <w:color w:val="auto"/>
              </w:rPr>
            </w:pPr>
            <w:r>
              <w:rPr>
                <w:color w:val="auto"/>
              </w:rPr>
              <w:t>1</w:t>
            </w:r>
            <w:r>
              <w:rPr>
                <w:rFonts w:hint="eastAsia"/>
                <w:color w:val="auto"/>
              </w:rPr>
              <w:t>）编制方案前未对工程周边环境进行核查或未进行安全评估，扣</w:t>
            </w:r>
            <w:r>
              <w:rPr>
                <w:color w:val="auto"/>
              </w:rPr>
              <w:t>10</w:t>
            </w:r>
            <w:r>
              <w:rPr>
                <w:rFonts w:hint="eastAsia"/>
                <w:color w:val="auto"/>
              </w:rPr>
              <w:t>分</w:t>
            </w:r>
          </w:p>
          <w:p w14:paraId="1CD6E99B">
            <w:pPr>
              <w:pStyle w:val="44"/>
              <w:jc w:val="left"/>
              <w:rPr>
                <w:color w:val="auto"/>
              </w:rPr>
            </w:pPr>
            <w:r>
              <w:rPr>
                <w:color w:val="auto"/>
              </w:rPr>
              <w:t>2)</w:t>
            </w:r>
            <w:r>
              <w:rPr>
                <w:rFonts w:hint="eastAsia"/>
                <w:color w:val="auto"/>
              </w:rPr>
              <w:t>未按规定编制专项施工方案，或模板台车、作业架未经设计计算，扣</w:t>
            </w:r>
            <w:r>
              <w:rPr>
                <w:color w:val="auto"/>
              </w:rPr>
              <w:t>10</w:t>
            </w:r>
            <w:r>
              <w:rPr>
                <w:rFonts w:hint="eastAsia"/>
                <w:color w:val="auto"/>
              </w:rPr>
              <w:t>分；方案编制内容不全或无针对性，扣</w:t>
            </w:r>
            <w:r>
              <w:rPr>
                <w:color w:val="auto"/>
              </w:rPr>
              <w:t>2-10</w:t>
            </w:r>
            <w:r>
              <w:rPr>
                <w:rFonts w:hint="eastAsia"/>
                <w:color w:val="auto"/>
              </w:rPr>
              <w:t>分</w:t>
            </w:r>
          </w:p>
          <w:p w14:paraId="16D883B0">
            <w:pPr>
              <w:pStyle w:val="44"/>
              <w:jc w:val="left"/>
              <w:rPr>
                <w:color w:val="auto"/>
              </w:rPr>
            </w:pPr>
            <w:r>
              <w:rPr>
                <w:color w:val="auto"/>
              </w:rPr>
              <w:t>3</w:t>
            </w:r>
            <w:r>
              <w:rPr>
                <w:rFonts w:hint="eastAsia"/>
                <w:color w:val="auto"/>
              </w:rPr>
              <w:t>）钻爆作业前未按规定编制爆破专项施工方案，或未进行爆破方案设计，扣</w:t>
            </w:r>
            <w:r>
              <w:rPr>
                <w:color w:val="auto"/>
              </w:rPr>
              <w:t>10</w:t>
            </w:r>
            <w:r>
              <w:rPr>
                <w:rFonts w:hint="eastAsia"/>
                <w:color w:val="auto"/>
              </w:rPr>
              <w:t>分；方案编制内容不全或无针对性，扣</w:t>
            </w:r>
            <w:r>
              <w:rPr>
                <w:color w:val="auto"/>
              </w:rPr>
              <w:t>2-10</w:t>
            </w:r>
            <w:r>
              <w:rPr>
                <w:rFonts w:hint="eastAsia"/>
                <w:color w:val="auto"/>
              </w:rPr>
              <w:t>分</w:t>
            </w:r>
          </w:p>
          <w:p w14:paraId="38656B59">
            <w:pPr>
              <w:pStyle w:val="44"/>
              <w:jc w:val="left"/>
              <w:rPr>
                <w:color w:val="auto"/>
              </w:rPr>
            </w:pPr>
            <w:r>
              <w:rPr>
                <w:color w:val="auto"/>
              </w:rPr>
              <w:t>4</w:t>
            </w:r>
            <w:r>
              <w:rPr>
                <w:rFonts w:hint="eastAsia"/>
                <w:color w:val="auto"/>
              </w:rPr>
              <w:t>）未对特殊部位、工序制定专项方案或专项措施，每项扣</w:t>
            </w:r>
            <w:r>
              <w:rPr>
                <w:color w:val="auto"/>
              </w:rPr>
              <w:t>5</w:t>
            </w:r>
            <w:r>
              <w:rPr>
                <w:rFonts w:hint="eastAsia"/>
                <w:color w:val="auto"/>
              </w:rPr>
              <w:t>分</w:t>
            </w:r>
          </w:p>
          <w:p w14:paraId="02131C8D">
            <w:pPr>
              <w:pStyle w:val="44"/>
              <w:jc w:val="left"/>
              <w:rPr>
                <w:color w:val="auto"/>
              </w:rPr>
            </w:pPr>
            <w:r>
              <w:rPr>
                <w:color w:val="auto"/>
              </w:rPr>
              <w:t>5</w:t>
            </w:r>
            <w:r>
              <w:rPr>
                <w:rFonts w:hint="eastAsia"/>
                <w:color w:val="auto"/>
              </w:rPr>
              <w:t>）专项施工方案未按规定进行审核、审批，扣</w:t>
            </w:r>
            <w:r>
              <w:rPr>
                <w:color w:val="auto"/>
              </w:rPr>
              <w:t>10</w:t>
            </w:r>
            <w:r>
              <w:rPr>
                <w:rFonts w:hint="eastAsia"/>
                <w:color w:val="auto"/>
              </w:rPr>
              <w:t>分</w:t>
            </w:r>
          </w:p>
          <w:p w14:paraId="0EF9800D">
            <w:pPr>
              <w:pStyle w:val="44"/>
              <w:jc w:val="left"/>
              <w:rPr>
                <w:color w:val="auto"/>
              </w:rPr>
            </w:pPr>
            <w:r>
              <w:rPr>
                <w:color w:val="auto"/>
              </w:rPr>
              <w:t>6</w:t>
            </w:r>
            <w:r>
              <w:rPr>
                <w:rFonts w:hint="eastAsia"/>
                <w:color w:val="auto"/>
              </w:rPr>
              <w:t>）未按规定组织专家对专项施工方案、爆破专项方案、超规模的非标准段支模体系专项施工方案进行论证，扣</w:t>
            </w:r>
            <w:r>
              <w:rPr>
                <w:color w:val="auto"/>
              </w:rPr>
              <w:t>10</w:t>
            </w:r>
            <w:r>
              <w:rPr>
                <w:rFonts w:hint="eastAsia"/>
                <w:color w:val="auto"/>
              </w:rPr>
              <w:t>分</w:t>
            </w:r>
          </w:p>
          <w:p w14:paraId="260DCCC8">
            <w:pPr>
              <w:pStyle w:val="44"/>
              <w:jc w:val="left"/>
              <w:rPr>
                <w:color w:val="auto"/>
              </w:rPr>
            </w:pPr>
            <w:r>
              <w:rPr>
                <w:color w:val="auto"/>
              </w:rPr>
              <w:t>7</w:t>
            </w:r>
            <w:r>
              <w:rPr>
                <w:rFonts w:hint="eastAsia"/>
                <w:color w:val="auto"/>
              </w:rPr>
              <w:t>）专项施工方案实施前，未进行安全技术交底，扣</w:t>
            </w:r>
            <w:r>
              <w:rPr>
                <w:color w:val="auto"/>
              </w:rPr>
              <w:t>10</w:t>
            </w:r>
            <w:r>
              <w:rPr>
                <w:rFonts w:hint="eastAsia"/>
                <w:color w:val="auto"/>
              </w:rPr>
              <w:t>分；交底无针对性或无文字记录，扣</w:t>
            </w:r>
            <w:r>
              <w:rPr>
                <w:color w:val="auto"/>
              </w:rPr>
              <w:t>2-5</w:t>
            </w:r>
            <w:r>
              <w:rPr>
                <w:rFonts w:hint="eastAsia"/>
                <w:color w:val="auto"/>
              </w:rPr>
              <w:t>分</w:t>
            </w:r>
          </w:p>
          <w:p w14:paraId="2DF5B2D1">
            <w:pPr>
              <w:pStyle w:val="44"/>
              <w:jc w:val="left"/>
              <w:rPr>
                <w:color w:val="auto"/>
              </w:rPr>
            </w:pPr>
            <w:r>
              <w:rPr>
                <w:color w:val="auto"/>
              </w:rPr>
              <w:t>8</w:t>
            </w:r>
            <w:r>
              <w:rPr>
                <w:rFonts w:hint="eastAsia"/>
                <w:color w:val="auto"/>
              </w:rPr>
              <w:t>）未按规定编制现场应急预案或应急预案内容不全、针对性不强，扣</w:t>
            </w:r>
            <w:r>
              <w:rPr>
                <w:color w:val="auto"/>
              </w:rPr>
              <w:t>10</w:t>
            </w:r>
            <w:r>
              <w:rPr>
                <w:rFonts w:hint="eastAsia"/>
                <w:color w:val="auto"/>
              </w:rPr>
              <w:t>分</w:t>
            </w:r>
          </w:p>
        </w:tc>
        <w:tc>
          <w:tcPr>
            <w:tcW w:w="720" w:type="dxa"/>
            <w:vAlign w:val="center"/>
          </w:tcPr>
          <w:p w14:paraId="64CE179A">
            <w:pPr>
              <w:pStyle w:val="44"/>
              <w:rPr>
                <w:color w:val="auto"/>
              </w:rPr>
            </w:pPr>
            <w:r>
              <w:rPr>
                <w:color w:val="auto"/>
              </w:rPr>
              <w:t>10</w:t>
            </w:r>
          </w:p>
        </w:tc>
        <w:tc>
          <w:tcPr>
            <w:tcW w:w="720" w:type="dxa"/>
            <w:vAlign w:val="center"/>
          </w:tcPr>
          <w:p w14:paraId="69CB7F07">
            <w:pPr>
              <w:pStyle w:val="44"/>
              <w:rPr>
                <w:color w:val="auto"/>
              </w:rPr>
            </w:pPr>
          </w:p>
        </w:tc>
        <w:tc>
          <w:tcPr>
            <w:tcW w:w="720" w:type="dxa"/>
            <w:vAlign w:val="center"/>
          </w:tcPr>
          <w:p w14:paraId="3E894986">
            <w:pPr>
              <w:pStyle w:val="44"/>
              <w:rPr>
                <w:color w:val="auto"/>
              </w:rPr>
            </w:pPr>
          </w:p>
        </w:tc>
      </w:tr>
      <w:tr w14:paraId="6C86F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trPr>
        <w:tc>
          <w:tcPr>
            <w:tcW w:w="539" w:type="dxa"/>
            <w:vAlign w:val="center"/>
          </w:tcPr>
          <w:p w14:paraId="513A9A1E">
            <w:pPr>
              <w:pStyle w:val="44"/>
              <w:rPr>
                <w:color w:val="auto"/>
              </w:rPr>
            </w:pPr>
            <w:r>
              <w:rPr>
                <w:color w:val="auto"/>
              </w:rPr>
              <w:t>2</w:t>
            </w:r>
          </w:p>
        </w:tc>
        <w:tc>
          <w:tcPr>
            <w:tcW w:w="543" w:type="dxa"/>
            <w:vMerge w:val="continue"/>
          </w:tcPr>
          <w:p w14:paraId="1ACA5581">
            <w:pPr>
              <w:pStyle w:val="44"/>
              <w:rPr>
                <w:color w:val="auto"/>
              </w:rPr>
            </w:pPr>
          </w:p>
        </w:tc>
        <w:tc>
          <w:tcPr>
            <w:tcW w:w="898" w:type="dxa"/>
            <w:vAlign w:val="center"/>
          </w:tcPr>
          <w:p w14:paraId="48A96629">
            <w:pPr>
              <w:pStyle w:val="44"/>
              <w:rPr>
                <w:color w:val="auto"/>
              </w:rPr>
            </w:pPr>
            <w:r>
              <w:rPr>
                <w:rFonts w:hint="eastAsia"/>
                <w:color w:val="auto"/>
              </w:rPr>
              <w:t>洞口及交叉口工程</w:t>
            </w:r>
          </w:p>
        </w:tc>
        <w:tc>
          <w:tcPr>
            <w:tcW w:w="5580" w:type="dxa"/>
            <w:vAlign w:val="center"/>
          </w:tcPr>
          <w:p w14:paraId="20C30525">
            <w:pPr>
              <w:pStyle w:val="44"/>
              <w:jc w:val="left"/>
              <w:rPr>
                <w:color w:val="auto"/>
              </w:rPr>
            </w:pPr>
            <w:r>
              <w:rPr>
                <w:color w:val="auto"/>
              </w:rPr>
              <w:t>1</w:t>
            </w:r>
            <w:r>
              <w:rPr>
                <w:rFonts w:hint="eastAsia"/>
                <w:color w:val="auto"/>
              </w:rPr>
              <w:t>）洞口未按专项施工方案要求采取加固措施，扣</w:t>
            </w:r>
            <w:r>
              <w:rPr>
                <w:color w:val="auto"/>
              </w:rPr>
              <w:t>10</w:t>
            </w:r>
            <w:r>
              <w:rPr>
                <w:rFonts w:hint="eastAsia"/>
                <w:color w:val="auto"/>
              </w:rPr>
              <w:t>分</w:t>
            </w:r>
          </w:p>
          <w:p w14:paraId="732A8A3D">
            <w:pPr>
              <w:pStyle w:val="44"/>
              <w:jc w:val="left"/>
              <w:rPr>
                <w:color w:val="auto"/>
              </w:rPr>
            </w:pPr>
            <w:r>
              <w:rPr>
                <w:color w:val="auto"/>
              </w:rPr>
              <w:t>2</w:t>
            </w:r>
            <w:r>
              <w:rPr>
                <w:rFonts w:hint="eastAsia"/>
                <w:color w:val="auto"/>
              </w:rPr>
              <w:t>）洞口边坡和仰坡未按设计要求施工或未自上而下施工，扣</w:t>
            </w:r>
            <w:r>
              <w:rPr>
                <w:color w:val="auto"/>
              </w:rPr>
              <w:t>5</w:t>
            </w:r>
            <w:r>
              <w:rPr>
                <w:rFonts w:hint="eastAsia"/>
                <w:color w:val="auto"/>
              </w:rPr>
              <w:t>分</w:t>
            </w:r>
          </w:p>
          <w:p w14:paraId="69A88C0F">
            <w:pPr>
              <w:pStyle w:val="44"/>
              <w:jc w:val="left"/>
              <w:rPr>
                <w:color w:val="auto"/>
              </w:rPr>
            </w:pPr>
            <w:r>
              <w:rPr>
                <w:color w:val="auto"/>
              </w:rPr>
              <w:t>3</w:t>
            </w:r>
            <w:r>
              <w:rPr>
                <w:rFonts w:hint="eastAsia"/>
                <w:color w:val="auto"/>
              </w:rPr>
              <w:t>）未施作截、排水系统，扣</w:t>
            </w:r>
            <w:r>
              <w:rPr>
                <w:color w:val="auto"/>
              </w:rPr>
              <w:t>5</w:t>
            </w:r>
            <w:r>
              <w:rPr>
                <w:rFonts w:hint="eastAsia"/>
                <w:color w:val="auto"/>
              </w:rPr>
              <w:t>分</w:t>
            </w:r>
          </w:p>
          <w:p w14:paraId="26183145">
            <w:pPr>
              <w:pStyle w:val="44"/>
              <w:jc w:val="left"/>
              <w:rPr>
                <w:color w:val="auto"/>
              </w:rPr>
            </w:pPr>
            <w:r>
              <w:rPr>
                <w:color w:val="auto"/>
              </w:rPr>
              <w:t>4</w:t>
            </w:r>
            <w:r>
              <w:rPr>
                <w:rFonts w:hint="eastAsia"/>
                <w:color w:val="auto"/>
              </w:rPr>
              <w:t>）横通道、竖井或正洞连接处未按设计要求进行加固，扣</w:t>
            </w:r>
            <w:r>
              <w:rPr>
                <w:color w:val="auto"/>
              </w:rPr>
              <w:t>10</w:t>
            </w:r>
            <w:r>
              <w:rPr>
                <w:rFonts w:hint="eastAsia"/>
                <w:color w:val="auto"/>
              </w:rPr>
              <w:t>分</w:t>
            </w:r>
          </w:p>
          <w:p w14:paraId="5BD0A593">
            <w:pPr>
              <w:pStyle w:val="44"/>
              <w:jc w:val="left"/>
              <w:rPr>
                <w:color w:val="auto"/>
              </w:rPr>
            </w:pPr>
            <w:r>
              <w:rPr>
                <w:color w:val="auto"/>
              </w:rPr>
              <w:t>5</w:t>
            </w:r>
            <w:r>
              <w:rPr>
                <w:rFonts w:hint="eastAsia"/>
                <w:color w:val="auto"/>
              </w:rPr>
              <w:t>）未建立进出洞、上下井登记制度，或登记记录不全，扣</w:t>
            </w:r>
            <w:r>
              <w:rPr>
                <w:color w:val="auto"/>
              </w:rPr>
              <w:t>2</w:t>
            </w:r>
            <w:r>
              <w:rPr>
                <w:rFonts w:hint="eastAsia"/>
                <w:color w:val="auto"/>
              </w:rPr>
              <w:t>～</w:t>
            </w:r>
            <w:r>
              <w:rPr>
                <w:color w:val="auto"/>
              </w:rPr>
              <w:t>4</w:t>
            </w:r>
            <w:r>
              <w:rPr>
                <w:rFonts w:hint="eastAsia"/>
                <w:color w:val="auto"/>
              </w:rPr>
              <w:t>分</w:t>
            </w:r>
          </w:p>
          <w:p w14:paraId="291D304C">
            <w:pPr>
              <w:pStyle w:val="44"/>
              <w:jc w:val="left"/>
              <w:rPr>
                <w:color w:val="auto"/>
              </w:rPr>
            </w:pPr>
            <w:r>
              <w:rPr>
                <w:color w:val="auto"/>
              </w:rPr>
              <w:t>6</w:t>
            </w:r>
            <w:r>
              <w:rPr>
                <w:rFonts w:hint="eastAsia"/>
                <w:color w:val="auto"/>
              </w:rPr>
              <w:t>）未按设计要求对洞口邻近建（构）筑物采取保护措施或保护措施不完善，扣</w:t>
            </w:r>
            <w:r>
              <w:rPr>
                <w:color w:val="auto"/>
              </w:rPr>
              <w:t>5~10</w:t>
            </w:r>
            <w:r>
              <w:rPr>
                <w:rFonts w:hint="eastAsia"/>
                <w:color w:val="auto"/>
              </w:rPr>
              <w:t>分</w:t>
            </w:r>
          </w:p>
        </w:tc>
        <w:tc>
          <w:tcPr>
            <w:tcW w:w="720" w:type="dxa"/>
            <w:vAlign w:val="center"/>
          </w:tcPr>
          <w:p w14:paraId="4E3B2AA4">
            <w:pPr>
              <w:pStyle w:val="44"/>
              <w:rPr>
                <w:color w:val="auto"/>
              </w:rPr>
            </w:pPr>
            <w:r>
              <w:rPr>
                <w:color w:val="auto"/>
              </w:rPr>
              <w:t>10</w:t>
            </w:r>
          </w:p>
        </w:tc>
        <w:tc>
          <w:tcPr>
            <w:tcW w:w="720" w:type="dxa"/>
            <w:vAlign w:val="center"/>
          </w:tcPr>
          <w:p w14:paraId="22EFCA6C">
            <w:pPr>
              <w:pStyle w:val="44"/>
              <w:rPr>
                <w:color w:val="auto"/>
              </w:rPr>
            </w:pPr>
          </w:p>
        </w:tc>
        <w:tc>
          <w:tcPr>
            <w:tcW w:w="720" w:type="dxa"/>
            <w:vAlign w:val="center"/>
          </w:tcPr>
          <w:p w14:paraId="235070F7">
            <w:pPr>
              <w:pStyle w:val="44"/>
              <w:rPr>
                <w:color w:val="auto"/>
              </w:rPr>
            </w:pPr>
          </w:p>
        </w:tc>
      </w:tr>
      <w:tr w14:paraId="4D199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16117658">
            <w:pPr>
              <w:pStyle w:val="44"/>
              <w:rPr>
                <w:color w:val="auto"/>
              </w:rPr>
            </w:pPr>
            <w:r>
              <w:rPr>
                <w:color w:val="auto"/>
              </w:rPr>
              <w:t>3</w:t>
            </w:r>
          </w:p>
        </w:tc>
        <w:tc>
          <w:tcPr>
            <w:tcW w:w="543" w:type="dxa"/>
            <w:vMerge w:val="continue"/>
          </w:tcPr>
          <w:p w14:paraId="3D6A2C52">
            <w:pPr>
              <w:pStyle w:val="44"/>
              <w:rPr>
                <w:color w:val="auto"/>
              </w:rPr>
            </w:pPr>
          </w:p>
        </w:tc>
        <w:tc>
          <w:tcPr>
            <w:tcW w:w="898" w:type="dxa"/>
            <w:vAlign w:val="center"/>
          </w:tcPr>
          <w:p w14:paraId="1C4A27D8">
            <w:pPr>
              <w:pStyle w:val="44"/>
              <w:rPr>
                <w:color w:val="auto"/>
              </w:rPr>
            </w:pPr>
            <w:r>
              <w:rPr>
                <w:rFonts w:hint="eastAsia"/>
                <w:color w:val="auto"/>
              </w:rPr>
              <w:t>地层超前支护加固</w:t>
            </w:r>
          </w:p>
        </w:tc>
        <w:tc>
          <w:tcPr>
            <w:tcW w:w="5580" w:type="dxa"/>
            <w:vAlign w:val="center"/>
          </w:tcPr>
          <w:p w14:paraId="0A76B5B8">
            <w:pPr>
              <w:pStyle w:val="44"/>
              <w:jc w:val="left"/>
              <w:rPr>
                <w:color w:val="auto"/>
              </w:rPr>
            </w:pPr>
            <w:r>
              <w:rPr>
                <w:color w:val="auto"/>
              </w:rPr>
              <w:t>1</w:t>
            </w:r>
            <w:r>
              <w:rPr>
                <w:rFonts w:hint="eastAsia"/>
                <w:color w:val="auto"/>
              </w:rPr>
              <w:t>）未按设计要求及标准进行超前支护、加固或未对地下管线等工程周边环境进行保护，扣</w:t>
            </w:r>
            <w:r>
              <w:rPr>
                <w:color w:val="auto"/>
              </w:rPr>
              <w:t>10</w:t>
            </w:r>
            <w:r>
              <w:rPr>
                <w:rFonts w:hint="eastAsia"/>
                <w:color w:val="auto"/>
              </w:rPr>
              <w:t>分</w:t>
            </w:r>
          </w:p>
          <w:p w14:paraId="018C1725">
            <w:pPr>
              <w:pStyle w:val="44"/>
              <w:jc w:val="left"/>
              <w:rPr>
                <w:color w:val="auto"/>
              </w:rPr>
            </w:pPr>
            <w:r>
              <w:rPr>
                <w:color w:val="auto"/>
              </w:rPr>
              <w:t>2</w:t>
            </w:r>
            <w:r>
              <w:rPr>
                <w:rFonts w:hint="eastAsia"/>
                <w:color w:val="auto"/>
              </w:rPr>
              <w:t>）超前加固前掌子面未按设计要求封闭，扣</w:t>
            </w:r>
            <w:r>
              <w:rPr>
                <w:color w:val="auto"/>
              </w:rPr>
              <w:t>5</w:t>
            </w:r>
            <w:r>
              <w:rPr>
                <w:rFonts w:hint="eastAsia"/>
                <w:color w:val="auto"/>
              </w:rPr>
              <w:t>分</w:t>
            </w:r>
          </w:p>
          <w:p w14:paraId="5B4EC321">
            <w:pPr>
              <w:pStyle w:val="44"/>
              <w:jc w:val="left"/>
              <w:rPr>
                <w:color w:val="auto"/>
              </w:rPr>
            </w:pPr>
            <w:r>
              <w:rPr>
                <w:color w:val="auto"/>
              </w:rPr>
              <w:t>3</w:t>
            </w:r>
            <w:r>
              <w:rPr>
                <w:rFonts w:hint="eastAsia"/>
                <w:color w:val="auto"/>
              </w:rPr>
              <w:t>）大管棚或小导管的材质、规格、长度、间距、外插角等不符合设计和专项施工方案要求，扣</w:t>
            </w:r>
            <w:r>
              <w:rPr>
                <w:color w:val="auto"/>
              </w:rPr>
              <w:t>5</w:t>
            </w:r>
            <w:r>
              <w:rPr>
                <w:rFonts w:hint="eastAsia"/>
                <w:color w:val="auto"/>
              </w:rPr>
              <w:t>～</w:t>
            </w:r>
            <w:r>
              <w:rPr>
                <w:color w:val="auto"/>
              </w:rPr>
              <w:t>8</w:t>
            </w:r>
            <w:r>
              <w:rPr>
                <w:rFonts w:hint="eastAsia"/>
                <w:color w:val="auto"/>
              </w:rPr>
              <w:t>分</w:t>
            </w:r>
          </w:p>
          <w:p w14:paraId="7FA74F35">
            <w:pPr>
              <w:pStyle w:val="44"/>
              <w:jc w:val="left"/>
              <w:rPr>
                <w:color w:val="auto"/>
              </w:rPr>
            </w:pPr>
            <w:r>
              <w:rPr>
                <w:color w:val="auto"/>
              </w:rPr>
              <w:t>4</w:t>
            </w:r>
            <w:r>
              <w:rPr>
                <w:rFonts w:hint="eastAsia"/>
                <w:color w:val="auto"/>
              </w:rPr>
              <w:t>）管棚、超前小导管或开挖面深孔等部位注浆参数不符合设计和专项施工方案要求，或开挖时浆体未达到设计规定强度，扣</w:t>
            </w:r>
            <w:r>
              <w:rPr>
                <w:color w:val="auto"/>
              </w:rPr>
              <w:t>5~8</w:t>
            </w:r>
            <w:r>
              <w:rPr>
                <w:rFonts w:hint="eastAsia"/>
                <w:color w:val="auto"/>
              </w:rPr>
              <w:t>分</w:t>
            </w:r>
          </w:p>
          <w:p w14:paraId="50430C22">
            <w:pPr>
              <w:pStyle w:val="44"/>
              <w:jc w:val="left"/>
              <w:rPr>
                <w:color w:val="auto"/>
              </w:rPr>
            </w:pPr>
            <w:r>
              <w:rPr>
                <w:color w:val="auto"/>
              </w:rPr>
              <w:t>5</w:t>
            </w:r>
            <w:r>
              <w:rPr>
                <w:rFonts w:hint="eastAsia"/>
                <w:color w:val="auto"/>
              </w:rPr>
              <w:t>）浆液配置或存放过程中未设专人管理，扣</w:t>
            </w:r>
            <w:r>
              <w:rPr>
                <w:color w:val="auto"/>
              </w:rPr>
              <w:t>3</w:t>
            </w:r>
            <w:r>
              <w:rPr>
                <w:rFonts w:hint="eastAsia"/>
                <w:color w:val="auto"/>
              </w:rPr>
              <w:t>分</w:t>
            </w:r>
          </w:p>
          <w:p w14:paraId="192A0555">
            <w:pPr>
              <w:pStyle w:val="44"/>
              <w:jc w:val="left"/>
              <w:rPr>
                <w:color w:val="auto"/>
              </w:rPr>
            </w:pPr>
            <w:r>
              <w:rPr>
                <w:color w:val="auto"/>
              </w:rPr>
              <w:t>6</w:t>
            </w:r>
            <w:r>
              <w:rPr>
                <w:rFonts w:hint="eastAsia"/>
                <w:color w:val="auto"/>
              </w:rPr>
              <w:t>）浅埋地段未按设计要求进行地面注浆加固的，扣</w:t>
            </w:r>
            <w:r>
              <w:rPr>
                <w:color w:val="auto"/>
              </w:rPr>
              <w:t>3-5</w:t>
            </w:r>
            <w:r>
              <w:rPr>
                <w:rFonts w:hint="eastAsia"/>
                <w:color w:val="auto"/>
              </w:rPr>
              <w:t>分</w:t>
            </w:r>
          </w:p>
          <w:p w14:paraId="161CCBE7">
            <w:pPr>
              <w:pStyle w:val="44"/>
              <w:jc w:val="left"/>
              <w:rPr>
                <w:color w:val="auto"/>
              </w:rPr>
            </w:pPr>
            <w:r>
              <w:rPr>
                <w:color w:val="auto"/>
              </w:rPr>
              <w:t>7</w:t>
            </w:r>
            <w:r>
              <w:rPr>
                <w:rFonts w:hint="eastAsia"/>
                <w:color w:val="auto"/>
              </w:rPr>
              <w:t>）超前支护或加固效果不满足开挖安全要求，扣</w:t>
            </w:r>
            <w:r>
              <w:rPr>
                <w:color w:val="auto"/>
              </w:rPr>
              <w:t>10</w:t>
            </w:r>
            <w:r>
              <w:rPr>
                <w:rFonts w:hint="eastAsia"/>
                <w:color w:val="auto"/>
              </w:rPr>
              <w:t>分</w:t>
            </w:r>
          </w:p>
        </w:tc>
        <w:tc>
          <w:tcPr>
            <w:tcW w:w="720" w:type="dxa"/>
            <w:vAlign w:val="center"/>
          </w:tcPr>
          <w:p w14:paraId="177D8E59">
            <w:pPr>
              <w:pStyle w:val="44"/>
              <w:rPr>
                <w:color w:val="auto"/>
              </w:rPr>
            </w:pPr>
            <w:r>
              <w:rPr>
                <w:color w:val="auto"/>
              </w:rPr>
              <w:t>10</w:t>
            </w:r>
          </w:p>
        </w:tc>
        <w:tc>
          <w:tcPr>
            <w:tcW w:w="720" w:type="dxa"/>
            <w:vAlign w:val="center"/>
          </w:tcPr>
          <w:p w14:paraId="759F44F3">
            <w:pPr>
              <w:pStyle w:val="44"/>
              <w:rPr>
                <w:color w:val="auto"/>
              </w:rPr>
            </w:pPr>
          </w:p>
        </w:tc>
        <w:tc>
          <w:tcPr>
            <w:tcW w:w="720" w:type="dxa"/>
            <w:vAlign w:val="center"/>
          </w:tcPr>
          <w:p w14:paraId="5713CD59">
            <w:pPr>
              <w:pStyle w:val="44"/>
              <w:rPr>
                <w:color w:val="auto"/>
              </w:rPr>
            </w:pPr>
          </w:p>
        </w:tc>
      </w:tr>
      <w:tr w14:paraId="1CA1D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59695E9D">
            <w:pPr>
              <w:pStyle w:val="44"/>
              <w:rPr>
                <w:color w:val="auto"/>
              </w:rPr>
            </w:pPr>
            <w:r>
              <w:rPr>
                <w:color w:val="auto"/>
              </w:rPr>
              <w:t>4</w:t>
            </w:r>
          </w:p>
        </w:tc>
        <w:tc>
          <w:tcPr>
            <w:tcW w:w="543" w:type="dxa"/>
            <w:vMerge w:val="continue"/>
          </w:tcPr>
          <w:p w14:paraId="0881B30D">
            <w:pPr>
              <w:pStyle w:val="44"/>
              <w:rPr>
                <w:color w:val="auto"/>
              </w:rPr>
            </w:pPr>
          </w:p>
        </w:tc>
        <w:tc>
          <w:tcPr>
            <w:tcW w:w="898" w:type="dxa"/>
            <w:vAlign w:val="center"/>
          </w:tcPr>
          <w:p w14:paraId="2679D535">
            <w:pPr>
              <w:pStyle w:val="44"/>
              <w:rPr>
                <w:color w:val="auto"/>
              </w:rPr>
            </w:pPr>
            <w:r>
              <w:rPr>
                <w:rFonts w:hint="eastAsia"/>
                <w:color w:val="auto"/>
              </w:rPr>
              <w:t>隧道开挖</w:t>
            </w:r>
          </w:p>
        </w:tc>
        <w:tc>
          <w:tcPr>
            <w:tcW w:w="5580" w:type="dxa"/>
            <w:vAlign w:val="center"/>
          </w:tcPr>
          <w:p w14:paraId="7D6484DB">
            <w:pPr>
              <w:pStyle w:val="44"/>
              <w:jc w:val="left"/>
              <w:rPr>
                <w:color w:val="auto"/>
              </w:rPr>
            </w:pPr>
            <w:r>
              <w:rPr>
                <w:color w:val="auto"/>
              </w:rPr>
              <w:t>1</w:t>
            </w:r>
            <w:r>
              <w:rPr>
                <w:rFonts w:hint="eastAsia"/>
                <w:color w:val="auto"/>
              </w:rPr>
              <w:t>）未进行开挖面地质描述和地质超前预报，扣</w:t>
            </w:r>
            <w:r>
              <w:rPr>
                <w:color w:val="auto"/>
              </w:rPr>
              <w:t>3~5</w:t>
            </w:r>
            <w:r>
              <w:rPr>
                <w:rFonts w:hint="eastAsia"/>
                <w:color w:val="auto"/>
              </w:rPr>
              <w:t>分</w:t>
            </w:r>
          </w:p>
          <w:p w14:paraId="1949883E">
            <w:pPr>
              <w:pStyle w:val="44"/>
              <w:jc w:val="left"/>
              <w:rPr>
                <w:color w:val="auto"/>
              </w:rPr>
            </w:pPr>
            <w:r>
              <w:rPr>
                <w:color w:val="auto"/>
              </w:rPr>
              <w:t>2</w:t>
            </w:r>
            <w:r>
              <w:rPr>
                <w:rFonts w:hint="eastAsia"/>
                <w:color w:val="auto"/>
              </w:rPr>
              <w:t>）开挖方法和步序不符合设计要求，扣</w:t>
            </w:r>
            <w:r>
              <w:rPr>
                <w:color w:val="auto"/>
              </w:rPr>
              <w:t>10</w:t>
            </w:r>
            <w:r>
              <w:rPr>
                <w:rFonts w:hint="eastAsia"/>
                <w:color w:val="auto"/>
              </w:rPr>
              <w:t>分</w:t>
            </w:r>
          </w:p>
          <w:p w14:paraId="22B902B5">
            <w:pPr>
              <w:pStyle w:val="44"/>
              <w:jc w:val="left"/>
              <w:rPr>
                <w:color w:val="auto"/>
              </w:rPr>
            </w:pPr>
            <w:r>
              <w:rPr>
                <w:color w:val="auto"/>
              </w:rPr>
              <w:t>3</w:t>
            </w:r>
            <w:r>
              <w:rPr>
                <w:rFonts w:hint="eastAsia"/>
                <w:color w:val="auto"/>
              </w:rPr>
              <w:t>）开挖循环进尺不符合设计和专项施工方案要求，扣</w:t>
            </w:r>
            <w:r>
              <w:rPr>
                <w:color w:val="auto"/>
              </w:rPr>
              <w:t>3~5</w:t>
            </w:r>
            <w:r>
              <w:rPr>
                <w:rFonts w:hint="eastAsia"/>
                <w:color w:val="auto"/>
              </w:rPr>
              <w:t>分</w:t>
            </w:r>
          </w:p>
          <w:p w14:paraId="1B3928E3">
            <w:pPr>
              <w:pStyle w:val="44"/>
              <w:jc w:val="left"/>
              <w:rPr>
                <w:color w:val="auto"/>
              </w:rPr>
            </w:pPr>
            <w:r>
              <w:rPr>
                <w:color w:val="auto"/>
              </w:rPr>
              <w:t>4</w:t>
            </w:r>
            <w:r>
              <w:rPr>
                <w:rFonts w:hint="eastAsia"/>
                <w:color w:val="auto"/>
              </w:rPr>
              <w:t>）相邻隧道作业面纵向间距不符合设计和专项施工方案要求，扣</w:t>
            </w:r>
            <w:r>
              <w:rPr>
                <w:color w:val="auto"/>
              </w:rPr>
              <w:t>5~10</w:t>
            </w:r>
            <w:r>
              <w:rPr>
                <w:rFonts w:hint="eastAsia"/>
                <w:color w:val="auto"/>
              </w:rPr>
              <w:t>分</w:t>
            </w:r>
          </w:p>
          <w:p w14:paraId="354B3053">
            <w:pPr>
              <w:pStyle w:val="44"/>
              <w:jc w:val="left"/>
              <w:rPr>
                <w:color w:val="auto"/>
              </w:rPr>
            </w:pPr>
            <w:r>
              <w:rPr>
                <w:color w:val="auto"/>
              </w:rPr>
              <w:t>5</w:t>
            </w:r>
            <w:r>
              <w:rPr>
                <w:rFonts w:hint="eastAsia"/>
                <w:color w:val="auto"/>
              </w:rPr>
              <w:t>）作业面周围支护不牢固，或松动石块未及时清除，扣</w:t>
            </w:r>
            <w:r>
              <w:rPr>
                <w:color w:val="auto"/>
              </w:rPr>
              <w:t>5</w:t>
            </w:r>
            <w:r>
              <w:rPr>
                <w:rFonts w:hint="eastAsia"/>
                <w:color w:val="auto"/>
              </w:rPr>
              <w:t>分</w:t>
            </w:r>
          </w:p>
          <w:p w14:paraId="564BC784">
            <w:pPr>
              <w:pStyle w:val="44"/>
              <w:jc w:val="left"/>
              <w:rPr>
                <w:color w:val="auto"/>
              </w:rPr>
            </w:pPr>
            <w:r>
              <w:rPr>
                <w:color w:val="auto"/>
              </w:rPr>
              <w:t>6</w:t>
            </w:r>
            <w:r>
              <w:rPr>
                <w:rFonts w:hint="eastAsia"/>
                <w:color w:val="auto"/>
              </w:rPr>
              <w:t>）核心土留置，或台阶长度、导洞间距不符合设计及标准要求，扣</w:t>
            </w:r>
            <w:r>
              <w:rPr>
                <w:color w:val="auto"/>
              </w:rPr>
              <w:t>3~5</w:t>
            </w:r>
            <w:r>
              <w:rPr>
                <w:rFonts w:hint="eastAsia"/>
                <w:color w:val="auto"/>
              </w:rPr>
              <w:t>分</w:t>
            </w:r>
          </w:p>
          <w:p w14:paraId="3C95EB06">
            <w:pPr>
              <w:pStyle w:val="44"/>
              <w:jc w:val="left"/>
              <w:rPr>
                <w:color w:val="auto"/>
              </w:rPr>
            </w:pPr>
            <w:r>
              <w:rPr>
                <w:color w:val="auto"/>
              </w:rPr>
              <w:t>7</w:t>
            </w:r>
            <w:r>
              <w:rPr>
                <w:rFonts w:hint="eastAsia"/>
                <w:color w:val="auto"/>
              </w:rPr>
              <w:t>）不良地质地段掌子面暴露时间过长，或在长时间停工时未及时支护、封闭</w:t>
            </w:r>
          </w:p>
          <w:p w14:paraId="1D5A3400">
            <w:pPr>
              <w:pStyle w:val="44"/>
              <w:jc w:val="left"/>
              <w:rPr>
                <w:color w:val="auto"/>
              </w:rPr>
            </w:pPr>
            <w:r>
              <w:rPr>
                <w:color w:val="auto"/>
              </w:rPr>
              <w:t>8</w:t>
            </w:r>
            <w:r>
              <w:rPr>
                <w:rFonts w:hint="eastAsia"/>
                <w:color w:val="auto"/>
              </w:rPr>
              <w:t>）支护参数未根据地质变化及时进行调整，扣</w:t>
            </w:r>
            <w:r>
              <w:rPr>
                <w:color w:val="auto"/>
              </w:rPr>
              <w:t>5</w:t>
            </w:r>
            <w:r>
              <w:rPr>
                <w:rFonts w:hint="eastAsia"/>
                <w:color w:val="auto"/>
              </w:rPr>
              <w:t>－</w:t>
            </w:r>
            <w:r>
              <w:rPr>
                <w:color w:val="auto"/>
              </w:rPr>
              <w:t>10</w:t>
            </w:r>
            <w:r>
              <w:rPr>
                <w:rFonts w:hint="eastAsia"/>
                <w:color w:val="auto"/>
              </w:rPr>
              <w:t>分</w:t>
            </w:r>
          </w:p>
          <w:p w14:paraId="28855BB7">
            <w:pPr>
              <w:pStyle w:val="44"/>
              <w:jc w:val="left"/>
              <w:rPr>
                <w:color w:val="auto"/>
              </w:rPr>
            </w:pPr>
            <w:r>
              <w:rPr>
                <w:color w:val="auto"/>
              </w:rPr>
              <w:t>9</w:t>
            </w:r>
            <w:r>
              <w:rPr>
                <w:rFonts w:hint="eastAsia"/>
                <w:color w:val="auto"/>
              </w:rPr>
              <w:t>）双向开挖面相距</w:t>
            </w:r>
            <w:r>
              <w:rPr>
                <w:color w:val="auto"/>
              </w:rPr>
              <w:t>15-30m</w:t>
            </w:r>
            <w:r>
              <w:rPr>
                <w:rFonts w:hint="eastAsia"/>
                <w:color w:val="auto"/>
              </w:rPr>
              <w:t>时，未改为单向开挖，扣</w:t>
            </w:r>
            <w:r>
              <w:rPr>
                <w:color w:val="auto"/>
              </w:rPr>
              <w:t>5-10</w:t>
            </w:r>
            <w:r>
              <w:rPr>
                <w:rFonts w:hint="eastAsia"/>
                <w:color w:val="auto"/>
              </w:rPr>
              <w:t>分；</w:t>
            </w:r>
          </w:p>
          <w:p w14:paraId="33D13954">
            <w:pPr>
              <w:pStyle w:val="44"/>
              <w:jc w:val="left"/>
              <w:rPr>
                <w:color w:val="auto"/>
              </w:rPr>
            </w:pPr>
            <w:r>
              <w:rPr>
                <w:color w:val="auto"/>
              </w:rPr>
              <w:t>10</w:t>
            </w:r>
            <w:r>
              <w:rPr>
                <w:rFonts w:hint="eastAsia"/>
                <w:color w:val="auto"/>
              </w:rPr>
              <w:t>）开挖过程中降水作业未按专项施工方案实施，扣</w:t>
            </w:r>
            <w:r>
              <w:rPr>
                <w:color w:val="auto"/>
              </w:rPr>
              <w:t>3</w:t>
            </w:r>
            <w:r>
              <w:rPr>
                <w:rFonts w:hint="eastAsia"/>
                <w:color w:val="auto"/>
              </w:rPr>
              <w:t>～</w:t>
            </w:r>
            <w:r>
              <w:rPr>
                <w:color w:val="auto"/>
              </w:rPr>
              <w:t>5</w:t>
            </w:r>
            <w:r>
              <w:rPr>
                <w:rFonts w:hint="eastAsia"/>
                <w:color w:val="auto"/>
              </w:rPr>
              <w:t>分。</w:t>
            </w:r>
          </w:p>
        </w:tc>
        <w:tc>
          <w:tcPr>
            <w:tcW w:w="720" w:type="dxa"/>
            <w:vAlign w:val="center"/>
          </w:tcPr>
          <w:p w14:paraId="5E2F59D3">
            <w:pPr>
              <w:pStyle w:val="44"/>
              <w:rPr>
                <w:color w:val="auto"/>
              </w:rPr>
            </w:pPr>
            <w:r>
              <w:rPr>
                <w:color w:val="auto"/>
              </w:rPr>
              <w:t>10</w:t>
            </w:r>
          </w:p>
        </w:tc>
        <w:tc>
          <w:tcPr>
            <w:tcW w:w="720" w:type="dxa"/>
            <w:vAlign w:val="center"/>
          </w:tcPr>
          <w:p w14:paraId="218EB35F">
            <w:pPr>
              <w:pStyle w:val="44"/>
              <w:rPr>
                <w:color w:val="auto"/>
              </w:rPr>
            </w:pPr>
          </w:p>
        </w:tc>
        <w:tc>
          <w:tcPr>
            <w:tcW w:w="720" w:type="dxa"/>
            <w:vAlign w:val="center"/>
          </w:tcPr>
          <w:p w14:paraId="4E914F5D">
            <w:pPr>
              <w:pStyle w:val="44"/>
              <w:rPr>
                <w:color w:val="auto"/>
              </w:rPr>
            </w:pPr>
          </w:p>
        </w:tc>
      </w:tr>
      <w:tr w14:paraId="57590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trPr>
        <w:tc>
          <w:tcPr>
            <w:tcW w:w="539" w:type="dxa"/>
            <w:vAlign w:val="center"/>
          </w:tcPr>
          <w:p w14:paraId="28F9166C">
            <w:pPr>
              <w:pStyle w:val="44"/>
              <w:rPr>
                <w:color w:val="auto"/>
              </w:rPr>
            </w:pPr>
            <w:r>
              <w:rPr>
                <w:color w:val="auto"/>
              </w:rPr>
              <w:t>5</w:t>
            </w:r>
          </w:p>
        </w:tc>
        <w:tc>
          <w:tcPr>
            <w:tcW w:w="543" w:type="dxa"/>
            <w:vMerge w:val="continue"/>
          </w:tcPr>
          <w:p w14:paraId="4133A56C">
            <w:pPr>
              <w:pStyle w:val="44"/>
              <w:rPr>
                <w:color w:val="auto"/>
              </w:rPr>
            </w:pPr>
          </w:p>
        </w:tc>
        <w:tc>
          <w:tcPr>
            <w:tcW w:w="898" w:type="dxa"/>
            <w:vAlign w:val="center"/>
          </w:tcPr>
          <w:p w14:paraId="08A5245E">
            <w:pPr>
              <w:pStyle w:val="44"/>
              <w:rPr>
                <w:color w:val="auto"/>
              </w:rPr>
            </w:pPr>
            <w:r>
              <w:rPr>
                <w:rFonts w:hint="eastAsia"/>
                <w:color w:val="auto"/>
              </w:rPr>
              <w:t>爆破</w:t>
            </w:r>
          </w:p>
        </w:tc>
        <w:tc>
          <w:tcPr>
            <w:tcW w:w="5580" w:type="dxa"/>
            <w:vAlign w:val="center"/>
          </w:tcPr>
          <w:p w14:paraId="16B4A651">
            <w:pPr>
              <w:pStyle w:val="44"/>
              <w:jc w:val="left"/>
              <w:rPr>
                <w:color w:val="auto"/>
              </w:rPr>
            </w:pPr>
            <w:r>
              <w:rPr>
                <w:color w:val="auto"/>
              </w:rPr>
              <w:t>1</w:t>
            </w:r>
            <w:r>
              <w:rPr>
                <w:rFonts w:hint="eastAsia"/>
                <w:color w:val="auto"/>
              </w:rPr>
              <w:t>）爆破器材不符合标准要求，或无检验合格证、技术指标和说明书，扣</w:t>
            </w:r>
            <w:r>
              <w:rPr>
                <w:color w:val="auto"/>
              </w:rPr>
              <w:t>10</w:t>
            </w:r>
            <w:r>
              <w:rPr>
                <w:rFonts w:hint="eastAsia"/>
                <w:color w:val="auto"/>
              </w:rPr>
              <w:t>分</w:t>
            </w:r>
          </w:p>
          <w:p w14:paraId="12BAD963">
            <w:pPr>
              <w:pStyle w:val="44"/>
              <w:jc w:val="left"/>
              <w:rPr>
                <w:color w:val="auto"/>
              </w:rPr>
            </w:pPr>
            <w:r>
              <w:rPr>
                <w:color w:val="auto"/>
              </w:rPr>
              <w:t>2</w:t>
            </w:r>
            <w:r>
              <w:rPr>
                <w:rFonts w:hint="eastAsia"/>
                <w:color w:val="auto"/>
              </w:rPr>
              <w:t>）爆破器材的存储、运输和处置不符合有关规定，扣</w:t>
            </w:r>
            <w:r>
              <w:rPr>
                <w:color w:val="auto"/>
              </w:rPr>
              <w:t>10</w:t>
            </w:r>
            <w:r>
              <w:rPr>
                <w:rFonts w:hint="eastAsia"/>
                <w:color w:val="auto"/>
              </w:rPr>
              <w:t>分</w:t>
            </w:r>
          </w:p>
          <w:p w14:paraId="7D2EC1CE">
            <w:pPr>
              <w:pStyle w:val="44"/>
              <w:jc w:val="left"/>
              <w:rPr>
                <w:color w:val="auto"/>
              </w:rPr>
            </w:pPr>
            <w:r>
              <w:rPr>
                <w:color w:val="auto"/>
              </w:rPr>
              <w:t>3</w:t>
            </w:r>
            <w:r>
              <w:rPr>
                <w:rFonts w:hint="eastAsia"/>
                <w:color w:val="auto"/>
              </w:rPr>
              <w:t>）起爆设备或检测仪表未按规定定期标定，扣</w:t>
            </w:r>
            <w:r>
              <w:rPr>
                <w:color w:val="auto"/>
              </w:rPr>
              <w:t>5</w:t>
            </w:r>
            <w:r>
              <w:rPr>
                <w:rFonts w:hint="eastAsia"/>
                <w:color w:val="auto"/>
              </w:rPr>
              <w:t>分</w:t>
            </w:r>
          </w:p>
          <w:p w14:paraId="793DDDC1">
            <w:pPr>
              <w:pStyle w:val="44"/>
              <w:jc w:val="left"/>
              <w:rPr>
                <w:color w:val="auto"/>
              </w:rPr>
            </w:pPr>
            <w:r>
              <w:rPr>
                <w:color w:val="auto"/>
              </w:rPr>
              <w:t>4</w:t>
            </w:r>
            <w:r>
              <w:rPr>
                <w:rFonts w:hint="eastAsia"/>
                <w:color w:val="auto"/>
              </w:rPr>
              <w:t>）装药量超出设计和爆破方案设计的限制值，扣</w:t>
            </w:r>
            <w:r>
              <w:rPr>
                <w:color w:val="auto"/>
              </w:rPr>
              <w:t>5~10</w:t>
            </w:r>
            <w:r>
              <w:rPr>
                <w:rFonts w:hint="eastAsia"/>
                <w:color w:val="auto"/>
              </w:rPr>
              <w:t>分</w:t>
            </w:r>
          </w:p>
          <w:p w14:paraId="03D522B8">
            <w:pPr>
              <w:pStyle w:val="44"/>
              <w:jc w:val="left"/>
              <w:rPr>
                <w:color w:val="auto"/>
              </w:rPr>
            </w:pPr>
            <w:r>
              <w:rPr>
                <w:color w:val="auto"/>
              </w:rPr>
              <w:t>5</w:t>
            </w:r>
            <w:r>
              <w:rPr>
                <w:rFonts w:hint="eastAsia"/>
                <w:color w:val="auto"/>
              </w:rPr>
              <w:t>）爆破后作业面找顶不净或存在危石，扣</w:t>
            </w:r>
            <w:r>
              <w:rPr>
                <w:color w:val="auto"/>
              </w:rPr>
              <w:t>5</w:t>
            </w:r>
            <w:r>
              <w:rPr>
                <w:rFonts w:hint="eastAsia"/>
                <w:color w:val="auto"/>
              </w:rPr>
              <w:t>分</w:t>
            </w:r>
          </w:p>
          <w:p w14:paraId="0F95A159">
            <w:pPr>
              <w:pStyle w:val="44"/>
              <w:jc w:val="left"/>
              <w:rPr>
                <w:color w:val="auto"/>
              </w:rPr>
            </w:pPr>
            <w:r>
              <w:rPr>
                <w:color w:val="auto"/>
              </w:rPr>
              <w:t>6</w:t>
            </w:r>
            <w:r>
              <w:rPr>
                <w:rFonts w:hint="eastAsia"/>
                <w:color w:val="auto"/>
              </w:rPr>
              <w:t>）盲炮处理不符合有关安全规定，扣</w:t>
            </w:r>
            <w:r>
              <w:rPr>
                <w:color w:val="auto"/>
              </w:rPr>
              <w:t>10</w:t>
            </w:r>
            <w:r>
              <w:rPr>
                <w:rFonts w:hint="eastAsia"/>
                <w:color w:val="auto"/>
              </w:rPr>
              <w:t>分</w:t>
            </w:r>
          </w:p>
          <w:p w14:paraId="160174C9">
            <w:pPr>
              <w:pStyle w:val="44"/>
              <w:jc w:val="left"/>
              <w:rPr>
                <w:color w:val="auto"/>
              </w:rPr>
            </w:pPr>
            <w:r>
              <w:rPr>
                <w:color w:val="auto"/>
              </w:rPr>
              <w:t>7</w:t>
            </w:r>
            <w:r>
              <w:rPr>
                <w:rFonts w:hint="eastAsia"/>
                <w:color w:val="auto"/>
              </w:rPr>
              <w:t>）爆破作业时上一循环喷射混凝土终凝时间小于</w:t>
            </w:r>
            <w:r>
              <w:rPr>
                <w:color w:val="auto"/>
              </w:rPr>
              <w:t>4h</w:t>
            </w:r>
            <w:r>
              <w:rPr>
                <w:rFonts w:hint="eastAsia"/>
                <w:color w:val="auto"/>
              </w:rPr>
              <w:t>，扣</w:t>
            </w:r>
            <w:r>
              <w:rPr>
                <w:color w:val="auto"/>
              </w:rPr>
              <w:t>2-5</w:t>
            </w:r>
            <w:r>
              <w:rPr>
                <w:rFonts w:hint="eastAsia"/>
                <w:color w:val="auto"/>
              </w:rPr>
              <w:t>分</w:t>
            </w:r>
          </w:p>
          <w:p w14:paraId="5C6A465B">
            <w:pPr>
              <w:pStyle w:val="44"/>
              <w:jc w:val="left"/>
              <w:rPr>
                <w:color w:val="auto"/>
              </w:rPr>
            </w:pPr>
            <w:r>
              <w:rPr>
                <w:color w:val="auto"/>
              </w:rPr>
              <w:t>8</w:t>
            </w:r>
            <w:r>
              <w:rPr>
                <w:rFonts w:hint="eastAsia"/>
                <w:color w:val="auto"/>
              </w:rPr>
              <w:t>）爆破时人员、设备与爆破点的距离小于爆破安全距离时无安全防护措施，扣</w:t>
            </w:r>
            <w:r>
              <w:rPr>
                <w:color w:val="auto"/>
              </w:rPr>
              <w:t>10</w:t>
            </w:r>
            <w:r>
              <w:rPr>
                <w:rFonts w:hint="eastAsia"/>
                <w:color w:val="auto"/>
              </w:rPr>
              <w:t>分</w:t>
            </w:r>
          </w:p>
        </w:tc>
        <w:tc>
          <w:tcPr>
            <w:tcW w:w="720" w:type="dxa"/>
            <w:vAlign w:val="center"/>
          </w:tcPr>
          <w:p w14:paraId="4FE1FE92">
            <w:pPr>
              <w:pStyle w:val="44"/>
              <w:rPr>
                <w:color w:val="auto"/>
              </w:rPr>
            </w:pPr>
            <w:r>
              <w:rPr>
                <w:color w:val="auto"/>
              </w:rPr>
              <w:t>10</w:t>
            </w:r>
          </w:p>
        </w:tc>
        <w:tc>
          <w:tcPr>
            <w:tcW w:w="720" w:type="dxa"/>
            <w:vAlign w:val="center"/>
          </w:tcPr>
          <w:p w14:paraId="55FEAD88">
            <w:pPr>
              <w:pStyle w:val="44"/>
              <w:rPr>
                <w:color w:val="auto"/>
              </w:rPr>
            </w:pPr>
          </w:p>
        </w:tc>
        <w:tc>
          <w:tcPr>
            <w:tcW w:w="720" w:type="dxa"/>
            <w:vAlign w:val="center"/>
          </w:tcPr>
          <w:p w14:paraId="0092DCDB">
            <w:pPr>
              <w:pStyle w:val="44"/>
              <w:rPr>
                <w:color w:val="auto"/>
              </w:rPr>
            </w:pPr>
          </w:p>
        </w:tc>
      </w:tr>
      <w:tr w14:paraId="032DE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5F94A7D2">
            <w:pPr>
              <w:pStyle w:val="44"/>
              <w:rPr>
                <w:color w:val="auto"/>
              </w:rPr>
            </w:pPr>
            <w:r>
              <w:rPr>
                <w:color w:val="auto"/>
              </w:rPr>
              <w:t>6</w:t>
            </w:r>
          </w:p>
        </w:tc>
        <w:tc>
          <w:tcPr>
            <w:tcW w:w="543" w:type="dxa"/>
            <w:vMerge w:val="continue"/>
            <w:vAlign w:val="center"/>
          </w:tcPr>
          <w:p w14:paraId="46445A14">
            <w:pPr>
              <w:pStyle w:val="44"/>
              <w:rPr>
                <w:color w:val="auto"/>
              </w:rPr>
            </w:pPr>
          </w:p>
        </w:tc>
        <w:tc>
          <w:tcPr>
            <w:tcW w:w="898" w:type="dxa"/>
            <w:vAlign w:val="center"/>
          </w:tcPr>
          <w:p w14:paraId="3FFDB8FF">
            <w:pPr>
              <w:pStyle w:val="44"/>
              <w:rPr>
                <w:color w:val="auto"/>
              </w:rPr>
            </w:pPr>
            <w:r>
              <w:rPr>
                <w:rFonts w:hint="eastAsia"/>
                <w:color w:val="auto"/>
              </w:rPr>
              <w:t>初期支护</w:t>
            </w:r>
          </w:p>
        </w:tc>
        <w:tc>
          <w:tcPr>
            <w:tcW w:w="5580" w:type="dxa"/>
            <w:vAlign w:val="center"/>
          </w:tcPr>
          <w:p w14:paraId="412F7E8F">
            <w:pPr>
              <w:pStyle w:val="44"/>
              <w:jc w:val="left"/>
              <w:rPr>
                <w:color w:val="auto"/>
              </w:rPr>
            </w:pPr>
            <w:r>
              <w:rPr>
                <w:color w:val="auto"/>
              </w:rPr>
              <w:t>1</w:t>
            </w:r>
            <w:r>
              <w:rPr>
                <w:rFonts w:hint="eastAsia"/>
                <w:color w:val="auto"/>
              </w:rPr>
              <w:t>）型钢、钢格栅、混凝土、锚杆、钢筋网等支护材料的材质、规格不符合设计要求，每项扣</w:t>
            </w:r>
            <w:r>
              <w:rPr>
                <w:color w:val="auto"/>
              </w:rPr>
              <w:t>5~10</w:t>
            </w:r>
            <w:r>
              <w:rPr>
                <w:rFonts w:hint="eastAsia"/>
                <w:color w:val="auto"/>
              </w:rPr>
              <w:t>分</w:t>
            </w:r>
          </w:p>
          <w:p w14:paraId="1E6281BF">
            <w:pPr>
              <w:pStyle w:val="44"/>
              <w:jc w:val="left"/>
              <w:rPr>
                <w:color w:val="auto"/>
              </w:rPr>
            </w:pPr>
            <w:r>
              <w:rPr>
                <w:color w:val="auto"/>
              </w:rPr>
              <w:t>2</w:t>
            </w:r>
            <w:r>
              <w:rPr>
                <w:rFonts w:hint="eastAsia"/>
                <w:color w:val="auto"/>
              </w:rPr>
              <w:t>）钢架间距超过设计允许值，扣</w:t>
            </w:r>
            <w:r>
              <w:rPr>
                <w:color w:val="auto"/>
              </w:rPr>
              <w:t>8</w:t>
            </w:r>
            <w:r>
              <w:rPr>
                <w:rFonts w:hint="eastAsia"/>
                <w:color w:val="auto"/>
              </w:rPr>
              <w:t>分</w:t>
            </w:r>
          </w:p>
          <w:p w14:paraId="7E570B43">
            <w:pPr>
              <w:pStyle w:val="44"/>
              <w:jc w:val="left"/>
              <w:rPr>
                <w:color w:val="auto"/>
              </w:rPr>
            </w:pPr>
            <w:r>
              <w:rPr>
                <w:color w:val="auto"/>
              </w:rPr>
              <w:t>3</w:t>
            </w:r>
            <w:r>
              <w:rPr>
                <w:rFonts w:hint="eastAsia"/>
                <w:color w:val="auto"/>
              </w:rPr>
              <w:t>）钢架节段间连接方式不符合设计及标准要求，扣</w:t>
            </w:r>
            <w:r>
              <w:rPr>
                <w:color w:val="auto"/>
              </w:rPr>
              <w:t>5</w:t>
            </w:r>
            <w:r>
              <w:rPr>
                <w:rFonts w:hint="eastAsia"/>
                <w:color w:val="auto"/>
              </w:rPr>
              <w:t>分</w:t>
            </w:r>
          </w:p>
          <w:p w14:paraId="4084907C">
            <w:pPr>
              <w:pStyle w:val="44"/>
              <w:jc w:val="left"/>
              <w:rPr>
                <w:color w:val="auto"/>
              </w:rPr>
            </w:pPr>
            <w:r>
              <w:rPr>
                <w:color w:val="auto"/>
              </w:rPr>
              <w:t>4</w:t>
            </w:r>
            <w:r>
              <w:rPr>
                <w:rFonts w:hint="eastAsia"/>
                <w:color w:val="auto"/>
              </w:rPr>
              <w:t>）钢架底部未垫实或有积水浸泡，每处扣</w:t>
            </w:r>
            <w:r>
              <w:rPr>
                <w:color w:val="auto"/>
              </w:rPr>
              <w:t>2</w:t>
            </w:r>
            <w:r>
              <w:rPr>
                <w:rFonts w:hint="eastAsia"/>
                <w:color w:val="auto"/>
              </w:rPr>
              <w:t>分</w:t>
            </w:r>
          </w:p>
          <w:p w14:paraId="1D42A138">
            <w:pPr>
              <w:pStyle w:val="44"/>
              <w:jc w:val="left"/>
              <w:rPr>
                <w:color w:val="auto"/>
              </w:rPr>
            </w:pPr>
            <w:r>
              <w:rPr>
                <w:color w:val="auto"/>
              </w:rPr>
              <w:t>5</w:t>
            </w:r>
            <w:r>
              <w:rPr>
                <w:rFonts w:hint="eastAsia"/>
                <w:color w:val="auto"/>
              </w:rPr>
              <w:t>）钢架之间纵向连接钢筋直径、间距不符合设计文件和标准要求，扣</w:t>
            </w:r>
            <w:r>
              <w:rPr>
                <w:color w:val="auto"/>
              </w:rPr>
              <w:t>5</w:t>
            </w:r>
            <w:r>
              <w:rPr>
                <w:rFonts w:hint="eastAsia"/>
                <w:color w:val="auto"/>
              </w:rPr>
              <w:t>分</w:t>
            </w:r>
          </w:p>
          <w:p w14:paraId="4CF88B2A">
            <w:pPr>
              <w:pStyle w:val="44"/>
              <w:jc w:val="left"/>
              <w:rPr>
                <w:color w:val="auto"/>
              </w:rPr>
            </w:pPr>
            <w:r>
              <w:rPr>
                <w:color w:val="auto"/>
              </w:rPr>
              <w:t>6</w:t>
            </w:r>
            <w:r>
              <w:rPr>
                <w:rFonts w:hint="eastAsia"/>
                <w:color w:val="auto"/>
              </w:rPr>
              <w:t>）钢筋网的钢筋间距、搭接长度不符合设计及标准要求，或与锚杆连接不牢固，扣</w:t>
            </w:r>
            <w:r>
              <w:rPr>
                <w:color w:val="auto"/>
              </w:rPr>
              <w:t>5</w:t>
            </w:r>
            <w:r>
              <w:rPr>
                <w:rFonts w:hint="eastAsia"/>
                <w:color w:val="auto"/>
              </w:rPr>
              <w:t>分</w:t>
            </w:r>
          </w:p>
          <w:p w14:paraId="32019046">
            <w:pPr>
              <w:pStyle w:val="44"/>
              <w:jc w:val="left"/>
              <w:rPr>
                <w:color w:val="auto"/>
              </w:rPr>
            </w:pPr>
            <w:r>
              <w:rPr>
                <w:color w:val="auto"/>
              </w:rPr>
              <w:t>7</w:t>
            </w:r>
            <w:r>
              <w:rPr>
                <w:rFonts w:hint="eastAsia"/>
                <w:color w:val="auto"/>
              </w:rPr>
              <w:t>）锚杆及锁脚锚管材质、规格、长度及花眼布置不符合设计和专项施工方案要求，或锚管未按设计要求注浆，每项扣</w:t>
            </w:r>
            <w:r>
              <w:rPr>
                <w:color w:val="auto"/>
              </w:rPr>
              <w:t>3</w:t>
            </w:r>
            <w:r>
              <w:rPr>
                <w:rFonts w:hint="eastAsia"/>
                <w:color w:val="auto"/>
              </w:rPr>
              <w:t>分</w:t>
            </w:r>
          </w:p>
          <w:p w14:paraId="00D308B8">
            <w:pPr>
              <w:pStyle w:val="44"/>
              <w:jc w:val="left"/>
              <w:rPr>
                <w:color w:val="auto"/>
              </w:rPr>
            </w:pPr>
            <w:r>
              <w:rPr>
                <w:color w:val="auto"/>
              </w:rPr>
              <w:t>8</w:t>
            </w:r>
            <w:r>
              <w:rPr>
                <w:rFonts w:hint="eastAsia"/>
                <w:color w:val="auto"/>
              </w:rPr>
              <w:t>）初期支护未按设计和施工方案要求及时封闭成环，扣</w:t>
            </w:r>
            <w:r>
              <w:rPr>
                <w:color w:val="auto"/>
              </w:rPr>
              <w:t>5</w:t>
            </w:r>
            <w:r>
              <w:rPr>
                <w:rFonts w:hint="eastAsia"/>
                <w:color w:val="auto"/>
              </w:rPr>
              <w:t>分</w:t>
            </w:r>
          </w:p>
          <w:p w14:paraId="1E86F6D3">
            <w:pPr>
              <w:pStyle w:val="44"/>
              <w:jc w:val="left"/>
              <w:rPr>
                <w:color w:val="auto"/>
              </w:rPr>
            </w:pPr>
            <w:r>
              <w:rPr>
                <w:color w:val="auto"/>
              </w:rPr>
              <w:t>9</w:t>
            </w:r>
            <w:r>
              <w:rPr>
                <w:rFonts w:hint="eastAsia"/>
                <w:color w:val="auto"/>
              </w:rPr>
              <w:t>）支护结构变形、损坏未及时处理，扣</w:t>
            </w:r>
            <w:r>
              <w:rPr>
                <w:color w:val="auto"/>
              </w:rPr>
              <w:t>5~10</w:t>
            </w:r>
            <w:r>
              <w:rPr>
                <w:rFonts w:hint="eastAsia"/>
                <w:color w:val="auto"/>
              </w:rPr>
              <w:t>分</w:t>
            </w:r>
          </w:p>
          <w:p w14:paraId="1DAF05E0">
            <w:pPr>
              <w:pStyle w:val="44"/>
              <w:jc w:val="left"/>
              <w:rPr>
                <w:color w:val="auto"/>
              </w:rPr>
            </w:pPr>
            <w:r>
              <w:rPr>
                <w:color w:val="auto"/>
              </w:rPr>
              <w:t>10</w:t>
            </w:r>
            <w:r>
              <w:rPr>
                <w:rFonts w:hint="eastAsia"/>
                <w:color w:val="auto"/>
              </w:rPr>
              <w:t>）未及时进行初期支护背后回填注浆，扣</w:t>
            </w:r>
            <w:r>
              <w:rPr>
                <w:color w:val="auto"/>
              </w:rPr>
              <w:t>5</w:t>
            </w:r>
            <w:r>
              <w:rPr>
                <w:rFonts w:hint="eastAsia"/>
                <w:color w:val="auto"/>
              </w:rPr>
              <w:t>分</w:t>
            </w:r>
          </w:p>
          <w:p w14:paraId="291D229A">
            <w:pPr>
              <w:pStyle w:val="44"/>
              <w:jc w:val="left"/>
              <w:rPr>
                <w:color w:val="auto"/>
              </w:rPr>
            </w:pPr>
            <w:r>
              <w:rPr>
                <w:color w:val="auto"/>
              </w:rPr>
              <w:t>11</w:t>
            </w:r>
            <w:r>
              <w:rPr>
                <w:rFonts w:hint="eastAsia"/>
                <w:color w:val="auto"/>
              </w:rPr>
              <w:t>）喷射混凝土开裂、脱落或钢筋、锚杆外露，每项扣</w:t>
            </w:r>
            <w:r>
              <w:rPr>
                <w:color w:val="auto"/>
              </w:rPr>
              <w:t>3</w:t>
            </w:r>
            <w:r>
              <w:rPr>
                <w:rFonts w:hint="eastAsia"/>
                <w:color w:val="auto"/>
              </w:rPr>
              <w:t>分</w:t>
            </w:r>
          </w:p>
          <w:p w14:paraId="7B614D16">
            <w:pPr>
              <w:pStyle w:val="44"/>
              <w:jc w:val="left"/>
              <w:rPr>
                <w:color w:val="auto"/>
              </w:rPr>
            </w:pPr>
            <w:r>
              <w:rPr>
                <w:color w:val="auto"/>
              </w:rPr>
              <w:t>12</w:t>
            </w:r>
            <w:r>
              <w:rPr>
                <w:rFonts w:hint="eastAsia"/>
                <w:color w:val="auto"/>
              </w:rPr>
              <w:t>）喷射混凝土厚度、强度未达到设计及标准要求，每处扣</w:t>
            </w:r>
            <w:r>
              <w:rPr>
                <w:color w:val="auto"/>
              </w:rPr>
              <w:t>2</w:t>
            </w:r>
            <w:r>
              <w:rPr>
                <w:rFonts w:hint="eastAsia"/>
                <w:color w:val="auto"/>
              </w:rPr>
              <w:t>分</w:t>
            </w:r>
          </w:p>
          <w:p w14:paraId="0808B539">
            <w:pPr>
              <w:pStyle w:val="44"/>
              <w:jc w:val="left"/>
              <w:rPr>
                <w:color w:val="auto"/>
              </w:rPr>
            </w:pPr>
            <w:r>
              <w:rPr>
                <w:color w:val="auto"/>
              </w:rPr>
              <w:t>13</w:t>
            </w:r>
            <w:r>
              <w:rPr>
                <w:rFonts w:hint="eastAsia"/>
                <w:color w:val="auto"/>
              </w:rPr>
              <w:t>）初期支护断面侵限处理（换拱）不符合专项施工方案要求，扣</w:t>
            </w:r>
            <w:r>
              <w:rPr>
                <w:color w:val="auto"/>
              </w:rPr>
              <w:t>5~10</w:t>
            </w:r>
            <w:r>
              <w:rPr>
                <w:rFonts w:hint="eastAsia"/>
                <w:color w:val="auto"/>
              </w:rPr>
              <w:t>分</w:t>
            </w:r>
          </w:p>
        </w:tc>
        <w:tc>
          <w:tcPr>
            <w:tcW w:w="720" w:type="dxa"/>
            <w:vAlign w:val="center"/>
          </w:tcPr>
          <w:p w14:paraId="6DDE2197">
            <w:pPr>
              <w:pStyle w:val="44"/>
              <w:rPr>
                <w:color w:val="auto"/>
              </w:rPr>
            </w:pPr>
            <w:r>
              <w:rPr>
                <w:color w:val="auto"/>
              </w:rPr>
              <w:t>10</w:t>
            </w:r>
          </w:p>
        </w:tc>
        <w:tc>
          <w:tcPr>
            <w:tcW w:w="720" w:type="dxa"/>
            <w:vAlign w:val="center"/>
          </w:tcPr>
          <w:p w14:paraId="283ACB1A">
            <w:pPr>
              <w:pStyle w:val="44"/>
              <w:rPr>
                <w:color w:val="auto"/>
              </w:rPr>
            </w:pPr>
          </w:p>
        </w:tc>
        <w:tc>
          <w:tcPr>
            <w:tcW w:w="720" w:type="dxa"/>
            <w:vAlign w:val="center"/>
          </w:tcPr>
          <w:p w14:paraId="46B830D1">
            <w:pPr>
              <w:pStyle w:val="44"/>
              <w:rPr>
                <w:color w:val="auto"/>
              </w:rPr>
            </w:pPr>
          </w:p>
        </w:tc>
      </w:tr>
      <w:tr w14:paraId="4B362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39772BD9">
            <w:pPr>
              <w:pStyle w:val="44"/>
              <w:rPr>
                <w:color w:val="auto"/>
              </w:rPr>
            </w:pPr>
            <w:r>
              <w:rPr>
                <w:color w:val="auto"/>
              </w:rPr>
              <w:t>7</w:t>
            </w:r>
          </w:p>
        </w:tc>
        <w:tc>
          <w:tcPr>
            <w:tcW w:w="543" w:type="dxa"/>
            <w:vMerge w:val="continue"/>
            <w:vAlign w:val="center"/>
          </w:tcPr>
          <w:p w14:paraId="27276590">
            <w:pPr>
              <w:pStyle w:val="44"/>
              <w:rPr>
                <w:color w:val="auto"/>
              </w:rPr>
            </w:pPr>
          </w:p>
        </w:tc>
        <w:tc>
          <w:tcPr>
            <w:tcW w:w="898" w:type="dxa"/>
            <w:vAlign w:val="center"/>
          </w:tcPr>
          <w:p w14:paraId="77D0C554">
            <w:pPr>
              <w:pStyle w:val="44"/>
              <w:rPr>
                <w:color w:val="auto"/>
              </w:rPr>
            </w:pPr>
            <w:r>
              <w:rPr>
                <w:rFonts w:hint="eastAsia"/>
                <w:color w:val="auto"/>
              </w:rPr>
              <w:t>施工监测</w:t>
            </w:r>
          </w:p>
        </w:tc>
        <w:tc>
          <w:tcPr>
            <w:tcW w:w="5580" w:type="dxa"/>
            <w:vAlign w:val="center"/>
          </w:tcPr>
          <w:p w14:paraId="2B31BD81">
            <w:pPr>
              <w:pStyle w:val="44"/>
              <w:jc w:val="left"/>
              <w:rPr>
                <w:color w:val="auto"/>
              </w:rPr>
            </w:pPr>
            <w:r>
              <w:rPr>
                <w:color w:val="auto"/>
              </w:rPr>
              <w:t>1</w:t>
            </w:r>
            <w:r>
              <w:rPr>
                <w:rFonts w:hint="eastAsia"/>
                <w:color w:val="auto"/>
              </w:rPr>
              <w:t>）未编制监测方案，扣</w:t>
            </w:r>
            <w:r>
              <w:rPr>
                <w:color w:val="auto"/>
              </w:rPr>
              <w:t>10</w:t>
            </w:r>
            <w:r>
              <w:rPr>
                <w:rFonts w:hint="eastAsia"/>
                <w:color w:val="auto"/>
              </w:rPr>
              <w:t>分</w:t>
            </w:r>
          </w:p>
          <w:p w14:paraId="029CC58B">
            <w:pPr>
              <w:pStyle w:val="44"/>
              <w:jc w:val="left"/>
              <w:rPr>
                <w:color w:val="auto"/>
              </w:rPr>
            </w:pPr>
            <w:r>
              <w:rPr>
                <w:color w:val="auto"/>
              </w:rPr>
              <w:t>2</w:t>
            </w:r>
            <w:r>
              <w:rPr>
                <w:rFonts w:hint="eastAsia"/>
                <w:color w:val="auto"/>
              </w:rPr>
              <w:t>）方案中监测项目、监测点布置、监测方法、监测报警值不符合设计及标准要求，每项扣</w:t>
            </w:r>
            <w:r>
              <w:rPr>
                <w:color w:val="auto"/>
              </w:rPr>
              <w:t>5</w:t>
            </w:r>
            <w:r>
              <w:rPr>
                <w:rFonts w:hint="eastAsia"/>
                <w:color w:val="auto"/>
              </w:rPr>
              <w:t>分</w:t>
            </w:r>
          </w:p>
          <w:p w14:paraId="0CB17AB2">
            <w:pPr>
              <w:pStyle w:val="44"/>
              <w:jc w:val="left"/>
              <w:rPr>
                <w:color w:val="auto"/>
              </w:rPr>
            </w:pPr>
            <w:r>
              <w:rPr>
                <w:color w:val="auto"/>
              </w:rPr>
              <w:t>3</w:t>
            </w:r>
            <w:r>
              <w:rPr>
                <w:rFonts w:hint="eastAsia"/>
                <w:color w:val="auto"/>
              </w:rPr>
              <w:t>）未按监测方案确定的项目对拱顶下沉、隧道收敛、爆破振动影响等监测项目进行监测，扣</w:t>
            </w:r>
            <w:r>
              <w:rPr>
                <w:color w:val="auto"/>
              </w:rPr>
              <w:t>10</w:t>
            </w:r>
            <w:r>
              <w:rPr>
                <w:rFonts w:hint="eastAsia"/>
                <w:color w:val="auto"/>
              </w:rPr>
              <w:t>分</w:t>
            </w:r>
          </w:p>
          <w:p w14:paraId="5759D9CE">
            <w:pPr>
              <w:pStyle w:val="44"/>
              <w:jc w:val="left"/>
              <w:rPr>
                <w:color w:val="auto"/>
              </w:rPr>
            </w:pPr>
            <w:r>
              <w:rPr>
                <w:color w:val="auto"/>
              </w:rPr>
              <w:t>4</w:t>
            </w:r>
            <w:r>
              <w:rPr>
                <w:rFonts w:hint="eastAsia"/>
                <w:color w:val="auto"/>
              </w:rPr>
              <w:t>）未按规定对受施工影响范围内建（构）筑物、既有铁路或轨道线、重要管线和道路等进行监测，扣</w:t>
            </w:r>
            <w:r>
              <w:rPr>
                <w:color w:val="auto"/>
              </w:rPr>
              <w:t>10</w:t>
            </w:r>
            <w:r>
              <w:rPr>
                <w:rFonts w:hint="eastAsia"/>
                <w:color w:val="auto"/>
              </w:rPr>
              <w:t>分</w:t>
            </w:r>
          </w:p>
          <w:p w14:paraId="6AA714B8">
            <w:pPr>
              <w:pStyle w:val="44"/>
              <w:jc w:val="left"/>
              <w:rPr>
                <w:color w:val="auto"/>
              </w:rPr>
            </w:pPr>
            <w:r>
              <w:rPr>
                <w:color w:val="auto"/>
              </w:rPr>
              <w:t>5</w:t>
            </w:r>
            <w:r>
              <w:rPr>
                <w:rFonts w:hint="eastAsia"/>
                <w:color w:val="auto"/>
              </w:rPr>
              <w:t>）未按监测方案对其他项目进行监测，扣</w:t>
            </w:r>
            <w:r>
              <w:rPr>
                <w:color w:val="auto"/>
              </w:rPr>
              <w:t>5</w:t>
            </w:r>
            <w:r>
              <w:rPr>
                <w:rFonts w:hint="eastAsia"/>
                <w:color w:val="auto"/>
              </w:rPr>
              <w:t>分</w:t>
            </w:r>
          </w:p>
          <w:p w14:paraId="433EA789">
            <w:pPr>
              <w:pStyle w:val="44"/>
              <w:jc w:val="left"/>
              <w:rPr>
                <w:color w:val="auto"/>
              </w:rPr>
            </w:pPr>
            <w:r>
              <w:rPr>
                <w:color w:val="auto"/>
              </w:rPr>
              <w:t>6</w:t>
            </w:r>
            <w:r>
              <w:rPr>
                <w:rFonts w:hint="eastAsia"/>
                <w:color w:val="auto"/>
              </w:rPr>
              <w:t>）监测点设置不符合监测方案，扣</w:t>
            </w:r>
            <w:r>
              <w:rPr>
                <w:color w:val="auto"/>
              </w:rPr>
              <w:t>3</w:t>
            </w:r>
            <w:r>
              <w:rPr>
                <w:rFonts w:hint="eastAsia"/>
                <w:color w:val="auto"/>
              </w:rPr>
              <w:t>～</w:t>
            </w:r>
            <w:r>
              <w:rPr>
                <w:color w:val="auto"/>
              </w:rPr>
              <w:t>5</w:t>
            </w:r>
            <w:r>
              <w:rPr>
                <w:rFonts w:hint="eastAsia"/>
                <w:color w:val="auto"/>
              </w:rPr>
              <w:t>分</w:t>
            </w:r>
          </w:p>
          <w:p w14:paraId="41B1898D">
            <w:pPr>
              <w:pStyle w:val="44"/>
              <w:jc w:val="left"/>
              <w:rPr>
                <w:color w:val="auto"/>
              </w:rPr>
            </w:pPr>
            <w:r>
              <w:rPr>
                <w:color w:val="auto"/>
              </w:rPr>
              <w:t>7</w:t>
            </w:r>
            <w:r>
              <w:rPr>
                <w:rFonts w:hint="eastAsia"/>
                <w:color w:val="auto"/>
              </w:rPr>
              <w:t>）监测点受破坏未及时恢复，每一测点扣</w:t>
            </w:r>
            <w:r>
              <w:rPr>
                <w:color w:val="auto"/>
              </w:rPr>
              <w:t>2</w:t>
            </w:r>
            <w:r>
              <w:rPr>
                <w:rFonts w:hint="eastAsia"/>
                <w:color w:val="auto"/>
              </w:rPr>
              <w:t>分</w:t>
            </w:r>
          </w:p>
          <w:p w14:paraId="0DC38931">
            <w:pPr>
              <w:pStyle w:val="44"/>
              <w:jc w:val="left"/>
              <w:rPr>
                <w:color w:val="auto"/>
              </w:rPr>
            </w:pPr>
            <w:r>
              <w:rPr>
                <w:color w:val="auto"/>
              </w:rPr>
              <w:t>8)</w:t>
            </w:r>
            <w:r>
              <w:rPr>
                <w:rFonts w:hint="eastAsia"/>
                <w:color w:val="auto"/>
              </w:rPr>
              <w:t>监测的时间间隔不符合监测方案要求或监测结果变化速率较大未加密观测次数，扣</w:t>
            </w:r>
            <w:r>
              <w:rPr>
                <w:color w:val="auto"/>
              </w:rPr>
              <w:t>5-8</w:t>
            </w:r>
            <w:r>
              <w:rPr>
                <w:rFonts w:hint="eastAsia"/>
                <w:color w:val="auto"/>
              </w:rPr>
              <w:t>分</w:t>
            </w:r>
          </w:p>
          <w:p w14:paraId="773D469D">
            <w:pPr>
              <w:pStyle w:val="44"/>
              <w:jc w:val="left"/>
              <w:rPr>
                <w:color w:val="auto"/>
              </w:rPr>
            </w:pPr>
            <w:r>
              <w:rPr>
                <w:color w:val="auto"/>
              </w:rPr>
              <w:t>9</w:t>
            </w:r>
            <w:r>
              <w:rPr>
                <w:rFonts w:hint="eastAsia"/>
                <w:color w:val="auto"/>
              </w:rPr>
              <w:t>）未按设计及工程实际及时处理监测数据并提交监测报告或监测报告内容不完整，扣</w:t>
            </w:r>
            <w:r>
              <w:rPr>
                <w:color w:val="auto"/>
              </w:rPr>
              <w:t>5</w:t>
            </w:r>
            <w:r>
              <w:rPr>
                <w:rFonts w:hint="eastAsia"/>
                <w:color w:val="auto"/>
              </w:rPr>
              <w:t>～</w:t>
            </w:r>
            <w:r>
              <w:rPr>
                <w:color w:val="auto"/>
              </w:rPr>
              <w:t>8</w:t>
            </w:r>
            <w:r>
              <w:rPr>
                <w:rFonts w:hint="eastAsia"/>
                <w:color w:val="auto"/>
              </w:rPr>
              <w:t>分</w:t>
            </w:r>
          </w:p>
          <w:p w14:paraId="2D5824E9">
            <w:pPr>
              <w:pStyle w:val="44"/>
              <w:jc w:val="left"/>
              <w:rPr>
                <w:color w:val="auto"/>
              </w:rPr>
            </w:pPr>
            <w:r>
              <w:rPr>
                <w:color w:val="auto"/>
              </w:rPr>
              <w:t>10</w:t>
            </w:r>
            <w:r>
              <w:rPr>
                <w:rFonts w:hint="eastAsia"/>
                <w:color w:val="auto"/>
              </w:rPr>
              <w:t>）当监测值达到所规定的报警值时未按规定程序及时、有效处理，扣</w:t>
            </w:r>
            <w:r>
              <w:rPr>
                <w:color w:val="auto"/>
              </w:rPr>
              <w:t>10</w:t>
            </w:r>
            <w:r>
              <w:rPr>
                <w:rFonts w:hint="eastAsia"/>
                <w:color w:val="auto"/>
              </w:rPr>
              <w:t>分</w:t>
            </w:r>
          </w:p>
        </w:tc>
        <w:tc>
          <w:tcPr>
            <w:tcW w:w="720" w:type="dxa"/>
            <w:vAlign w:val="center"/>
          </w:tcPr>
          <w:p w14:paraId="770DA2B4">
            <w:pPr>
              <w:pStyle w:val="44"/>
              <w:rPr>
                <w:color w:val="auto"/>
              </w:rPr>
            </w:pPr>
            <w:r>
              <w:rPr>
                <w:color w:val="auto"/>
              </w:rPr>
              <w:t>10</w:t>
            </w:r>
          </w:p>
        </w:tc>
        <w:tc>
          <w:tcPr>
            <w:tcW w:w="720" w:type="dxa"/>
            <w:vAlign w:val="center"/>
          </w:tcPr>
          <w:p w14:paraId="03009B0E">
            <w:pPr>
              <w:pStyle w:val="44"/>
              <w:rPr>
                <w:color w:val="auto"/>
              </w:rPr>
            </w:pPr>
          </w:p>
        </w:tc>
        <w:tc>
          <w:tcPr>
            <w:tcW w:w="720" w:type="dxa"/>
            <w:vAlign w:val="center"/>
          </w:tcPr>
          <w:p w14:paraId="2FD8DDE2">
            <w:pPr>
              <w:pStyle w:val="44"/>
              <w:rPr>
                <w:color w:val="auto"/>
              </w:rPr>
            </w:pPr>
          </w:p>
        </w:tc>
      </w:tr>
      <w:tr w14:paraId="7514C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3D3C1A97">
            <w:pPr>
              <w:pStyle w:val="44"/>
              <w:rPr>
                <w:color w:val="auto"/>
              </w:rPr>
            </w:pPr>
          </w:p>
        </w:tc>
        <w:tc>
          <w:tcPr>
            <w:tcW w:w="543" w:type="dxa"/>
            <w:vMerge w:val="continue"/>
            <w:vAlign w:val="center"/>
          </w:tcPr>
          <w:p w14:paraId="74CE9042">
            <w:pPr>
              <w:pStyle w:val="44"/>
              <w:rPr>
                <w:color w:val="auto"/>
              </w:rPr>
            </w:pPr>
          </w:p>
        </w:tc>
        <w:tc>
          <w:tcPr>
            <w:tcW w:w="6478" w:type="dxa"/>
            <w:gridSpan w:val="2"/>
            <w:vAlign w:val="center"/>
          </w:tcPr>
          <w:p w14:paraId="43B154A2">
            <w:pPr>
              <w:pStyle w:val="44"/>
              <w:rPr>
                <w:b/>
                <w:bCs w:val="0"/>
                <w:color w:val="auto"/>
              </w:rPr>
            </w:pPr>
            <w:r>
              <w:rPr>
                <w:rFonts w:hint="eastAsia"/>
                <w:b/>
                <w:bCs w:val="0"/>
                <w:color w:val="auto"/>
              </w:rPr>
              <w:t xml:space="preserve">小 </w:t>
            </w:r>
            <w:r>
              <w:rPr>
                <w:b/>
                <w:bCs w:val="0"/>
                <w:color w:val="auto"/>
              </w:rPr>
              <w:t xml:space="preserve"> </w:t>
            </w:r>
            <w:r>
              <w:rPr>
                <w:rFonts w:hint="eastAsia"/>
                <w:b/>
                <w:bCs w:val="0"/>
                <w:color w:val="auto"/>
              </w:rPr>
              <w:t>计</w:t>
            </w:r>
          </w:p>
        </w:tc>
        <w:tc>
          <w:tcPr>
            <w:tcW w:w="720" w:type="dxa"/>
            <w:vAlign w:val="center"/>
          </w:tcPr>
          <w:p w14:paraId="27069BD9">
            <w:pPr>
              <w:pStyle w:val="44"/>
              <w:rPr>
                <w:color w:val="auto"/>
              </w:rPr>
            </w:pPr>
            <w:r>
              <w:rPr>
                <w:color w:val="auto"/>
              </w:rPr>
              <w:t>70</w:t>
            </w:r>
          </w:p>
        </w:tc>
        <w:tc>
          <w:tcPr>
            <w:tcW w:w="720" w:type="dxa"/>
            <w:vAlign w:val="center"/>
          </w:tcPr>
          <w:p w14:paraId="394706B2">
            <w:pPr>
              <w:pStyle w:val="44"/>
              <w:rPr>
                <w:color w:val="auto"/>
              </w:rPr>
            </w:pPr>
          </w:p>
        </w:tc>
        <w:tc>
          <w:tcPr>
            <w:tcW w:w="720" w:type="dxa"/>
            <w:vAlign w:val="center"/>
          </w:tcPr>
          <w:p w14:paraId="2C3854DC">
            <w:pPr>
              <w:pStyle w:val="44"/>
              <w:rPr>
                <w:color w:val="auto"/>
              </w:rPr>
            </w:pPr>
          </w:p>
        </w:tc>
      </w:tr>
      <w:tr w14:paraId="11621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trPr>
        <w:tc>
          <w:tcPr>
            <w:tcW w:w="539" w:type="dxa"/>
            <w:vAlign w:val="center"/>
          </w:tcPr>
          <w:p w14:paraId="21A4CC21">
            <w:pPr>
              <w:pStyle w:val="44"/>
              <w:rPr>
                <w:color w:val="auto"/>
              </w:rPr>
            </w:pPr>
            <w:r>
              <w:rPr>
                <w:color w:val="auto"/>
              </w:rPr>
              <w:t>1</w:t>
            </w:r>
          </w:p>
        </w:tc>
        <w:tc>
          <w:tcPr>
            <w:tcW w:w="543" w:type="dxa"/>
            <w:vMerge w:val="restart"/>
            <w:vAlign w:val="center"/>
          </w:tcPr>
          <w:p w14:paraId="2FAA3CBA">
            <w:pPr>
              <w:pStyle w:val="44"/>
              <w:rPr>
                <w:color w:val="auto"/>
              </w:rPr>
            </w:pPr>
            <w:r>
              <w:rPr>
                <w:rFonts w:hint="eastAsia"/>
                <w:color w:val="auto"/>
              </w:rPr>
              <w:t>一</w:t>
            </w:r>
          </w:p>
          <w:p w14:paraId="289C94BA">
            <w:pPr>
              <w:pStyle w:val="44"/>
              <w:rPr>
                <w:color w:val="auto"/>
              </w:rPr>
            </w:pPr>
            <w:r>
              <w:rPr>
                <w:rFonts w:hint="eastAsia"/>
                <w:color w:val="auto"/>
              </w:rPr>
              <w:t>般</w:t>
            </w:r>
          </w:p>
          <w:p w14:paraId="388AEE4F">
            <w:pPr>
              <w:pStyle w:val="44"/>
              <w:rPr>
                <w:color w:val="auto"/>
              </w:rPr>
            </w:pPr>
            <w:r>
              <w:rPr>
                <w:rFonts w:hint="eastAsia"/>
                <w:color w:val="auto"/>
              </w:rPr>
              <w:t>项</w:t>
            </w:r>
          </w:p>
          <w:p w14:paraId="3B875E8C">
            <w:pPr>
              <w:pStyle w:val="44"/>
              <w:rPr>
                <w:color w:val="auto"/>
              </w:rPr>
            </w:pPr>
            <w:r>
              <w:rPr>
                <w:rFonts w:hint="eastAsia"/>
                <w:color w:val="auto"/>
              </w:rPr>
              <w:t>目</w:t>
            </w:r>
          </w:p>
        </w:tc>
        <w:tc>
          <w:tcPr>
            <w:tcW w:w="898" w:type="dxa"/>
            <w:vAlign w:val="center"/>
          </w:tcPr>
          <w:p w14:paraId="55E839C8">
            <w:pPr>
              <w:pStyle w:val="44"/>
              <w:rPr>
                <w:color w:val="auto"/>
              </w:rPr>
            </w:pPr>
            <w:r>
              <w:rPr>
                <w:rFonts w:hint="eastAsia"/>
                <w:color w:val="auto"/>
              </w:rPr>
              <w:t>防水工程</w:t>
            </w:r>
          </w:p>
        </w:tc>
        <w:tc>
          <w:tcPr>
            <w:tcW w:w="5580" w:type="dxa"/>
            <w:vAlign w:val="center"/>
          </w:tcPr>
          <w:p w14:paraId="1EF5C521">
            <w:pPr>
              <w:pStyle w:val="44"/>
              <w:jc w:val="left"/>
              <w:rPr>
                <w:color w:val="auto"/>
              </w:rPr>
            </w:pPr>
            <w:r>
              <w:rPr>
                <w:color w:val="auto"/>
              </w:rPr>
              <w:t>1</w:t>
            </w:r>
            <w:r>
              <w:rPr>
                <w:rFonts w:hint="eastAsia"/>
                <w:color w:val="auto"/>
              </w:rPr>
              <w:t>）现场未按规定配备消防器材，扣</w:t>
            </w:r>
            <w:r>
              <w:rPr>
                <w:color w:val="auto"/>
              </w:rPr>
              <w:t>5</w:t>
            </w:r>
            <w:r>
              <w:rPr>
                <w:rFonts w:hint="eastAsia"/>
                <w:color w:val="auto"/>
              </w:rPr>
              <w:t>分</w:t>
            </w:r>
          </w:p>
          <w:p w14:paraId="76F68360">
            <w:pPr>
              <w:pStyle w:val="44"/>
              <w:jc w:val="left"/>
              <w:rPr>
                <w:color w:val="auto"/>
              </w:rPr>
            </w:pPr>
            <w:r>
              <w:rPr>
                <w:color w:val="auto"/>
              </w:rPr>
              <w:t>2</w:t>
            </w:r>
            <w:r>
              <w:rPr>
                <w:rFonts w:hint="eastAsia"/>
                <w:color w:val="auto"/>
              </w:rPr>
              <w:t>）未采取措施防止电焊焊渣飘落到防水材料上，扣</w:t>
            </w:r>
            <w:r>
              <w:rPr>
                <w:color w:val="auto"/>
              </w:rPr>
              <w:t>5</w:t>
            </w:r>
            <w:r>
              <w:rPr>
                <w:rFonts w:hint="eastAsia"/>
                <w:color w:val="auto"/>
              </w:rPr>
              <w:t>分</w:t>
            </w:r>
          </w:p>
          <w:p w14:paraId="51814AC1">
            <w:pPr>
              <w:pStyle w:val="44"/>
              <w:jc w:val="left"/>
              <w:rPr>
                <w:color w:val="auto"/>
              </w:rPr>
            </w:pPr>
            <w:r>
              <w:rPr>
                <w:color w:val="auto"/>
              </w:rPr>
              <w:t>3</w:t>
            </w:r>
            <w:r>
              <w:rPr>
                <w:rFonts w:hint="eastAsia"/>
                <w:color w:val="auto"/>
              </w:rPr>
              <w:t>）热风口对着人，扣</w:t>
            </w:r>
            <w:r>
              <w:rPr>
                <w:color w:val="auto"/>
              </w:rPr>
              <w:t>2</w:t>
            </w:r>
            <w:r>
              <w:rPr>
                <w:rFonts w:hint="eastAsia"/>
                <w:color w:val="auto"/>
              </w:rPr>
              <w:t>分</w:t>
            </w:r>
          </w:p>
          <w:p w14:paraId="16BBE88D">
            <w:pPr>
              <w:pStyle w:val="44"/>
              <w:jc w:val="left"/>
              <w:rPr>
                <w:color w:val="auto"/>
              </w:rPr>
            </w:pPr>
            <w:r>
              <w:rPr>
                <w:color w:val="auto"/>
              </w:rPr>
              <w:t>4</w:t>
            </w:r>
            <w:r>
              <w:rPr>
                <w:rFonts w:hint="eastAsia"/>
                <w:color w:val="auto"/>
              </w:rPr>
              <w:t>）射钉枪枪口对着人，扣</w:t>
            </w:r>
            <w:r>
              <w:rPr>
                <w:color w:val="auto"/>
              </w:rPr>
              <w:t>5</w:t>
            </w:r>
            <w:r>
              <w:rPr>
                <w:rFonts w:hint="eastAsia"/>
                <w:color w:val="auto"/>
              </w:rPr>
              <w:t>分</w:t>
            </w:r>
          </w:p>
          <w:p w14:paraId="416E126A">
            <w:pPr>
              <w:pStyle w:val="44"/>
              <w:jc w:val="left"/>
              <w:rPr>
                <w:color w:val="auto"/>
              </w:rPr>
            </w:pPr>
            <w:r>
              <w:rPr>
                <w:color w:val="auto"/>
              </w:rPr>
              <w:t>5</w:t>
            </w:r>
            <w:r>
              <w:rPr>
                <w:rFonts w:hint="eastAsia"/>
                <w:color w:val="auto"/>
              </w:rPr>
              <w:t>）防水板、土工布等易燃材料余料未及时清理，扣</w:t>
            </w:r>
            <w:r>
              <w:rPr>
                <w:color w:val="auto"/>
              </w:rPr>
              <w:t>3-5</w:t>
            </w:r>
            <w:r>
              <w:rPr>
                <w:rFonts w:hint="eastAsia"/>
                <w:color w:val="auto"/>
              </w:rPr>
              <w:t>分</w:t>
            </w:r>
          </w:p>
        </w:tc>
        <w:tc>
          <w:tcPr>
            <w:tcW w:w="720" w:type="dxa"/>
            <w:vAlign w:val="center"/>
          </w:tcPr>
          <w:p w14:paraId="4918EC97">
            <w:pPr>
              <w:pStyle w:val="44"/>
              <w:rPr>
                <w:color w:val="auto"/>
              </w:rPr>
            </w:pPr>
            <w:r>
              <w:rPr>
                <w:color w:val="auto"/>
              </w:rPr>
              <w:t>5</w:t>
            </w:r>
          </w:p>
        </w:tc>
        <w:tc>
          <w:tcPr>
            <w:tcW w:w="720" w:type="dxa"/>
            <w:vAlign w:val="center"/>
          </w:tcPr>
          <w:p w14:paraId="3819346B">
            <w:pPr>
              <w:pStyle w:val="44"/>
              <w:rPr>
                <w:color w:val="auto"/>
              </w:rPr>
            </w:pPr>
          </w:p>
        </w:tc>
        <w:tc>
          <w:tcPr>
            <w:tcW w:w="720" w:type="dxa"/>
            <w:vAlign w:val="center"/>
          </w:tcPr>
          <w:p w14:paraId="11B7088E">
            <w:pPr>
              <w:pStyle w:val="44"/>
              <w:rPr>
                <w:color w:val="auto"/>
              </w:rPr>
            </w:pPr>
          </w:p>
        </w:tc>
      </w:tr>
      <w:tr w14:paraId="77F31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1DF838EC">
            <w:pPr>
              <w:pStyle w:val="44"/>
              <w:rPr>
                <w:color w:val="auto"/>
              </w:rPr>
            </w:pPr>
            <w:r>
              <w:rPr>
                <w:color w:val="auto"/>
              </w:rPr>
              <w:t>2</w:t>
            </w:r>
          </w:p>
        </w:tc>
        <w:tc>
          <w:tcPr>
            <w:tcW w:w="543" w:type="dxa"/>
            <w:vMerge w:val="continue"/>
          </w:tcPr>
          <w:p w14:paraId="52B54AB6">
            <w:pPr>
              <w:pStyle w:val="44"/>
              <w:rPr>
                <w:color w:val="auto"/>
              </w:rPr>
            </w:pPr>
          </w:p>
        </w:tc>
        <w:tc>
          <w:tcPr>
            <w:tcW w:w="898" w:type="dxa"/>
            <w:vAlign w:val="center"/>
          </w:tcPr>
          <w:p w14:paraId="0076EF27">
            <w:pPr>
              <w:pStyle w:val="44"/>
              <w:rPr>
                <w:color w:val="auto"/>
              </w:rPr>
            </w:pPr>
            <w:r>
              <w:rPr>
                <w:rFonts w:hint="eastAsia"/>
                <w:color w:val="auto"/>
              </w:rPr>
              <w:t>二次衬砌</w:t>
            </w:r>
          </w:p>
        </w:tc>
        <w:tc>
          <w:tcPr>
            <w:tcW w:w="5580" w:type="dxa"/>
            <w:vAlign w:val="center"/>
          </w:tcPr>
          <w:p w14:paraId="38821A6E">
            <w:pPr>
              <w:pStyle w:val="44"/>
              <w:jc w:val="left"/>
              <w:rPr>
                <w:color w:val="auto"/>
              </w:rPr>
            </w:pPr>
            <w:r>
              <w:rPr>
                <w:color w:val="auto"/>
              </w:rPr>
              <w:t>1</w:t>
            </w:r>
            <w:r>
              <w:rPr>
                <w:rFonts w:hint="eastAsia"/>
                <w:color w:val="auto"/>
              </w:rPr>
              <w:t>）二次衬砌与掌子面与距离超过设计及标准规定的安全距离，扣</w:t>
            </w:r>
            <w:r>
              <w:rPr>
                <w:color w:val="auto"/>
              </w:rPr>
              <w:t>5-10</w:t>
            </w:r>
            <w:r>
              <w:rPr>
                <w:rFonts w:hint="eastAsia"/>
                <w:color w:val="auto"/>
              </w:rPr>
              <w:t>分</w:t>
            </w:r>
          </w:p>
          <w:p w14:paraId="3E05D9C1">
            <w:pPr>
              <w:pStyle w:val="44"/>
              <w:jc w:val="left"/>
              <w:rPr>
                <w:color w:val="auto"/>
              </w:rPr>
            </w:pPr>
            <w:r>
              <w:rPr>
                <w:color w:val="auto"/>
              </w:rPr>
              <w:t>2</w:t>
            </w:r>
            <w:r>
              <w:rPr>
                <w:rFonts w:hint="eastAsia"/>
                <w:color w:val="auto"/>
              </w:rPr>
              <w:t>）模板台车的工作平台面未牢固满铺防滑板，扣</w:t>
            </w:r>
            <w:r>
              <w:rPr>
                <w:color w:val="auto"/>
              </w:rPr>
              <w:t>3-5</w:t>
            </w:r>
            <w:r>
              <w:rPr>
                <w:rFonts w:hint="eastAsia"/>
                <w:color w:val="auto"/>
              </w:rPr>
              <w:t>分</w:t>
            </w:r>
          </w:p>
          <w:p w14:paraId="0E993FC3">
            <w:pPr>
              <w:pStyle w:val="44"/>
              <w:jc w:val="left"/>
              <w:rPr>
                <w:color w:val="auto"/>
              </w:rPr>
            </w:pPr>
            <w:r>
              <w:rPr>
                <w:color w:val="auto"/>
              </w:rPr>
              <w:t>3</w:t>
            </w:r>
            <w:r>
              <w:rPr>
                <w:rFonts w:hint="eastAsia"/>
                <w:color w:val="auto"/>
              </w:rPr>
              <w:t>）模板台车的工作平台面未在四周按临边作业要求设置防护栏杆，扣</w:t>
            </w:r>
            <w:r>
              <w:rPr>
                <w:color w:val="auto"/>
              </w:rPr>
              <w:t>3-5</w:t>
            </w:r>
            <w:r>
              <w:rPr>
                <w:rFonts w:hint="eastAsia"/>
                <w:color w:val="auto"/>
              </w:rPr>
              <w:t>分</w:t>
            </w:r>
          </w:p>
          <w:p w14:paraId="30111E05">
            <w:pPr>
              <w:pStyle w:val="44"/>
              <w:jc w:val="left"/>
              <w:rPr>
                <w:color w:val="auto"/>
              </w:rPr>
            </w:pPr>
            <w:r>
              <w:rPr>
                <w:color w:val="auto"/>
              </w:rPr>
              <w:t>4</w:t>
            </w:r>
            <w:r>
              <w:rPr>
                <w:rFonts w:hint="eastAsia"/>
                <w:color w:val="auto"/>
              </w:rPr>
              <w:t>）模板台车未设置登高扶梯，扣</w:t>
            </w:r>
            <w:r>
              <w:rPr>
                <w:color w:val="auto"/>
              </w:rPr>
              <w:t>8</w:t>
            </w:r>
            <w:r>
              <w:rPr>
                <w:rFonts w:hint="eastAsia"/>
                <w:color w:val="auto"/>
              </w:rPr>
              <w:t>分；扶梯未按规定设置栏杆和扶手，扣</w:t>
            </w:r>
            <w:r>
              <w:rPr>
                <w:color w:val="auto"/>
              </w:rPr>
              <w:t>3-5</w:t>
            </w:r>
            <w:r>
              <w:rPr>
                <w:rFonts w:hint="eastAsia"/>
                <w:color w:val="auto"/>
              </w:rPr>
              <w:t>分</w:t>
            </w:r>
          </w:p>
          <w:p w14:paraId="2858689A">
            <w:pPr>
              <w:pStyle w:val="44"/>
              <w:jc w:val="left"/>
              <w:rPr>
                <w:color w:val="auto"/>
              </w:rPr>
            </w:pPr>
            <w:r>
              <w:rPr>
                <w:color w:val="auto"/>
              </w:rPr>
              <w:t>5</w:t>
            </w:r>
            <w:r>
              <w:rPr>
                <w:rFonts w:hint="eastAsia"/>
                <w:color w:val="auto"/>
              </w:rPr>
              <w:t>）厂家生产的模板台车无合格证明，扣</w:t>
            </w:r>
            <w:r>
              <w:rPr>
                <w:color w:val="auto"/>
              </w:rPr>
              <w:t>10</w:t>
            </w:r>
            <w:r>
              <w:rPr>
                <w:rFonts w:hint="eastAsia"/>
                <w:color w:val="auto"/>
              </w:rPr>
              <w:t>分</w:t>
            </w:r>
          </w:p>
          <w:p w14:paraId="55DD8ACE">
            <w:pPr>
              <w:pStyle w:val="44"/>
              <w:jc w:val="left"/>
              <w:rPr>
                <w:color w:val="auto"/>
              </w:rPr>
            </w:pPr>
            <w:r>
              <w:rPr>
                <w:color w:val="auto"/>
              </w:rPr>
              <w:t>6</w:t>
            </w:r>
            <w:r>
              <w:rPr>
                <w:rFonts w:hint="eastAsia"/>
                <w:color w:val="auto"/>
              </w:rPr>
              <w:t>）模板台车使用前未经验收，扣</w:t>
            </w:r>
            <w:r>
              <w:rPr>
                <w:color w:val="auto"/>
              </w:rPr>
              <w:t>5</w:t>
            </w:r>
            <w:r>
              <w:rPr>
                <w:rFonts w:hint="eastAsia"/>
                <w:color w:val="auto"/>
              </w:rPr>
              <w:t>分</w:t>
            </w:r>
          </w:p>
          <w:p w14:paraId="49D64FAB">
            <w:pPr>
              <w:pStyle w:val="44"/>
              <w:jc w:val="left"/>
              <w:rPr>
                <w:color w:val="auto"/>
              </w:rPr>
            </w:pPr>
            <w:r>
              <w:rPr>
                <w:color w:val="auto"/>
              </w:rPr>
              <w:t>7</w:t>
            </w:r>
            <w:r>
              <w:rPr>
                <w:rFonts w:hint="eastAsia"/>
                <w:color w:val="auto"/>
              </w:rPr>
              <w:t>）模板台车移动时无统一指挥，或设备、电线、管路未撤除或未加保护，扣</w:t>
            </w:r>
            <w:r>
              <w:rPr>
                <w:color w:val="auto"/>
              </w:rPr>
              <w:t>3</w:t>
            </w:r>
            <w:r>
              <w:rPr>
                <w:rFonts w:hint="eastAsia"/>
                <w:color w:val="auto"/>
              </w:rPr>
              <w:t>分</w:t>
            </w:r>
          </w:p>
          <w:p w14:paraId="21A6FF13">
            <w:pPr>
              <w:pStyle w:val="44"/>
              <w:jc w:val="left"/>
              <w:rPr>
                <w:color w:val="auto"/>
              </w:rPr>
            </w:pPr>
            <w:r>
              <w:rPr>
                <w:color w:val="auto"/>
              </w:rPr>
              <w:t>8</w:t>
            </w:r>
            <w:r>
              <w:rPr>
                <w:rFonts w:hint="eastAsia"/>
                <w:color w:val="auto"/>
              </w:rPr>
              <w:t>）模板台车堵头拆除无防护措施，扣</w:t>
            </w:r>
            <w:r>
              <w:rPr>
                <w:color w:val="auto"/>
              </w:rPr>
              <w:t>2</w:t>
            </w:r>
            <w:r>
              <w:rPr>
                <w:rFonts w:hint="eastAsia"/>
                <w:color w:val="auto"/>
              </w:rPr>
              <w:t>分</w:t>
            </w:r>
          </w:p>
          <w:p w14:paraId="0CF39FB4">
            <w:pPr>
              <w:pStyle w:val="44"/>
              <w:jc w:val="left"/>
              <w:rPr>
                <w:color w:val="auto"/>
              </w:rPr>
            </w:pPr>
            <w:r>
              <w:rPr>
                <w:color w:val="auto"/>
              </w:rPr>
              <w:t>9</w:t>
            </w:r>
            <w:r>
              <w:rPr>
                <w:rFonts w:hint="eastAsia"/>
                <w:color w:val="auto"/>
              </w:rPr>
              <w:t>）模板台车未设安全警示标志，扣</w:t>
            </w:r>
            <w:r>
              <w:rPr>
                <w:color w:val="auto"/>
              </w:rPr>
              <w:t>2</w:t>
            </w:r>
            <w:r>
              <w:rPr>
                <w:rFonts w:hint="eastAsia"/>
                <w:color w:val="auto"/>
              </w:rPr>
              <w:t>分</w:t>
            </w:r>
          </w:p>
          <w:p w14:paraId="2068DCCA">
            <w:pPr>
              <w:pStyle w:val="44"/>
              <w:jc w:val="left"/>
              <w:rPr>
                <w:color w:val="auto"/>
              </w:rPr>
            </w:pPr>
            <w:r>
              <w:rPr>
                <w:color w:val="auto"/>
              </w:rPr>
              <w:t>10</w:t>
            </w:r>
            <w:r>
              <w:rPr>
                <w:rFonts w:hint="eastAsia"/>
                <w:color w:val="auto"/>
              </w:rPr>
              <w:t>）非标准段采用支模施工时未编制专项施工方案或未对支撑体系进行设计计算，扣</w:t>
            </w:r>
            <w:r>
              <w:rPr>
                <w:color w:val="auto"/>
              </w:rPr>
              <w:t>10</w:t>
            </w:r>
            <w:r>
              <w:rPr>
                <w:rFonts w:hint="eastAsia"/>
                <w:color w:val="auto"/>
              </w:rPr>
              <w:t>分</w:t>
            </w:r>
          </w:p>
        </w:tc>
        <w:tc>
          <w:tcPr>
            <w:tcW w:w="720" w:type="dxa"/>
            <w:vAlign w:val="center"/>
          </w:tcPr>
          <w:p w14:paraId="7914FAA1">
            <w:pPr>
              <w:pStyle w:val="44"/>
              <w:rPr>
                <w:color w:val="auto"/>
              </w:rPr>
            </w:pPr>
            <w:r>
              <w:rPr>
                <w:color w:val="auto"/>
              </w:rPr>
              <w:t>10</w:t>
            </w:r>
          </w:p>
        </w:tc>
        <w:tc>
          <w:tcPr>
            <w:tcW w:w="720" w:type="dxa"/>
            <w:vAlign w:val="center"/>
          </w:tcPr>
          <w:p w14:paraId="1393404A">
            <w:pPr>
              <w:pStyle w:val="44"/>
              <w:rPr>
                <w:color w:val="auto"/>
              </w:rPr>
            </w:pPr>
          </w:p>
        </w:tc>
        <w:tc>
          <w:tcPr>
            <w:tcW w:w="720" w:type="dxa"/>
            <w:vAlign w:val="center"/>
          </w:tcPr>
          <w:p w14:paraId="770BE0F4">
            <w:pPr>
              <w:pStyle w:val="44"/>
              <w:rPr>
                <w:color w:val="auto"/>
              </w:rPr>
            </w:pPr>
          </w:p>
        </w:tc>
      </w:tr>
      <w:tr w14:paraId="34A3A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7AEFFA40">
            <w:pPr>
              <w:pStyle w:val="44"/>
              <w:rPr>
                <w:color w:val="auto"/>
              </w:rPr>
            </w:pPr>
            <w:r>
              <w:rPr>
                <w:color w:val="auto"/>
              </w:rPr>
              <w:t>3</w:t>
            </w:r>
          </w:p>
        </w:tc>
        <w:tc>
          <w:tcPr>
            <w:tcW w:w="543" w:type="dxa"/>
            <w:vMerge w:val="continue"/>
          </w:tcPr>
          <w:p w14:paraId="30B6533B">
            <w:pPr>
              <w:pStyle w:val="44"/>
              <w:rPr>
                <w:color w:val="auto"/>
              </w:rPr>
            </w:pPr>
          </w:p>
        </w:tc>
        <w:tc>
          <w:tcPr>
            <w:tcW w:w="898" w:type="dxa"/>
            <w:vAlign w:val="center"/>
          </w:tcPr>
          <w:p w14:paraId="2BFF992C">
            <w:pPr>
              <w:pStyle w:val="44"/>
              <w:rPr>
                <w:color w:val="auto"/>
              </w:rPr>
            </w:pPr>
            <w:r>
              <w:rPr>
                <w:rFonts w:hint="eastAsia"/>
                <w:color w:val="auto"/>
              </w:rPr>
              <w:t>作业架</w:t>
            </w:r>
          </w:p>
        </w:tc>
        <w:tc>
          <w:tcPr>
            <w:tcW w:w="5580" w:type="dxa"/>
            <w:vAlign w:val="center"/>
          </w:tcPr>
          <w:p w14:paraId="4EF3E8BC">
            <w:pPr>
              <w:pStyle w:val="44"/>
              <w:jc w:val="left"/>
              <w:rPr>
                <w:color w:val="auto"/>
              </w:rPr>
            </w:pPr>
            <w:r>
              <w:rPr>
                <w:color w:val="auto"/>
              </w:rPr>
              <w:t>1</w:t>
            </w:r>
            <w:r>
              <w:rPr>
                <w:rFonts w:hint="eastAsia"/>
                <w:color w:val="auto"/>
              </w:rPr>
              <w:t>）作业架的工作平台面未牢固满铺防滑板，扣</w:t>
            </w:r>
            <w:r>
              <w:rPr>
                <w:color w:val="auto"/>
              </w:rPr>
              <w:t>3-5</w:t>
            </w:r>
            <w:r>
              <w:rPr>
                <w:rFonts w:hint="eastAsia"/>
                <w:color w:val="auto"/>
              </w:rPr>
              <w:t>分</w:t>
            </w:r>
          </w:p>
          <w:p w14:paraId="00F9C33D">
            <w:pPr>
              <w:pStyle w:val="44"/>
              <w:jc w:val="left"/>
              <w:rPr>
                <w:color w:val="auto"/>
              </w:rPr>
            </w:pPr>
            <w:r>
              <w:rPr>
                <w:color w:val="auto"/>
              </w:rPr>
              <w:t>2</w:t>
            </w:r>
            <w:r>
              <w:rPr>
                <w:rFonts w:hint="eastAsia"/>
                <w:color w:val="auto"/>
              </w:rPr>
              <w:t>）作业架的工作平台面未在四周按临边作业要求设置防护栏杆，扣</w:t>
            </w:r>
            <w:r>
              <w:rPr>
                <w:color w:val="auto"/>
              </w:rPr>
              <w:t>3-5</w:t>
            </w:r>
            <w:r>
              <w:rPr>
                <w:rFonts w:hint="eastAsia"/>
                <w:color w:val="auto"/>
              </w:rPr>
              <w:t>分</w:t>
            </w:r>
          </w:p>
          <w:p w14:paraId="41BC8836">
            <w:pPr>
              <w:pStyle w:val="44"/>
              <w:jc w:val="left"/>
              <w:rPr>
                <w:color w:val="auto"/>
              </w:rPr>
            </w:pPr>
            <w:r>
              <w:rPr>
                <w:color w:val="auto"/>
              </w:rPr>
              <w:t>3</w:t>
            </w:r>
            <w:r>
              <w:rPr>
                <w:rFonts w:hint="eastAsia"/>
                <w:color w:val="auto"/>
              </w:rPr>
              <w:t>）作业架未设置登高扶梯，扣</w:t>
            </w:r>
            <w:r>
              <w:rPr>
                <w:color w:val="auto"/>
              </w:rPr>
              <w:t>5</w:t>
            </w:r>
            <w:r>
              <w:rPr>
                <w:rFonts w:hint="eastAsia"/>
                <w:color w:val="auto"/>
              </w:rPr>
              <w:t>分；扶梯未按规定设置栏杆和扶手，扣</w:t>
            </w:r>
            <w:r>
              <w:rPr>
                <w:color w:val="auto"/>
              </w:rPr>
              <w:t>3</w:t>
            </w:r>
            <w:r>
              <w:rPr>
                <w:rFonts w:hint="eastAsia"/>
                <w:color w:val="auto"/>
              </w:rPr>
              <w:t>分</w:t>
            </w:r>
          </w:p>
          <w:p w14:paraId="7FDF4171">
            <w:pPr>
              <w:pStyle w:val="44"/>
              <w:jc w:val="left"/>
              <w:rPr>
                <w:color w:val="auto"/>
              </w:rPr>
            </w:pPr>
            <w:r>
              <w:rPr>
                <w:color w:val="auto"/>
              </w:rPr>
              <w:t>4</w:t>
            </w:r>
            <w:r>
              <w:rPr>
                <w:rFonts w:hint="eastAsia"/>
                <w:color w:val="auto"/>
              </w:rPr>
              <w:t>）厂家生产的作业架无合格证明，扣</w:t>
            </w:r>
            <w:r>
              <w:rPr>
                <w:color w:val="auto"/>
              </w:rPr>
              <w:t>5</w:t>
            </w:r>
            <w:r>
              <w:rPr>
                <w:rFonts w:hint="eastAsia"/>
                <w:color w:val="auto"/>
              </w:rPr>
              <w:t>分</w:t>
            </w:r>
          </w:p>
          <w:p w14:paraId="0B6E19A1">
            <w:pPr>
              <w:pStyle w:val="44"/>
              <w:jc w:val="left"/>
              <w:rPr>
                <w:color w:val="auto"/>
              </w:rPr>
            </w:pPr>
            <w:r>
              <w:rPr>
                <w:color w:val="auto"/>
              </w:rPr>
              <w:t>5</w:t>
            </w:r>
            <w:r>
              <w:rPr>
                <w:rFonts w:hint="eastAsia"/>
                <w:color w:val="auto"/>
              </w:rPr>
              <w:t>）作业架使用前未经验收，扣</w:t>
            </w:r>
            <w:r>
              <w:rPr>
                <w:color w:val="auto"/>
              </w:rPr>
              <w:t>5</w:t>
            </w:r>
            <w:r>
              <w:rPr>
                <w:rFonts w:hint="eastAsia"/>
                <w:color w:val="auto"/>
              </w:rPr>
              <w:t>分</w:t>
            </w:r>
          </w:p>
        </w:tc>
        <w:tc>
          <w:tcPr>
            <w:tcW w:w="720" w:type="dxa"/>
            <w:vAlign w:val="center"/>
          </w:tcPr>
          <w:p w14:paraId="6A49481C">
            <w:pPr>
              <w:pStyle w:val="44"/>
              <w:rPr>
                <w:color w:val="auto"/>
              </w:rPr>
            </w:pPr>
            <w:r>
              <w:rPr>
                <w:color w:val="auto"/>
              </w:rPr>
              <w:t>5</w:t>
            </w:r>
          </w:p>
        </w:tc>
        <w:tc>
          <w:tcPr>
            <w:tcW w:w="720" w:type="dxa"/>
            <w:vAlign w:val="center"/>
          </w:tcPr>
          <w:p w14:paraId="087155DB">
            <w:pPr>
              <w:pStyle w:val="44"/>
              <w:rPr>
                <w:color w:val="auto"/>
              </w:rPr>
            </w:pPr>
          </w:p>
        </w:tc>
        <w:tc>
          <w:tcPr>
            <w:tcW w:w="720" w:type="dxa"/>
            <w:vAlign w:val="center"/>
          </w:tcPr>
          <w:p w14:paraId="5FF6F714">
            <w:pPr>
              <w:pStyle w:val="44"/>
              <w:rPr>
                <w:color w:val="auto"/>
              </w:rPr>
            </w:pPr>
          </w:p>
        </w:tc>
      </w:tr>
      <w:tr w14:paraId="7125B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62905CAD">
            <w:pPr>
              <w:pStyle w:val="44"/>
              <w:rPr>
                <w:color w:val="auto"/>
              </w:rPr>
            </w:pPr>
            <w:r>
              <w:rPr>
                <w:color w:val="auto"/>
              </w:rPr>
              <w:t>4</w:t>
            </w:r>
          </w:p>
        </w:tc>
        <w:tc>
          <w:tcPr>
            <w:tcW w:w="543" w:type="dxa"/>
            <w:vMerge w:val="continue"/>
          </w:tcPr>
          <w:p w14:paraId="7EBF30B5">
            <w:pPr>
              <w:pStyle w:val="44"/>
              <w:rPr>
                <w:color w:val="auto"/>
              </w:rPr>
            </w:pPr>
          </w:p>
        </w:tc>
        <w:tc>
          <w:tcPr>
            <w:tcW w:w="898" w:type="dxa"/>
            <w:vAlign w:val="center"/>
          </w:tcPr>
          <w:p w14:paraId="5CB9588B">
            <w:pPr>
              <w:pStyle w:val="44"/>
              <w:rPr>
                <w:color w:val="auto"/>
              </w:rPr>
            </w:pPr>
            <w:r>
              <w:rPr>
                <w:rFonts w:hint="eastAsia"/>
                <w:color w:val="auto"/>
              </w:rPr>
              <w:t>隧道运输</w:t>
            </w:r>
          </w:p>
        </w:tc>
        <w:tc>
          <w:tcPr>
            <w:tcW w:w="5580" w:type="dxa"/>
            <w:vAlign w:val="center"/>
          </w:tcPr>
          <w:p w14:paraId="58C9D978">
            <w:pPr>
              <w:pStyle w:val="44"/>
              <w:jc w:val="left"/>
              <w:rPr>
                <w:color w:val="auto"/>
              </w:rPr>
            </w:pPr>
            <w:r>
              <w:rPr>
                <w:color w:val="auto"/>
              </w:rPr>
              <w:t>1</w:t>
            </w:r>
            <w:r>
              <w:rPr>
                <w:rFonts w:hint="eastAsia"/>
                <w:color w:val="auto"/>
              </w:rPr>
              <w:t>）竖井垂直运输材料过程中，井下作业人员未撤离至安全地带，扣</w:t>
            </w:r>
            <w:r>
              <w:rPr>
                <w:color w:val="auto"/>
              </w:rPr>
              <w:t>5</w:t>
            </w:r>
            <w:r>
              <w:rPr>
                <w:rFonts w:hint="eastAsia"/>
                <w:color w:val="auto"/>
              </w:rPr>
              <w:t>分</w:t>
            </w:r>
          </w:p>
          <w:p w14:paraId="29087A46">
            <w:pPr>
              <w:pStyle w:val="44"/>
              <w:jc w:val="left"/>
              <w:rPr>
                <w:color w:val="auto"/>
              </w:rPr>
            </w:pPr>
            <w:r>
              <w:rPr>
                <w:color w:val="auto"/>
              </w:rPr>
              <w:t>2</w:t>
            </w:r>
            <w:r>
              <w:rPr>
                <w:rFonts w:hint="eastAsia"/>
                <w:color w:val="auto"/>
              </w:rPr>
              <w:t>）运输车辆无产品合格证明，扣</w:t>
            </w:r>
            <w:r>
              <w:rPr>
                <w:color w:val="auto"/>
              </w:rPr>
              <w:t>2</w:t>
            </w:r>
            <w:r>
              <w:rPr>
                <w:rFonts w:hint="eastAsia"/>
                <w:color w:val="auto"/>
              </w:rPr>
              <w:t>分</w:t>
            </w:r>
          </w:p>
          <w:p w14:paraId="418A151D">
            <w:pPr>
              <w:pStyle w:val="44"/>
              <w:jc w:val="left"/>
              <w:rPr>
                <w:color w:val="auto"/>
              </w:rPr>
            </w:pPr>
            <w:r>
              <w:rPr>
                <w:color w:val="auto"/>
              </w:rPr>
              <w:t>3</w:t>
            </w:r>
            <w:r>
              <w:rPr>
                <w:rFonts w:hint="eastAsia"/>
                <w:color w:val="auto"/>
              </w:rPr>
              <w:t>）洞内运输车辆制动失效或人料混载、超载、超宽、超高运输，扣</w:t>
            </w:r>
            <w:r>
              <w:rPr>
                <w:color w:val="auto"/>
              </w:rPr>
              <w:t>5</w:t>
            </w:r>
            <w:r>
              <w:rPr>
                <w:rFonts w:hint="eastAsia"/>
                <w:color w:val="auto"/>
              </w:rPr>
              <w:t>分</w:t>
            </w:r>
          </w:p>
          <w:p w14:paraId="07B66035">
            <w:pPr>
              <w:pStyle w:val="44"/>
              <w:jc w:val="left"/>
              <w:rPr>
                <w:color w:val="auto"/>
              </w:rPr>
            </w:pPr>
            <w:r>
              <w:rPr>
                <w:color w:val="auto"/>
              </w:rPr>
              <w:t>4</w:t>
            </w:r>
            <w:r>
              <w:rPr>
                <w:rFonts w:hint="eastAsia"/>
                <w:color w:val="auto"/>
              </w:rPr>
              <w:t>）洞内车辆照明、信号系统不完善，扣</w:t>
            </w:r>
            <w:r>
              <w:rPr>
                <w:color w:val="auto"/>
              </w:rPr>
              <w:t>4</w:t>
            </w:r>
            <w:r>
              <w:rPr>
                <w:rFonts w:hint="eastAsia"/>
                <w:color w:val="auto"/>
              </w:rPr>
              <w:t>分</w:t>
            </w:r>
          </w:p>
          <w:p w14:paraId="01DE0CAF">
            <w:pPr>
              <w:pStyle w:val="44"/>
              <w:jc w:val="left"/>
              <w:rPr>
                <w:color w:val="auto"/>
              </w:rPr>
            </w:pPr>
            <w:r>
              <w:rPr>
                <w:color w:val="auto"/>
              </w:rPr>
              <w:t>5</w:t>
            </w:r>
            <w:r>
              <w:rPr>
                <w:rFonts w:hint="eastAsia"/>
                <w:color w:val="auto"/>
              </w:rPr>
              <w:t>）洞内无交通引导标志，或无车辆限速规定，扣</w:t>
            </w:r>
            <w:r>
              <w:rPr>
                <w:color w:val="auto"/>
              </w:rPr>
              <w:t>3</w:t>
            </w:r>
            <w:r>
              <w:rPr>
                <w:rFonts w:hint="eastAsia"/>
                <w:color w:val="auto"/>
              </w:rPr>
              <w:t>分</w:t>
            </w:r>
          </w:p>
          <w:p w14:paraId="727A9E26">
            <w:pPr>
              <w:pStyle w:val="44"/>
              <w:jc w:val="left"/>
              <w:rPr>
                <w:color w:val="auto"/>
              </w:rPr>
            </w:pPr>
            <w:r>
              <w:rPr>
                <w:color w:val="auto"/>
              </w:rPr>
              <w:t>6</w:t>
            </w:r>
            <w:r>
              <w:rPr>
                <w:rFonts w:hint="eastAsia"/>
                <w:color w:val="auto"/>
              </w:rPr>
              <w:t>）车辆启动前未检查或未鸣笛，扣</w:t>
            </w:r>
            <w:r>
              <w:rPr>
                <w:color w:val="auto"/>
              </w:rPr>
              <w:t>2</w:t>
            </w:r>
            <w:r>
              <w:rPr>
                <w:rFonts w:hint="eastAsia"/>
                <w:color w:val="auto"/>
              </w:rPr>
              <w:t>分</w:t>
            </w:r>
          </w:p>
          <w:p w14:paraId="75D3CDE5">
            <w:pPr>
              <w:pStyle w:val="44"/>
              <w:jc w:val="left"/>
              <w:rPr>
                <w:color w:val="auto"/>
              </w:rPr>
            </w:pPr>
            <w:r>
              <w:rPr>
                <w:color w:val="auto"/>
              </w:rPr>
              <w:t>7</w:t>
            </w:r>
            <w:r>
              <w:rPr>
                <w:rFonts w:hint="eastAsia"/>
                <w:color w:val="auto"/>
              </w:rPr>
              <w:t>）隧道道路周边物体侵界，扣</w:t>
            </w:r>
            <w:r>
              <w:rPr>
                <w:color w:val="auto"/>
              </w:rPr>
              <w:t>5</w:t>
            </w:r>
            <w:r>
              <w:rPr>
                <w:rFonts w:hint="eastAsia"/>
                <w:color w:val="auto"/>
              </w:rPr>
              <w:t>分</w:t>
            </w:r>
          </w:p>
        </w:tc>
        <w:tc>
          <w:tcPr>
            <w:tcW w:w="720" w:type="dxa"/>
            <w:vAlign w:val="center"/>
          </w:tcPr>
          <w:p w14:paraId="1DBC1141">
            <w:pPr>
              <w:pStyle w:val="44"/>
              <w:rPr>
                <w:color w:val="auto"/>
              </w:rPr>
            </w:pPr>
            <w:r>
              <w:rPr>
                <w:color w:val="auto"/>
              </w:rPr>
              <w:t>5</w:t>
            </w:r>
          </w:p>
        </w:tc>
        <w:tc>
          <w:tcPr>
            <w:tcW w:w="720" w:type="dxa"/>
            <w:vAlign w:val="center"/>
          </w:tcPr>
          <w:p w14:paraId="4D34662B">
            <w:pPr>
              <w:pStyle w:val="44"/>
              <w:rPr>
                <w:color w:val="auto"/>
              </w:rPr>
            </w:pPr>
          </w:p>
        </w:tc>
        <w:tc>
          <w:tcPr>
            <w:tcW w:w="720" w:type="dxa"/>
            <w:vAlign w:val="center"/>
          </w:tcPr>
          <w:p w14:paraId="42E59BED">
            <w:pPr>
              <w:pStyle w:val="44"/>
              <w:rPr>
                <w:color w:val="auto"/>
              </w:rPr>
            </w:pPr>
          </w:p>
        </w:tc>
      </w:tr>
      <w:tr w14:paraId="7BCB0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322390DB">
            <w:pPr>
              <w:pStyle w:val="44"/>
              <w:rPr>
                <w:color w:val="auto"/>
              </w:rPr>
            </w:pPr>
            <w:r>
              <w:rPr>
                <w:color w:val="auto"/>
              </w:rPr>
              <w:t>5</w:t>
            </w:r>
          </w:p>
        </w:tc>
        <w:tc>
          <w:tcPr>
            <w:tcW w:w="543" w:type="dxa"/>
            <w:vMerge w:val="continue"/>
          </w:tcPr>
          <w:p w14:paraId="6958CF91">
            <w:pPr>
              <w:pStyle w:val="44"/>
              <w:rPr>
                <w:color w:val="auto"/>
              </w:rPr>
            </w:pPr>
          </w:p>
        </w:tc>
        <w:tc>
          <w:tcPr>
            <w:tcW w:w="898" w:type="dxa"/>
            <w:vAlign w:val="center"/>
          </w:tcPr>
          <w:p w14:paraId="397C00FE">
            <w:pPr>
              <w:pStyle w:val="44"/>
              <w:rPr>
                <w:color w:val="auto"/>
              </w:rPr>
            </w:pPr>
            <w:r>
              <w:rPr>
                <w:rFonts w:hint="eastAsia"/>
                <w:color w:val="auto"/>
              </w:rPr>
              <w:t>作业环境</w:t>
            </w:r>
          </w:p>
        </w:tc>
        <w:tc>
          <w:tcPr>
            <w:tcW w:w="5580" w:type="dxa"/>
            <w:vAlign w:val="center"/>
          </w:tcPr>
          <w:p w14:paraId="7CDDCE82">
            <w:pPr>
              <w:pStyle w:val="44"/>
              <w:jc w:val="left"/>
              <w:rPr>
                <w:color w:val="auto"/>
              </w:rPr>
            </w:pPr>
            <w:r>
              <w:rPr>
                <w:color w:val="auto"/>
              </w:rPr>
              <w:t>1</w:t>
            </w:r>
            <w:r>
              <w:rPr>
                <w:rFonts w:hint="eastAsia"/>
                <w:color w:val="auto"/>
              </w:rPr>
              <w:t>）无通风、防尘专项方案或未对通风量进行计算，扣</w:t>
            </w:r>
            <w:r>
              <w:rPr>
                <w:color w:val="auto"/>
              </w:rPr>
              <w:t>5</w:t>
            </w:r>
            <w:r>
              <w:rPr>
                <w:rFonts w:hint="eastAsia"/>
                <w:color w:val="auto"/>
              </w:rPr>
              <w:t>分</w:t>
            </w:r>
          </w:p>
          <w:p w14:paraId="145FA0F2">
            <w:pPr>
              <w:pStyle w:val="44"/>
              <w:jc w:val="left"/>
              <w:rPr>
                <w:color w:val="auto"/>
              </w:rPr>
            </w:pPr>
            <w:r>
              <w:rPr>
                <w:color w:val="auto"/>
              </w:rPr>
              <w:t>2</w:t>
            </w:r>
            <w:r>
              <w:rPr>
                <w:rFonts w:hint="eastAsia"/>
                <w:color w:val="auto"/>
              </w:rPr>
              <w:t>）未进行职业危害防治措施交底，扣</w:t>
            </w:r>
            <w:r>
              <w:rPr>
                <w:color w:val="auto"/>
              </w:rPr>
              <w:t>3</w:t>
            </w:r>
            <w:r>
              <w:rPr>
                <w:rFonts w:hint="eastAsia"/>
                <w:color w:val="auto"/>
              </w:rPr>
              <w:t>分</w:t>
            </w:r>
          </w:p>
          <w:p w14:paraId="601D0BE9">
            <w:pPr>
              <w:pStyle w:val="44"/>
              <w:jc w:val="left"/>
              <w:rPr>
                <w:color w:val="auto"/>
              </w:rPr>
            </w:pPr>
            <w:r>
              <w:rPr>
                <w:color w:val="auto"/>
              </w:rPr>
              <w:t>3</w:t>
            </w:r>
            <w:r>
              <w:rPr>
                <w:rFonts w:hint="eastAsia"/>
                <w:color w:val="auto"/>
              </w:rPr>
              <w:t>）未按规定进行氧气及瓦斯、沼气等有毒有害气体、粉尘浓度检测，或有毒有害气体浓度超限时应采取有效处理措施，扣</w:t>
            </w:r>
            <w:r>
              <w:rPr>
                <w:color w:val="auto"/>
              </w:rPr>
              <w:t>5</w:t>
            </w:r>
            <w:r>
              <w:rPr>
                <w:rFonts w:hint="eastAsia"/>
                <w:color w:val="auto"/>
              </w:rPr>
              <w:t>分</w:t>
            </w:r>
          </w:p>
          <w:p w14:paraId="2A649FA6">
            <w:pPr>
              <w:pStyle w:val="44"/>
              <w:jc w:val="left"/>
              <w:rPr>
                <w:color w:val="auto"/>
              </w:rPr>
            </w:pPr>
            <w:r>
              <w:rPr>
                <w:color w:val="auto"/>
              </w:rPr>
              <w:t>4</w:t>
            </w:r>
            <w:r>
              <w:rPr>
                <w:rFonts w:hint="eastAsia"/>
                <w:color w:val="auto"/>
              </w:rPr>
              <w:t>）通风不良，作业面风速过弱，新风量不能满足施工要求，扣</w:t>
            </w:r>
            <w:r>
              <w:rPr>
                <w:color w:val="auto"/>
              </w:rPr>
              <w:t>3</w:t>
            </w:r>
            <w:r>
              <w:rPr>
                <w:rFonts w:hint="eastAsia"/>
                <w:color w:val="auto"/>
              </w:rPr>
              <w:t>分</w:t>
            </w:r>
          </w:p>
          <w:p w14:paraId="5E117AE5">
            <w:pPr>
              <w:pStyle w:val="44"/>
              <w:jc w:val="left"/>
              <w:rPr>
                <w:color w:val="auto"/>
              </w:rPr>
            </w:pPr>
            <w:r>
              <w:rPr>
                <w:color w:val="auto"/>
              </w:rPr>
              <w:t>5</w:t>
            </w:r>
            <w:r>
              <w:rPr>
                <w:rFonts w:hint="eastAsia"/>
                <w:color w:val="auto"/>
              </w:rPr>
              <w:t>）破损、漏风，或吊挂不平直，扣</w:t>
            </w:r>
            <w:r>
              <w:rPr>
                <w:color w:val="auto"/>
              </w:rPr>
              <w:t>5</w:t>
            </w:r>
            <w:r>
              <w:rPr>
                <w:rFonts w:hint="eastAsia"/>
                <w:color w:val="auto"/>
              </w:rPr>
              <w:t>分</w:t>
            </w:r>
          </w:p>
          <w:p w14:paraId="14579E50">
            <w:pPr>
              <w:pStyle w:val="44"/>
              <w:jc w:val="left"/>
              <w:rPr>
                <w:color w:val="auto"/>
              </w:rPr>
            </w:pPr>
            <w:r>
              <w:rPr>
                <w:color w:val="auto"/>
              </w:rPr>
              <w:t>6</w:t>
            </w:r>
            <w:r>
              <w:rPr>
                <w:rFonts w:hint="eastAsia"/>
                <w:color w:val="auto"/>
              </w:rPr>
              <w:t>）爆破后未通风或通风时间少于</w:t>
            </w:r>
            <w:r>
              <w:rPr>
                <w:color w:val="auto"/>
              </w:rPr>
              <w:t>15</w:t>
            </w:r>
            <w:r>
              <w:rPr>
                <w:rFonts w:hint="eastAsia"/>
                <w:color w:val="auto"/>
              </w:rPr>
              <w:t>分钟时有人员进洞，扣</w:t>
            </w:r>
            <w:r>
              <w:rPr>
                <w:color w:val="auto"/>
              </w:rPr>
              <w:t>5</w:t>
            </w:r>
            <w:r>
              <w:rPr>
                <w:rFonts w:hint="eastAsia"/>
                <w:color w:val="auto"/>
              </w:rPr>
              <w:t>分</w:t>
            </w:r>
          </w:p>
          <w:p w14:paraId="691A47C2">
            <w:pPr>
              <w:pStyle w:val="44"/>
              <w:jc w:val="left"/>
              <w:rPr>
                <w:color w:val="auto"/>
              </w:rPr>
            </w:pPr>
            <w:r>
              <w:rPr>
                <w:color w:val="auto"/>
              </w:rPr>
              <w:t>7</w:t>
            </w:r>
            <w:r>
              <w:rPr>
                <w:rFonts w:hint="eastAsia"/>
                <w:color w:val="auto"/>
              </w:rPr>
              <w:t>）凿岩、放炮、喷射混凝土等扬尘作业未采取防尘措施，扣</w:t>
            </w:r>
            <w:r>
              <w:rPr>
                <w:color w:val="auto"/>
              </w:rPr>
              <w:t>3</w:t>
            </w:r>
            <w:r>
              <w:rPr>
                <w:rFonts w:hint="eastAsia"/>
                <w:color w:val="auto"/>
              </w:rPr>
              <w:t>分</w:t>
            </w:r>
          </w:p>
          <w:p w14:paraId="07F260B3">
            <w:pPr>
              <w:pStyle w:val="44"/>
              <w:jc w:val="left"/>
              <w:rPr>
                <w:color w:val="auto"/>
              </w:rPr>
            </w:pPr>
            <w:r>
              <w:rPr>
                <w:color w:val="auto"/>
              </w:rPr>
              <w:t>8</w:t>
            </w:r>
            <w:r>
              <w:rPr>
                <w:rFonts w:hint="eastAsia"/>
                <w:color w:val="auto"/>
              </w:rPr>
              <w:t>）作业人员在粉尘较大场所不戴防尘口罩，或在凿岩等噪声较大场所不戴防噪声护具，每人扣</w:t>
            </w:r>
            <w:r>
              <w:rPr>
                <w:color w:val="auto"/>
              </w:rPr>
              <w:t>2</w:t>
            </w:r>
            <w:r>
              <w:rPr>
                <w:rFonts w:hint="eastAsia"/>
                <w:color w:val="auto"/>
              </w:rPr>
              <w:t>分</w:t>
            </w:r>
          </w:p>
          <w:p w14:paraId="35FAEEE1">
            <w:pPr>
              <w:pStyle w:val="44"/>
              <w:jc w:val="left"/>
              <w:rPr>
                <w:color w:val="auto"/>
              </w:rPr>
            </w:pPr>
            <w:r>
              <w:rPr>
                <w:color w:val="auto"/>
              </w:rPr>
              <w:t>9</w:t>
            </w:r>
            <w:r>
              <w:rPr>
                <w:rFonts w:hint="eastAsia"/>
                <w:color w:val="auto"/>
              </w:rPr>
              <w:t>）风、水、电线路未按专项施工方案要求布设，扣</w:t>
            </w:r>
            <w:r>
              <w:rPr>
                <w:color w:val="auto"/>
              </w:rPr>
              <w:t>5</w:t>
            </w:r>
            <w:r>
              <w:rPr>
                <w:rFonts w:hint="eastAsia"/>
                <w:color w:val="auto"/>
              </w:rPr>
              <w:t>分</w:t>
            </w:r>
          </w:p>
          <w:p w14:paraId="3A80BF7D">
            <w:pPr>
              <w:pStyle w:val="44"/>
              <w:jc w:val="left"/>
              <w:rPr>
                <w:color w:val="auto"/>
              </w:rPr>
            </w:pPr>
            <w:r>
              <w:rPr>
                <w:color w:val="auto"/>
              </w:rPr>
              <w:t>10</w:t>
            </w:r>
            <w:r>
              <w:rPr>
                <w:rFonts w:hint="eastAsia"/>
                <w:color w:val="auto"/>
              </w:rPr>
              <w:t>）作业面、运输道路积水、泥泞，扣</w:t>
            </w:r>
            <w:r>
              <w:rPr>
                <w:color w:val="auto"/>
              </w:rPr>
              <w:t>3</w:t>
            </w:r>
            <w:r>
              <w:rPr>
                <w:rFonts w:hint="eastAsia"/>
                <w:color w:val="auto"/>
              </w:rPr>
              <w:t>分</w:t>
            </w:r>
          </w:p>
          <w:p w14:paraId="150A9EF1">
            <w:pPr>
              <w:pStyle w:val="44"/>
              <w:jc w:val="left"/>
              <w:rPr>
                <w:color w:val="auto"/>
              </w:rPr>
            </w:pPr>
            <w:r>
              <w:rPr>
                <w:color w:val="auto"/>
              </w:rPr>
              <w:t>11</w:t>
            </w:r>
            <w:r>
              <w:rPr>
                <w:rFonts w:hint="eastAsia"/>
                <w:color w:val="auto"/>
              </w:rPr>
              <w:t>）光线不足未设置足够照明，扣</w:t>
            </w:r>
            <w:r>
              <w:rPr>
                <w:color w:val="auto"/>
              </w:rPr>
              <w:t>3</w:t>
            </w:r>
            <w:r>
              <w:rPr>
                <w:rFonts w:hint="eastAsia"/>
                <w:color w:val="auto"/>
              </w:rPr>
              <w:t>分</w:t>
            </w:r>
          </w:p>
          <w:p w14:paraId="2C48BDD3">
            <w:pPr>
              <w:pStyle w:val="44"/>
              <w:jc w:val="left"/>
              <w:rPr>
                <w:color w:val="auto"/>
              </w:rPr>
            </w:pPr>
            <w:r>
              <w:rPr>
                <w:color w:val="auto"/>
              </w:rPr>
              <w:t>12</w:t>
            </w:r>
            <w:r>
              <w:rPr>
                <w:rFonts w:hint="eastAsia"/>
                <w:color w:val="auto"/>
              </w:rPr>
              <w:t>）未按规定设置警示、通信、排水设施，扣</w:t>
            </w:r>
            <w:r>
              <w:rPr>
                <w:color w:val="auto"/>
              </w:rPr>
              <w:t>3-5</w:t>
            </w:r>
            <w:r>
              <w:rPr>
                <w:rFonts w:hint="eastAsia"/>
                <w:color w:val="auto"/>
              </w:rPr>
              <w:t>分</w:t>
            </w:r>
          </w:p>
        </w:tc>
        <w:tc>
          <w:tcPr>
            <w:tcW w:w="720" w:type="dxa"/>
            <w:vAlign w:val="center"/>
          </w:tcPr>
          <w:p w14:paraId="499B839A">
            <w:pPr>
              <w:pStyle w:val="44"/>
              <w:rPr>
                <w:color w:val="auto"/>
              </w:rPr>
            </w:pPr>
            <w:r>
              <w:rPr>
                <w:color w:val="auto"/>
              </w:rPr>
              <w:t>5</w:t>
            </w:r>
          </w:p>
        </w:tc>
        <w:tc>
          <w:tcPr>
            <w:tcW w:w="720" w:type="dxa"/>
            <w:vAlign w:val="center"/>
          </w:tcPr>
          <w:p w14:paraId="117B50CF">
            <w:pPr>
              <w:pStyle w:val="44"/>
              <w:rPr>
                <w:color w:val="auto"/>
              </w:rPr>
            </w:pPr>
          </w:p>
        </w:tc>
        <w:tc>
          <w:tcPr>
            <w:tcW w:w="720" w:type="dxa"/>
            <w:vAlign w:val="center"/>
          </w:tcPr>
          <w:p w14:paraId="77755E89">
            <w:pPr>
              <w:pStyle w:val="44"/>
              <w:rPr>
                <w:color w:val="auto"/>
              </w:rPr>
            </w:pPr>
          </w:p>
        </w:tc>
      </w:tr>
      <w:tr w14:paraId="42AF6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2779F9AD">
            <w:pPr>
              <w:pStyle w:val="44"/>
              <w:rPr>
                <w:color w:val="auto"/>
              </w:rPr>
            </w:pPr>
          </w:p>
        </w:tc>
        <w:tc>
          <w:tcPr>
            <w:tcW w:w="543" w:type="dxa"/>
            <w:vMerge w:val="continue"/>
          </w:tcPr>
          <w:p w14:paraId="0A6463DE">
            <w:pPr>
              <w:pStyle w:val="44"/>
              <w:rPr>
                <w:color w:val="auto"/>
              </w:rPr>
            </w:pPr>
          </w:p>
        </w:tc>
        <w:tc>
          <w:tcPr>
            <w:tcW w:w="6478" w:type="dxa"/>
            <w:gridSpan w:val="2"/>
            <w:vAlign w:val="center"/>
          </w:tcPr>
          <w:p w14:paraId="4746EA4F">
            <w:pPr>
              <w:pStyle w:val="44"/>
              <w:rPr>
                <w:b/>
                <w:bCs w:val="0"/>
                <w:color w:val="auto"/>
              </w:rPr>
            </w:pPr>
            <w:r>
              <w:rPr>
                <w:rFonts w:hint="eastAsia"/>
                <w:b/>
                <w:bCs w:val="0"/>
                <w:color w:val="auto"/>
              </w:rPr>
              <w:t>小</w:t>
            </w:r>
            <w:r>
              <w:rPr>
                <w:b/>
                <w:bCs w:val="0"/>
                <w:color w:val="auto"/>
              </w:rPr>
              <w:t xml:space="preserve">  </w:t>
            </w:r>
            <w:r>
              <w:rPr>
                <w:rFonts w:hint="eastAsia"/>
                <w:b/>
                <w:bCs w:val="0"/>
                <w:color w:val="auto"/>
              </w:rPr>
              <w:t>计</w:t>
            </w:r>
          </w:p>
        </w:tc>
        <w:tc>
          <w:tcPr>
            <w:tcW w:w="720" w:type="dxa"/>
            <w:vAlign w:val="center"/>
          </w:tcPr>
          <w:p w14:paraId="658F5B9C">
            <w:pPr>
              <w:pStyle w:val="44"/>
              <w:rPr>
                <w:color w:val="auto"/>
              </w:rPr>
            </w:pPr>
            <w:r>
              <w:rPr>
                <w:color w:val="auto"/>
              </w:rPr>
              <w:t>30</w:t>
            </w:r>
          </w:p>
        </w:tc>
        <w:tc>
          <w:tcPr>
            <w:tcW w:w="720" w:type="dxa"/>
            <w:vAlign w:val="center"/>
          </w:tcPr>
          <w:p w14:paraId="0202C34B">
            <w:pPr>
              <w:pStyle w:val="44"/>
              <w:rPr>
                <w:color w:val="auto"/>
              </w:rPr>
            </w:pPr>
          </w:p>
        </w:tc>
        <w:tc>
          <w:tcPr>
            <w:tcW w:w="720" w:type="dxa"/>
            <w:vAlign w:val="center"/>
          </w:tcPr>
          <w:p w14:paraId="6C4F0E87">
            <w:pPr>
              <w:pStyle w:val="44"/>
              <w:rPr>
                <w:color w:val="auto"/>
              </w:rPr>
            </w:pPr>
          </w:p>
        </w:tc>
      </w:tr>
      <w:tr w14:paraId="7AD49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trPr>
        <w:tc>
          <w:tcPr>
            <w:tcW w:w="7560" w:type="dxa"/>
            <w:gridSpan w:val="4"/>
            <w:vAlign w:val="center"/>
          </w:tcPr>
          <w:p w14:paraId="623CB719">
            <w:pPr>
              <w:pStyle w:val="44"/>
              <w:rPr>
                <w:b/>
                <w:bCs w:val="0"/>
                <w:color w:val="auto"/>
              </w:rPr>
            </w:pPr>
            <w:r>
              <w:rPr>
                <w:rFonts w:hint="eastAsia"/>
                <w:b/>
                <w:bCs w:val="0"/>
                <w:color w:val="auto"/>
              </w:rPr>
              <w:t>检查项目合计</w:t>
            </w:r>
          </w:p>
        </w:tc>
        <w:tc>
          <w:tcPr>
            <w:tcW w:w="720" w:type="dxa"/>
            <w:vAlign w:val="center"/>
          </w:tcPr>
          <w:p w14:paraId="027CB3F4">
            <w:pPr>
              <w:pStyle w:val="44"/>
              <w:rPr>
                <w:color w:val="auto"/>
              </w:rPr>
            </w:pPr>
            <w:r>
              <w:rPr>
                <w:color w:val="auto"/>
              </w:rPr>
              <w:t>100</w:t>
            </w:r>
          </w:p>
        </w:tc>
        <w:tc>
          <w:tcPr>
            <w:tcW w:w="720" w:type="dxa"/>
            <w:vAlign w:val="center"/>
          </w:tcPr>
          <w:p w14:paraId="7C67B526">
            <w:pPr>
              <w:pStyle w:val="44"/>
              <w:rPr>
                <w:color w:val="auto"/>
              </w:rPr>
            </w:pPr>
          </w:p>
        </w:tc>
        <w:tc>
          <w:tcPr>
            <w:tcW w:w="720" w:type="dxa"/>
            <w:vAlign w:val="center"/>
          </w:tcPr>
          <w:p w14:paraId="53C0594F">
            <w:pPr>
              <w:pStyle w:val="44"/>
              <w:rPr>
                <w:color w:val="auto"/>
              </w:rPr>
            </w:pPr>
          </w:p>
        </w:tc>
      </w:tr>
    </w:tbl>
    <w:p w14:paraId="0716ACFA"/>
    <w:p w14:paraId="04698DEE">
      <w:pPr>
        <w:pStyle w:val="5"/>
      </w:pPr>
      <w:r>
        <w:rPr>
          <w:rFonts w:hint="eastAsia"/>
        </w:rPr>
        <w:br w:type="page"/>
      </w:r>
      <w:bookmarkStart w:id="79" w:name="_Toc10158"/>
      <w:bookmarkStart w:id="80" w:name="_Toc26521"/>
      <w:bookmarkStart w:id="81" w:name="_Toc28467"/>
      <w:r>
        <w:rPr>
          <w:rFonts w:hint="eastAsia"/>
        </w:rPr>
        <w:t>表B.</w:t>
      </w:r>
      <w:r>
        <w:t>24</w:t>
      </w:r>
      <w:r>
        <w:rPr>
          <w:rFonts w:hint="eastAsia"/>
        </w:rPr>
        <w:t xml:space="preserve">  盾构法</w:t>
      </w:r>
      <w:r>
        <w:t>隧道</w:t>
      </w:r>
      <w:r>
        <w:rPr>
          <w:rFonts w:hint="eastAsia"/>
        </w:rPr>
        <w:t>检查</w:t>
      </w:r>
      <w:r>
        <w:t>评分表</w:t>
      </w:r>
      <w:bookmarkEnd w:id="79"/>
      <w:bookmarkEnd w:id="80"/>
      <w:bookmarkEnd w:id="81"/>
    </w:p>
    <w:tbl>
      <w:tblPr>
        <w:tblStyle w:val="19"/>
        <w:tblpPr w:leftFromText="180" w:rightFromText="180" w:vertAnchor="text" w:horzAnchor="page" w:tblpX="1150" w:tblpY="631"/>
        <w:tblOverlap w:val="never"/>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54C19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trPr>
        <w:tc>
          <w:tcPr>
            <w:tcW w:w="539" w:type="dxa"/>
            <w:vAlign w:val="center"/>
          </w:tcPr>
          <w:p w14:paraId="51D9466F">
            <w:pPr>
              <w:pStyle w:val="44"/>
              <w:rPr>
                <w:color w:val="auto"/>
              </w:rPr>
            </w:pPr>
            <w:r>
              <w:rPr>
                <w:rFonts w:hint="eastAsia"/>
                <w:color w:val="auto"/>
              </w:rPr>
              <w:t>序号</w:t>
            </w:r>
          </w:p>
        </w:tc>
        <w:tc>
          <w:tcPr>
            <w:tcW w:w="1441" w:type="dxa"/>
            <w:gridSpan w:val="2"/>
            <w:vAlign w:val="center"/>
          </w:tcPr>
          <w:p w14:paraId="3158B19D">
            <w:pPr>
              <w:pStyle w:val="44"/>
              <w:rPr>
                <w:color w:val="auto"/>
              </w:rPr>
            </w:pPr>
            <w:r>
              <w:rPr>
                <w:rFonts w:hint="eastAsia"/>
                <w:color w:val="auto"/>
              </w:rPr>
              <w:t>检查项目</w:t>
            </w:r>
          </w:p>
        </w:tc>
        <w:tc>
          <w:tcPr>
            <w:tcW w:w="5580" w:type="dxa"/>
            <w:vAlign w:val="center"/>
          </w:tcPr>
          <w:p w14:paraId="48A72F49">
            <w:pPr>
              <w:pStyle w:val="44"/>
              <w:rPr>
                <w:color w:val="auto"/>
              </w:rPr>
            </w:pPr>
            <w:r>
              <w:rPr>
                <w:rFonts w:hint="eastAsia"/>
                <w:color w:val="auto"/>
              </w:rPr>
              <w:t>扣</w:t>
            </w:r>
            <w:r>
              <w:rPr>
                <w:color w:val="auto"/>
              </w:rPr>
              <w:t xml:space="preserve"> </w:t>
            </w:r>
            <w:r>
              <w:rPr>
                <w:rFonts w:hint="eastAsia"/>
                <w:color w:val="auto"/>
              </w:rPr>
              <w:t>分</w:t>
            </w:r>
            <w:r>
              <w:rPr>
                <w:color w:val="auto"/>
              </w:rPr>
              <w:t xml:space="preserve"> </w:t>
            </w:r>
            <w:r>
              <w:rPr>
                <w:rFonts w:hint="eastAsia"/>
                <w:color w:val="auto"/>
              </w:rPr>
              <w:t>标</w:t>
            </w:r>
            <w:r>
              <w:rPr>
                <w:color w:val="auto"/>
              </w:rPr>
              <w:t xml:space="preserve"> </w:t>
            </w:r>
            <w:r>
              <w:rPr>
                <w:rFonts w:hint="eastAsia"/>
                <w:color w:val="auto"/>
              </w:rPr>
              <w:t>准</w:t>
            </w:r>
          </w:p>
        </w:tc>
        <w:tc>
          <w:tcPr>
            <w:tcW w:w="720" w:type="dxa"/>
            <w:vAlign w:val="center"/>
          </w:tcPr>
          <w:p w14:paraId="42DF6F19">
            <w:pPr>
              <w:pStyle w:val="44"/>
              <w:rPr>
                <w:color w:val="auto"/>
              </w:rPr>
            </w:pPr>
            <w:r>
              <w:rPr>
                <w:rFonts w:hint="eastAsia"/>
                <w:color w:val="auto"/>
              </w:rPr>
              <w:t>应得</w:t>
            </w:r>
          </w:p>
          <w:p w14:paraId="1336B3AC">
            <w:pPr>
              <w:pStyle w:val="44"/>
              <w:rPr>
                <w:color w:val="auto"/>
              </w:rPr>
            </w:pPr>
            <w:r>
              <w:rPr>
                <w:rFonts w:hint="eastAsia"/>
                <w:color w:val="auto"/>
              </w:rPr>
              <w:t>分数</w:t>
            </w:r>
          </w:p>
        </w:tc>
        <w:tc>
          <w:tcPr>
            <w:tcW w:w="720" w:type="dxa"/>
            <w:vAlign w:val="center"/>
          </w:tcPr>
          <w:p w14:paraId="3EB5780A">
            <w:pPr>
              <w:pStyle w:val="44"/>
              <w:rPr>
                <w:color w:val="auto"/>
              </w:rPr>
            </w:pPr>
            <w:r>
              <w:rPr>
                <w:rFonts w:hint="eastAsia"/>
                <w:color w:val="auto"/>
              </w:rPr>
              <w:t>扣减</w:t>
            </w:r>
          </w:p>
          <w:p w14:paraId="4EC7CE1F">
            <w:pPr>
              <w:pStyle w:val="44"/>
              <w:rPr>
                <w:color w:val="auto"/>
              </w:rPr>
            </w:pPr>
            <w:r>
              <w:rPr>
                <w:rFonts w:hint="eastAsia"/>
                <w:color w:val="auto"/>
              </w:rPr>
              <w:t>分数</w:t>
            </w:r>
          </w:p>
        </w:tc>
        <w:tc>
          <w:tcPr>
            <w:tcW w:w="720" w:type="dxa"/>
            <w:vAlign w:val="center"/>
          </w:tcPr>
          <w:p w14:paraId="67ED4F44">
            <w:pPr>
              <w:pStyle w:val="44"/>
              <w:rPr>
                <w:color w:val="auto"/>
              </w:rPr>
            </w:pPr>
            <w:r>
              <w:rPr>
                <w:rFonts w:hint="eastAsia"/>
                <w:color w:val="auto"/>
              </w:rPr>
              <w:t>实得</w:t>
            </w:r>
          </w:p>
          <w:p w14:paraId="695B39E7">
            <w:pPr>
              <w:pStyle w:val="44"/>
              <w:rPr>
                <w:color w:val="auto"/>
              </w:rPr>
            </w:pPr>
            <w:r>
              <w:rPr>
                <w:rFonts w:hint="eastAsia"/>
                <w:color w:val="auto"/>
              </w:rPr>
              <w:t>分数</w:t>
            </w:r>
          </w:p>
        </w:tc>
      </w:tr>
      <w:tr w14:paraId="49316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trPr>
        <w:tc>
          <w:tcPr>
            <w:tcW w:w="539" w:type="dxa"/>
            <w:vAlign w:val="center"/>
          </w:tcPr>
          <w:p w14:paraId="4DB160E9">
            <w:pPr>
              <w:pStyle w:val="44"/>
              <w:rPr>
                <w:color w:val="auto"/>
              </w:rPr>
            </w:pPr>
            <w:r>
              <w:rPr>
                <w:color w:val="auto"/>
              </w:rPr>
              <w:t>1</w:t>
            </w:r>
          </w:p>
        </w:tc>
        <w:tc>
          <w:tcPr>
            <w:tcW w:w="543" w:type="dxa"/>
            <w:vMerge w:val="restart"/>
            <w:vAlign w:val="center"/>
          </w:tcPr>
          <w:p w14:paraId="519F8F68">
            <w:pPr>
              <w:pStyle w:val="44"/>
              <w:rPr>
                <w:color w:val="auto"/>
              </w:rPr>
            </w:pPr>
            <w:r>
              <w:rPr>
                <w:rFonts w:hint="eastAsia"/>
                <w:color w:val="auto"/>
              </w:rPr>
              <w:t>保</w:t>
            </w:r>
          </w:p>
          <w:p w14:paraId="2BF030CB">
            <w:pPr>
              <w:pStyle w:val="44"/>
              <w:rPr>
                <w:color w:val="auto"/>
              </w:rPr>
            </w:pPr>
            <w:r>
              <w:rPr>
                <w:rFonts w:hint="eastAsia"/>
                <w:color w:val="auto"/>
              </w:rPr>
              <w:t>证</w:t>
            </w:r>
          </w:p>
          <w:p w14:paraId="5AD72660">
            <w:pPr>
              <w:pStyle w:val="44"/>
              <w:rPr>
                <w:color w:val="auto"/>
              </w:rPr>
            </w:pPr>
            <w:r>
              <w:rPr>
                <w:rFonts w:hint="eastAsia"/>
                <w:color w:val="auto"/>
              </w:rPr>
              <w:t>项</w:t>
            </w:r>
          </w:p>
          <w:p w14:paraId="29261DCE">
            <w:pPr>
              <w:pStyle w:val="44"/>
              <w:rPr>
                <w:color w:val="auto"/>
              </w:rPr>
            </w:pPr>
            <w:r>
              <w:rPr>
                <w:rFonts w:hint="eastAsia"/>
                <w:color w:val="auto"/>
              </w:rPr>
              <w:t>目</w:t>
            </w:r>
          </w:p>
        </w:tc>
        <w:tc>
          <w:tcPr>
            <w:tcW w:w="898" w:type="dxa"/>
            <w:vAlign w:val="center"/>
          </w:tcPr>
          <w:p w14:paraId="2DC9F718">
            <w:pPr>
              <w:pStyle w:val="44"/>
              <w:rPr>
                <w:color w:val="auto"/>
              </w:rPr>
            </w:pPr>
            <w:r>
              <w:rPr>
                <w:rFonts w:hint="eastAsia"/>
                <w:color w:val="auto"/>
              </w:rPr>
              <w:t>施工方案</w:t>
            </w:r>
          </w:p>
        </w:tc>
        <w:tc>
          <w:tcPr>
            <w:tcW w:w="5580" w:type="dxa"/>
            <w:vAlign w:val="center"/>
          </w:tcPr>
          <w:p w14:paraId="0CE52088">
            <w:pPr>
              <w:pStyle w:val="44"/>
              <w:jc w:val="left"/>
              <w:rPr>
                <w:color w:val="auto"/>
              </w:rPr>
            </w:pPr>
            <w:r>
              <w:rPr>
                <w:color w:val="auto"/>
              </w:rPr>
              <w:t>1</w:t>
            </w:r>
            <w:r>
              <w:rPr>
                <w:rFonts w:hint="eastAsia"/>
                <w:color w:val="auto"/>
              </w:rPr>
              <w:t>）未按规定编制专项施工方案，扣</w:t>
            </w:r>
            <w:r>
              <w:rPr>
                <w:color w:val="auto"/>
              </w:rPr>
              <w:t>10</w:t>
            </w:r>
            <w:r>
              <w:rPr>
                <w:rFonts w:hint="eastAsia"/>
                <w:color w:val="auto"/>
              </w:rPr>
              <w:t>分；方案编制内容不全或无针对性，扣</w:t>
            </w:r>
            <w:r>
              <w:rPr>
                <w:color w:val="auto"/>
              </w:rPr>
              <w:t>2-10</w:t>
            </w:r>
            <w:r>
              <w:rPr>
                <w:rFonts w:hint="eastAsia"/>
                <w:color w:val="auto"/>
              </w:rPr>
              <w:t>分</w:t>
            </w:r>
          </w:p>
          <w:p w14:paraId="1D74BF59">
            <w:pPr>
              <w:pStyle w:val="44"/>
              <w:jc w:val="left"/>
              <w:rPr>
                <w:color w:val="auto"/>
              </w:rPr>
            </w:pPr>
            <w:r>
              <w:rPr>
                <w:color w:val="auto"/>
              </w:rPr>
              <w:t>2</w:t>
            </w:r>
            <w:r>
              <w:rPr>
                <w:rFonts w:hint="eastAsia"/>
                <w:color w:val="auto"/>
              </w:rPr>
              <w:t>）未对重要部位、工序应制定专项方案，每项扣</w:t>
            </w:r>
            <w:r>
              <w:rPr>
                <w:color w:val="auto"/>
              </w:rPr>
              <w:t>5</w:t>
            </w:r>
            <w:r>
              <w:rPr>
                <w:rFonts w:hint="eastAsia"/>
                <w:color w:val="auto"/>
              </w:rPr>
              <w:t>分</w:t>
            </w:r>
          </w:p>
          <w:p w14:paraId="74FF6AE5">
            <w:pPr>
              <w:pStyle w:val="44"/>
              <w:jc w:val="left"/>
              <w:rPr>
                <w:color w:val="auto"/>
              </w:rPr>
            </w:pPr>
            <w:r>
              <w:rPr>
                <w:color w:val="auto"/>
              </w:rPr>
              <w:t>3</w:t>
            </w:r>
            <w:r>
              <w:rPr>
                <w:rFonts w:hint="eastAsia"/>
                <w:color w:val="auto"/>
              </w:rPr>
              <w:t>）专项施工方案或重要部位、工序的专项方案未按规定进行审核、审批，扣</w:t>
            </w:r>
            <w:r>
              <w:rPr>
                <w:color w:val="auto"/>
              </w:rPr>
              <w:t>10</w:t>
            </w:r>
            <w:r>
              <w:rPr>
                <w:rFonts w:hint="eastAsia"/>
                <w:color w:val="auto"/>
              </w:rPr>
              <w:t>分</w:t>
            </w:r>
          </w:p>
          <w:p w14:paraId="2D272255">
            <w:pPr>
              <w:pStyle w:val="44"/>
              <w:jc w:val="left"/>
              <w:rPr>
                <w:color w:val="auto"/>
              </w:rPr>
            </w:pPr>
            <w:r>
              <w:rPr>
                <w:color w:val="auto"/>
              </w:rPr>
              <w:t>4</w:t>
            </w:r>
            <w:r>
              <w:rPr>
                <w:rFonts w:hint="eastAsia"/>
                <w:color w:val="auto"/>
              </w:rPr>
              <w:t>）未按规定组织专家对专项施工方案以及穿越既有设施、首次盾构开仓（换刀）、联络通道等工序的专项方案进行论证，扣</w:t>
            </w:r>
            <w:r>
              <w:rPr>
                <w:color w:val="auto"/>
              </w:rPr>
              <w:t>10</w:t>
            </w:r>
            <w:r>
              <w:rPr>
                <w:rFonts w:hint="eastAsia"/>
                <w:color w:val="auto"/>
              </w:rPr>
              <w:t>分</w:t>
            </w:r>
          </w:p>
          <w:p w14:paraId="1FE92675">
            <w:pPr>
              <w:pStyle w:val="44"/>
              <w:jc w:val="left"/>
              <w:rPr>
                <w:color w:val="auto"/>
              </w:rPr>
            </w:pPr>
            <w:r>
              <w:rPr>
                <w:color w:val="auto"/>
              </w:rPr>
              <w:t>5</w:t>
            </w:r>
            <w:r>
              <w:rPr>
                <w:rFonts w:hint="eastAsia"/>
                <w:color w:val="auto"/>
              </w:rPr>
              <w:t>）专项施工方案实施前，未进行安全技术交底，扣</w:t>
            </w:r>
            <w:r>
              <w:rPr>
                <w:color w:val="auto"/>
              </w:rPr>
              <w:t>10</w:t>
            </w:r>
            <w:r>
              <w:rPr>
                <w:rFonts w:hint="eastAsia"/>
                <w:color w:val="auto"/>
              </w:rPr>
              <w:t>分；交底无针对性或无文字记录，扣</w:t>
            </w:r>
            <w:r>
              <w:rPr>
                <w:color w:val="auto"/>
              </w:rPr>
              <w:t>2-5</w:t>
            </w:r>
            <w:r>
              <w:rPr>
                <w:rFonts w:hint="eastAsia"/>
                <w:color w:val="auto"/>
              </w:rPr>
              <w:t>分</w:t>
            </w:r>
          </w:p>
          <w:p w14:paraId="66B40B6F">
            <w:pPr>
              <w:pStyle w:val="44"/>
              <w:jc w:val="left"/>
              <w:rPr>
                <w:color w:val="auto"/>
              </w:rPr>
            </w:pPr>
            <w:r>
              <w:rPr>
                <w:color w:val="auto"/>
              </w:rPr>
              <w:t>6</w:t>
            </w:r>
            <w:r>
              <w:rPr>
                <w:rFonts w:hint="eastAsia"/>
                <w:color w:val="auto"/>
              </w:rPr>
              <w:t>）未按规定编制现场应急预案或应急预案内容不全、针对性不强，扣</w:t>
            </w:r>
            <w:r>
              <w:rPr>
                <w:color w:val="auto"/>
              </w:rPr>
              <w:t>10</w:t>
            </w:r>
            <w:r>
              <w:rPr>
                <w:rFonts w:hint="eastAsia"/>
                <w:color w:val="auto"/>
              </w:rPr>
              <w:t>分</w:t>
            </w:r>
          </w:p>
        </w:tc>
        <w:tc>
          <w:tcPr>
            <w:tcW w:w="720" w:type="dxa"/>
            <w:vAlign w:val="center"/>
          </w:tcPr>
          <w:p w14:paraId="03BFF118">
            <w:pPr>
              <w:pStyle w:val="44"/>
              <w:rPr>
                <w:color w:val="auto"/>
              </w:rPr>
            </w:pPr>
            <w:r>
              <w:rPr>
                <w:color w:val="auto"/>
              </w:rPr>
              <w:t>10</w:t>
            </w:r>
          </w:p>
        </w:tc>
        <w:tc>
          <w:tcPr>
            <w:tcW w:w="720" w:type="dxa"/>
            <w:vAlign w:val="center"/>
          </w:tcPr>
          <w:p w14:paraId="3E17647A">
            <w:pPr>
              <w:pStyle w:val="44"/>
              <w:rPr>
                <w:color w:val="auto"/>
              </w:rPr>
            </w:pPr>
          </w:p>
        </w:tc>
        <w:tc>
          <w:tcPr>
            <w:tcW w:w="720" w:type="dxa"/>
            <w:vAlign w:val="center"/>
          </w:tcPr>
          <w:p w14:paraId="20CDB1A2">
            <w:pPr>
              <w:pStyle w:val="44"/>
              <w:rPr>
                <w:color w:val="auto"/>
              </w:rPr>
            </w:pPr>
          </w:p>
        </w:tc>
      </w:tr>
      <w:tr w14:paraId="0132B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trPr>
        <w:tc>
          <w:tcPr>
            <w:tcW w:w="539" w:type="dxa"/>
            <w:vAlign w:val="center"/>
          </w:tcPr>
          <w:p w14:paraId="15D9C0A8">
            <w:pPr>
              <w:pStyle w:val="44"/>
              <w:rPr>
                <w:color w:val="auto"/>
              </w:rPr>
            </w:pPr>
            <w:r>
              <w:rPr>
                <w:color w:val="auto"/>
              </w:rPr>
              <w:t>2</w:t>
            </w:r>
          </w:p>
        </w:tc>
        <w:tc>
          <w:tcPr>
            <w:tcW w:w="543" w:type="dxa"/>
            <w:vMerge w:val="continue"/>
          </w:tcPr>
          <w:p w14:paraId="2AC5F08E">
            <w:pPr>
              <w:pStyle w:val="44"/>
              <w:rPr>
                <w:color w:val="auto"/>
              </w:rPr>
            </w:pPr>
          </w:p>
        </w:tc>
        <w:tc>
          <w:tcPr>
            <w:tcW w:w="898" w:type="dxa"/>
            <w:vAlign w:val="center"/>
          </w:tcPr>
          <w:p w14:paraId="21C103F6">
            <w:pPr>
              <w:pStyle w:val="44"/>
              <w:rPr>
                <w:color w:val="auto"/>
              </w:rPr>
            </w:pPr>
            <w:r>
              <w:rPr>
                <w:rFonts w:hint="eastAsia"/>
                <w:color w:val="auto"/>
              </w:rPr>
              <w:t>盾构机选型与安装调试</w:t>
            </w:r>
          </w:p>
        </w:tc>
        <w:tc>
          <w:tcPr>
            <w:tcW w:w="5580" w:type="dxa"/>
            <w:vAlign w:val="center"/>
          </w:tcPr>
          <w:p w14:paraId="36583264">
            <w:pPr>
              <w:pStyle w:val="44"/>
              <w:jc w:val="left"/>
              <w:rPr>
                <w:color w:val="auto"/>
              </w:rPr>
            </w:pPr>
            <w:r>
              <w:rPr>
                <w:color w:val="auto"/>
              </w:rPr>
              <w:t>1</w:t>
            </w:r>
            <w:r>
              <w:rPr>
                <w:rFonts w:hint="eastAsia"/>
                <w:color w:val="auto"/>
              </w:rPr>
              <w:t>）新造盾构机未组织选型论证，扣</w:t>
            </w:r>
            <w:r>
              <w:rPr>
                <w:color w:val="auto"/>
              </w:rPr>
              <w:t>5</w:t>
            </w:r>
            <w:r>
              <w:rPr>
                <w:rFonts w:hint="eastAsia"/>
                <w:color w:val="auto"/>
              </w:rPr>
              <w:t>分</w:t>
            </w:r>
          </w:p>
          <w:p w14:paraId="37CF86E7">
            <w:pPr>
              <w:pStyle w:val="44"/>
              <w:jc w:val="left"/>
              <w:rPr>
                <w:color w:val="auto"/>
              </w:rPr>
            </w:pPr>
            <w:r>
              <w:rPr>
                <w:color w:val="auto"/>
              </w:rPr>
              <w:t>2</w:t>
            </w:r>
            <w:r>
              <w:rPr>
                <w:rFonts w:hint="eastAsia"/>
                <w:color w:val="auto"/>
              </w:rPr>
              <w:t>）改造盾构机未组织适用性验收，扣</w:t>
            </w:r>
            <w:r>
              <w:rPr>
                <w:color w:val="auto"/>
              </w:rPr>
              <w:t>5</w:t>
            </w:r>
            <w:r>
              <w:rPr>
                <w:rFonts w:hint="eastAsia"/>
                <w:color w:val="auto"/>
              </w:rPr>
              <w:t>分</w:t>
            </w:r>
          </w:p>
          <w:p w14:paraId="694C048A">
            <w:pPr>
              <w:pStyle w:val="44"/>
              <w:jc w:val="left"/>
              <w:rPr>
                <w:color w:val="auto"/>
              </w:rPr>
            </w:pPr>
            <w:r>
              <w:rPr>
                <w:color w:val="auto"/>
              </w:rPr>
              <w:t>3</w:t>
            </w:r>
            <w:r>
              <w:rPr>
                <w:rFonts w:hint="eastAsia"/>
                <w:color w:val="auto"/>
              </w:rPr>
              <w:t>）盾构或其配套设备无质量合格证明文件，扣</w:t>
            </w:r>
            <w:r>
              <w:rPr>
                <w:color w:val="auto"/>
              </w:rPr>
              <w:t>3</w:t>
            </w:r>
            <w:r>
              <w:rPr>
                <w:rFonts w:hint="eastAsia"/>
                <w:color w:val="auto"/>
              </w:rPr>
              <w:t>分</w:t>
            </w:r>
          </w:p>
          <w:p w14:paraId="56A44F0F">
            <w:pPr>
              <w:pStyle w:val="44"/>
              <w:jc w:val="left"/>
              <w:rPr>
                <w:color w:val="auto"/>
              </w:rPr>
            </w:pPr>
            <w:r>
              <w:rPr>
                <w:color w:val="auto"/>
              </w:rPr>
              <w:t>4</w:t>
            </w:r>
            <w:r>
              <w:rPr>
                <w:rFonts w:hint="eastAsia"/>
                <w:color w:val="auto"/>
              </w:rPr>
              <w:t>）新造或改造盾构机未进行出厂验收，扣</w:t>
            </w:r>
            <w:r>
              <w:rPr>
                <w:color w:val="auto"/>
              </w:rPr>
              <w:t>3</w:t>
            </w:r>
            <w:r>
              <w:rPr>
                <w:rFonts w:hint="eastAsia"/>
                <w:color w:val="auto"/>
              </w:rPr>
              <w:t>分</w:t>
            </w:r>
          </w:p>
          <w:p w14:paraId="69CCDF3A">
            <w:pPr>
              <w:pStyle w:val="44"/>
              <w:jc w:val="left"/>
              <w:rPr>
                <w:color w:val="auto"/>
              </w:rPr>
            </w:pPr>
            <w:r>
              <w:rPr>
                <w:color w:val="auto"/>
              </w:rPr>
              <w:t>5</w:t>
            </w:r>
            <w:r>
              <w:rPr>
                <w:rFonts w:hint="eastAsia"/>
                <w:color w:val="auto"/>
              </w:rPr>
              <w:t>）盾构机维修后主要系统未进行测试或检测，扣</w:t>
            </w:r>
            <w:r>
              <w:rPr>
                <w:color w:val="auto"/>
              </w:rPr>
              <w:t>5</w:t>
            </w:r>
            <w:r>
              <w:rPr>
                <w:rFonts w:hint="eastAsia"/>
                <w:color w:val="auto"/>
              </w:rPr>
              <w:t>分</w:t>
            </w:r>
          </w:p>
          <w:p w14:paraId="0C511780">
            <w:pPr>
              <w:pStyle w:val="44"/>
              <w:jc w:val="left"/>
              <w:rPr>
                <w:color w:val="auto"/>
              </w:rPr>
            </w:pPr>
            <w:r>
              <w:rPr>
                <w:color w:val="auto"/>
              </w:rPr>
              <w:t>6</w:t>
            </w:r>
            <w:r>
              <w:rPr>
                <w:rFonts w:hint="eastAsia"/>
                <w:color w:val="auto"/>
              </w:rPr>
              <w:t>）安装调试完成后未组织现场验收，扣</w:t>
            </w:r>
            <w:r>
              <w:rPr>
                <w:color w:val="auto"/>
              </w:rPr>
              <w:t>5</w:t>
            </w:r>
            <w:r>
              <w:rPr>
                <w:rFonts w:hint="eastAsia"/>
                <w:color w:val="auto"/>
              </w:rPr>
              <w:t>分</w:t>
            </w:r>
          </w:p>
          <w:p w14:paraId="1028794B">
            <w:pPr>
              <w:pStyle w:val="44"/>
              <w:jc w:val="left"/>
              <w:rPr>
                <w:color w:val="auto"/>
              </w:rPr>
            </w:pPr>
            <w:r>
              <w:rPr>
                <w:color w:val="auto"/>
              </w:rPr>
              <w:t>7</w:t>
            </w:r>
            <w:r>
              <w:rPr>
                <w:rFonts w:hint="eastAsia"/>
                <w:color w:val="auto"/>
              </w:rPr>
              <w:t>）盾构机吊装过程未严格执行吊装安全专项方案和安全操作规程，扣</w:t>
            </w:r>
            <w:r>
              <w:rPr>
                <w:color w:val="auto"/>
              </w:rPr>
              <w:t>5-10</w:t>
            </w:r>
            <w:r>
              <w:rPr>
                <w:rFonts w:hint="eastAsia"/>
                <w:color w:val="auto"/>
              </w:rPr>
              <w:t>分</w:t>
            </w:r>
          </w:p>
        </w:tc>
        <w:tc>
          <w:tcPr>
            <w:tcW w:w="720" w:type="dxa"/>
            <w:vAlign w:val="center"/>
          </w:tcPr>
          <w:p w14:paraId="78DFE4A7">
            <w:pPr>
              <w:pStyle w:val="44"/>
              <w:rPr>
                <w:color w:val="auto"/>
              </w:rPr>
            </w:pPr>
            <w:r>
              <w:rPr>
                <w:color w:val="auto"/>
              </w:rPr>
              <w:t>10</w:t>
            </w:r>
          </w:p>
        </w:tc>
        <w:tc>
          <w:tcPr>
            <w:tcW w:w="720" w:type="dxa"/>
            <w:vAlign w:val="center"/>
          </w:tcPr>
          <w:p w14:paraId="17EAA097">
            <w:pPr>
              <w:pStyle w:val="44"/>
              <w:rPr>
                <w:color w:val="auto"/>
              </w:rPr>
            </w:pPr>
          </w:p>
        </w:tc>
        <w:tc>
          <w:tcPr>
            <w:tcW w:w="720" w:type="dxa"/>
            <w:vAlign w:val="center"/>
          </w:tcPr>
          <w:p w14:paraId="38DE0651">
            <w:pPr>
              <w:pStyle w:val="44"/>
              <w:rPr>
                <w:color w:val="auto"/>
              </w:rPr>
            </w:pPr>
          </w:p>
        </w:tc>
      </w:tr>
      <w:tr w14:paraId="7206D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3FA4DAA6">
            <w:pPr>
              <w:pStyle w:val="44"/>
              <w:rPr>
                <w:color w:val="auto"/>
              </w:rPr>
            </w:pPr>
            <w:r>
              <w:rPr>
                <w:color w:val="auto"/>
              </w:rPr>
              <w:t>3</w:t>
            </w:r>
          </w:p>
        </w:tc>
        <w:tc>
          <w:tcPr>
            <w:tcW w:w="543" w:type="dxa"/>
            <w:vMerge w:val="continue"/>
          </w:tcPr>
          <w:p w14:paraId="341B6918">
            <w:pPr>
              <w:pStyle w:val="44"/>
              <w:rPr>
                <w:color w:val="auto"/>
              </w:rPr>
            </w:pPr>
          </w:p>
        </w:tc>
        <w:tc>
          <w:tcPr>
            <w:tcW w:w="898" w:type="dxa"/>
            <w:vAlign w:val="center"/>
          </w:tcPr>
          <w:p w14:paraId="5F187A59">
            <w:pPr>
              <w:pStyle w:val="44"/>
              <w:rPr>
                <w:color w:val="auto"/>
              </w:rPr>
            </w:pPr>
            <w:r>
              <w:rPr>
                <w:rFonts w:hint="eastAsia"/>
                <w:color w:val="auto"/>
              </w:rPr>
              <w:t>始发与接收</w:t>
            </w:r>
          </w:p>
        </w:tc>
        <w:tc>
          <w:tcPr>
            <w:tcW w:w="5580" w:type="dxa"/>
            <w:vAlign w:val="center"/>
          </w:tcPr>
          <w:p w14:paraId="2B6D5EDC">
            <w:pPr>
              <w:pStyle w:val="44"/>
              <w:jc w:val="left"/>
              <w:rPr>
                <w:color w:val="auto"/>
              </w:rPr>
            </w:pPr>
            <w:r>
              <w:rPr>
                <w:color w:val="auto"/>
              </w:rPr>
              <w:t>1</w:t>
            </w:r>
            <w:r>
              <w:rPr>
                <w:rFonts w:hint="eastAsia"/>
                <w:color w:val="auto"/>
              </w:rPr>
              <w:t>）始发前未对地勘资料进行详细复核，扣</w:t>
            </w:r>
            <w:r>
              <w:rPr>
                <w:color w:val="auto"/>
              </w:rPr>
              <w:t>3-5</w:t>
            </w:r>
            <w:r>
              <w:rPr>
                <w:rFonts w:hint="eastAsia"/>
                <w:color w:val="auto"/>
              </w:rPr>
              <w:t>分</w:t>
            </w:r>
          </w:p>
          <w:p w14:paraId="47C70E6C">
            <w:pPr>
              <w:pStyle w:val="44"/>
              <w:jc w:val="left"/>
              <w:rPr>
                <w:color w:val="auto"/>
              </w:rPr>
            </w:pPr>
            <w:r>
              <w:rPr>
                <w:color w:val="auto"/>
              </w:rPr>
              <w:t>2</w:t>
            </w:r>
            <w:r>
              <w:rPr>
                <w:rFonts w:hint="eastAsia"/>
                <w:color w:val="auto"/>
              </w:rPr>
              <w:t>）未按专项方案对始发与接收井端头进行加固，扣</w:t>
            </w:r>
            <w:r>
              <w:rPr>
                <w:color w:val="auto"/>
              </w:rPr>
              <w:t>10</w:t>
            </w:r>
            <w:r>
              <w:rPr>
                <w:rFonts w:hint="eastAsia"/>
                <w:color w:val="auto"/>
              </w:rPr>
              <w:t>分</w:t>
            </w:r>
          </w:p>
          <w:p w14:paraId="2E917310">
            <w:pPr>
              <w:pStyle w:val="44"/>
              <w:jc w:val="left"/>
              <w:rPr>
                <w:color w:val="auto"/>
              </w:rPr>
            </w:pPr>
            <w:r>
              <w:rPr>
                <w:color w:val="auto"/>
              </w:rPr>
              <w:t>3</w:t>
            </w:r>
            <w:r>
              <w:rPr>
                <w:rFonts w:hint="eastAsia"/>
                <w:color w:val="auto"/>
              </w:rPr>
              <w:t>）洞门凿除前未对端头加固改良后土体进行抽芯检测，扣</w:t>
            </w:r>
            <w:r>
              <w:rPr>
                <w:color w:val="auto"/>
              </w:rPr>
              <w:t>10</w:t>
            </w:r>
            <w:r>
              <w:rPr>
                <w:rFonts w:hint="eastAsia"/>
                <w:color w:val="auto"/>
              </w:rPr>
              <w:t>分</w:t>
            </w:r>
          </w:p>
          <w:p w14:paraId="30394490">
            <w:pPr>
              <w:pStyle w:val="44"/>
              <w:jc w:val="left"/>
              <w:rPr>
                <w:color w:val="auto"/>
              </w:rPr>
            </w:pPr>
            <w:r>
              <w:rPr>
                <w:color w:val="auto"/>
              </w:rPr>
              <w:t>4</w:t>
            </w:r>
            <w:r>
              <w:rPr>
                <w:rFonts w:hint="eastAsia"/>
                <w:color w:val="auto"/>
              </w:rPr>
              <w:t>）未在掌子面钻孔探测地质情况，扣</w:t>
            </w:r>
            <w:r>
              <w:rPr>
                <w:color w:val="auto"/>
              </w:rPr>
              <w:t>5</w:t>
            </w:r>
            <w:r>
              <w:rPr>
                <w:rFonts w:hint="eastAsia"/>
                <w:color w:val="auto"/>
              </w:rPr>
              <w:t>分</w:t>
            </w:r>
          </w:p>
          <w:p w14:paraId="13D2B7B1">
            <w:pPr>
              <w:pStyle w:val="44"/>
              <w:jc w:val="left"/>
              <w:rPr>
                <w:color w:val="auto"/>
              </w:rPr>
            </w:pPr>
            <w:r>
              <w:rPr>
                <w:color w:val="auto"/>
              </w:rPr>
              <w:t>5</w:t>
            </w:r>
            <w:r>
              <w:rPr>
                <w:rFonts w:hint="eastAsia"/>
                <w:color w:val="auto"/>
              </w:rPr>
              <w:t>）盾构洞门未按设计要求制作洞圈（钢环）和密封装置，扣</w:t>
            </w:r>
            <w:r>
              <w:rPr>
                <w:color w:val="auto"/>
              </w:rPr>
              <w:t>5</w:t>
            </w:r>
            <w:r>
              <w:rPr>
                <w:rFonts w:hint="eastAsia"/>
                <w:color w:val="auto"/>
              </w:rPr>
              <w:t>分</w:t>
            </w:r>
          </w:p>
          <w:p w14:paraId="3AD77FB0">
            <w:pPr>
              <w:pStyle w:val="44"/>
              <w:jc w:val="left"/>
              <w:rPr>
                <w:color w:val="auto"/>
              </w:rPr>
            </w:pPr>
            <w:r>
              <w:rPr>
                <w:color w:val="auto"/>
              </w:rPr>
              <w:t>6</w:t>
            </w:r>
            <w:r>
              <w:rPr>
                <w:rFonts w:hint="eastAsia"/>
                <w:color w:val="auto"/>
              </w:rPr>
              <w:t>）始发前未对盾构机姿态进行复核，扣</w:t>
            </w:r>
            <w:r>
              <w:rPr>
                <w:color w:val="auto"/>
              </w:rPr>
              <w:t>5</w:t>
            </w:r>
            <w:r>
              <w:rPr>
                <w:rFonts w:hint="eastAsia"/>
                <w:color w:val="auto"/>
              </w:rPr>
              <w:t>分</w:t>
            </w:r>
          </w:p>
          <w:p w14:paraId="47CF23B3">
            <w:pPr>
              <w:pStyle w:val="44"/>
              <w:jc w:val="left"/>
              <w:rPr>
                <w:color w:val="auto"/>
              </w:rPr>
            </w:pPr>
            <w:r>
              <w:rPr>
                <w:color w:val="auto"/>
              </w:rPr>
              <w:t>7</w:t>
            </w:r>
            <w:r>
              <w:rPr>
                <w:rFonts w:hint="eastAsia"/>
                <w:color w:val="auto"/>
              </w:rPr>
              <w:t>）接收未对托架受力进行验算，或托架未进行安装质量及焊缝检测并确认合格，扣</w:t>
            </w:r>
            <w:r>
              <w:rPr>
                <w:color w:val="auto"/>
              </w:rPr>
              <w:t>10</w:t>
            </w:r>
            <w:r>
              <w:rPr>
                <w:rFonts w:hint="eastAsia"/>
                <w:color w:val="auto"/>
              </w:rPr>
              <w:t>分；</w:t>
            </w:r>
          </w:p>
          <w:p w14:paraId="378D9E50">
            <w:pPr>
              <w:pStyle w:val="44"/>
              <w:jc w:val="left"/>
              <w:rPr>
                <w:color w:val="auto"/>
              </w:rPr>
            </w:pPr>
            <w:r>
              <w:rPr>
                <w:color w:val="auto"/>
              </w:rPr>
              <w:t>8</w:t>
            </w:r>
            <w:r>
              <w:rPr>
                <w:rFonts w:hint="eastAsia"/>
                <w:color w:val="auto"/>
              </w:rPr>
              <w:t>）始发时未按专项施工方案对负环管片采取限位固定措施或措施不到位，扣</w:t>
            </w:r>
            <w:r>
              <w:rPr>
                <w:color w:val="auto"/>
              </w:rPr>
              <w:t>5</w:t>
            </w:r>
            <w:r>
              <w:rPr>
                <w:rFonts w:hint="eastAsia"/>
                <w:color w:val="auto"/>
              </w:rPr>
              <w:t>分</w:t>
            </w:r>
          </w:p>
          <w:p w14:paraId="4AC5C4D6">
            <w:pPr>
              <w:pStyle w:val="44"/>
              <w:jc w:val="left"/>
              <w:rPr>
                <w:color w:val="auto"/>
              </w:rPr>
            </w:pPr>
            <w:r>
              <w:rPr>
                <w:color w:val="auto"/>
              </w:rPr>
              <w:t>9</w:t>
            </w:r>
            <w:r>
              <w:rPr>
                <w:rFonts w:hint="eastAsia"/>
                <w:color w:val="auto"/>
              </w:rPr>
              <w:t>）始发与接收未对管片采取限位、固定措施，或未按要求对管片螺栓进行复紧，扣</w:t>
            </w:r>
            <w:r>
              <w:rPr>
                <w:color w:val="auto"/>
              </w:rPr>
              <w:t>5</w:t>
            </w:r>
            <w:r>
              <w:rPr>
                <w:rFonts w:hint="eastAsia"/>
                <w:color w:val="auto"/>
              </w:rPr>
              <w:t>分</w:t>
            </w:r>
          </w:p>
          <w:p w14:paraId="1ED43894">
            <w:pPr>
              <w:pStyle w:val="44"/>
              <w:jc w:val="left"/>
              <w:rPr>
                <w:color w:val="auto"/>
              </w:rPr>
            </w:pPr>
            <w:r>
              <w:rPr>
                <w:color w:val="auto"/>
              </w:rPr>
              <w:t>10</w:t>
            </w:r>
            <w:r>
              <w:rPr>
                <w:rFonts w:hint="eastAsia"/>
                <w:color w:val="auto"/>
              </w:rPr>
              <w:t>）盾构机司机上岗前未经实际操作培训或考核不合格，扣</w:t>
            </w:r>
            <w:r>
              <w:rPr>
                <w:color w:val="auto"/>
              </w:rPr>
              <w:t>5</w:t>
            </w:r>
            <w:r>
              <w:rPr>
                <w:rFonts w:hint="eastAsia"/>
                <w:color w:val="auto"/>
              </w:rPr>
              <w:t>分</w:t>
            </w:r>
          </w:p>
        </w:tc>
        <w:tc>
          <w:tcPr>
            <w:tcW w:w="720" w:type="dxa"/>
            <w:vAlign w:val="center"/>
          </w:tcPr>
          <w:p w14:paraId="4B7F0216">
            <w:pPr>
              <w:pStyle w:val="44"/>
              <w:rPr>
                <w:color w:val="auto"/>
              </w:rPr>
            </w:pPr>
            <w:r>
              <w:rPr>
                <w:color w:val="auto"/>
              </w:rPr>
              <w:t>10</w:t>
            </w:r>
          </w:p>
        </w:tc>
        <w:tc>
          <w:tcPr>
            <w:tcW w:w="720" w:type="dxa"/>
            <w:vAlign w:val="center"/>
          </w:tcPr>
          <w:p w14:paraId="23B32410">
            <w:pPr>
              <w:pStyle w:val="44"/>
              <w:rPr>
                <w:color w:val="auto"/>
              </w:rPr>
            </w:pPr>
          </w:p>
        </w:tc>
        <w:tc>
          <w:tcPr>
            <w:tcW w:w="720" w:type="dxa"/>
            <w:vAlign w:val="center"/>
          </w:tcPr>
          <w:p w14:paraId="55E921F2">
            <w:pPr>
              <w:pStyle w:val="44"/>
              <w:rPr>
                <w:color w:val="auto"/>
              </w:rPr>
            </w:pPr>
          </w:p>
        </w:tc>
      </w:tr>
      <w:tr w14:paraId="4BEC5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28F20BA5">
            <w:pPr>
              <w:pStyle w:val="44"/>
              <w:rPr>
                <w:color w:val="auto"/>
              </w:rPr>
            </w:pPr>
            <w:r>
              <w:rPr>
                <w:color w:val="auto"/>
              </w:rPr>
              <w:t>4</w:t>
            </w:r>
          </w:p>
        </w:tc>
        <w:tc>
          <w:tcPr>
            <w:tcW w:w="543" w:type="dxa"/>
            <w:vMerge w:val="continue"/>
          </w:tcPr>
          <w:p w14:paraId="34E07C06">
            <w:pPr>
              <w:pStyle w:val="44"/>
              <w:rPr>
                <w:color w:val="auto"/>
              </w:rPr>
            </w:pPr>
          </w:p>
        </w:tc>
        <w:tc>
          <w:tcPr>
            <w:tcW w:w="898" w:type="dxa"/>
            <w:vAlign w:val="center"/>
          </w:tcPr>
          <w:p w14:paraId="717EEC4B">
            <w:pPr>
              <w:pStyle w:val="44"/>
              <w:rPr>
                <w:color w:val="auto"/>
              </w:rPr>
            </w:pPr>
            <w:r>
              <w:rPr>
                <w:rFonts w:hint="eastAsia"/>
                <w:color w:val="auto"/>
              </w:rPr>
              <w:t>掘进施工</w:t>
            </w:r>
          </w:p>
        </w:tc>
        <w:tc>
          <w:tcPr>
            <w:tcW w:w="5580" w:type="dxa"/>
            <w:vAlign w:val="center"/>
          </w:tcPr>
          <w:p w14:paraId="48D04FE6">
            <w:pPr>
              <w:pStyle w:val="44"/>
              <w:jc w:val="left"/>
              <w:rPr>
                <w:color w:val="auto"/>
              </w:rPr>
            </w:pPr>
            <w:r>
              <w:rPr>
                <w:color w:val="auto"/>
              </w:rPr>
              <w:t>1</w:t>
            </w:r>
            <w:r>
              <w:rPr>
                <w:rFonts w:hint="eastAsia"/>
                <w:color w:val="auto"/>
              </w:rPr>
              <w:t>）未进行试掘进并根据结果优化掘进参数，扣</w:t>
            </w:r>
            <w:r>
              <w:rPr>
                <w:color w:val="auto"/>
              </w:rPr>
              <w:t>5-8</w:t>
            </w:r>
            <w:r>
              <w:rPr>
                <w:rFonts w:hint="eastAsia"/>
                <w:color w:val="auto"/>
              </w:rPr>
              <w:t>分</w:t>
            </w:r>
          </w:p>
          <w:p w14:paraId="4D710D37">
            <w:pPr>
              <w:pStyle w:val="44"/>
              <w:jc w:val="left"/>
              <w:rPr>
                <w:color w:val="auto"/>
              </w:rPr>
            </w:pPr>
            <w:r>
              <w:rPr>
                <w:color w:val="auto"/>
              </w:rPr>
              <w:t>2</w:t>
            </w:r>
            <w:r>
              <w:rPr>
                <w:rFonts w:hint="eastAsia"/>
                <w:color w:val="auto"/>
              </w:rPr>
              <w:t>）掘进参数异常、姿态异常、地面沉降超限，未采取有效纠正措施，扣</w:t>
            </w:r>
            <w:r>
              <w:rPr>
                <w:color w:val="auto"/>
              </w:rPr>
              <w:t>5-8</w:t>
            </w:r>
            <w:r>
              <w:rPr>
                <w:rFonts w:hint="eastAsia"/>
                <w:color w:val="auto"/>
              </w:rPr>
              <w:t>分</w:t>
            </w:r>
          </w:p>
          <w:p w14:paraId="063DEF73">
            <w:pPr>
              <w:pStyle w:val="44"/>
              <w:jc w:val="left"/>
              <w:rPr>
                <w:color w:val="auto"/>
              </w:rPr>
            </w:pPr>
            <w:r>
              <w:rPr>
                <w:color w:val="auto"/>
              </w:rPr>
              <w:t>3</w:t>
            </w:r>
            <w:r>
              <w:rPr>
                <w:rFonts w:hint="eastAsia"/>
                <w:color w:val="auto"/>
              </w:rPr>
              <w:t>）施工过程未详细记录掘进参数、注浆量、出土量、豆砾石填充量等，扣</w:t>
            </w:r>
            <w:r>
              <w:rPr>
                <w:color w:val="auto"/>
              </w:rPr>
              <w:t>5</w:t>
            </w:r>
            <w:r>
              <w:rPr>
                <w:rFonts w:hint="eastAsia"/>
                <w:color w:val="auto"/>
              </w:rPr>
              <w:t>分</w:t>
            </w:r>
          </w:p>
          <w:p w14:paraId="1DC2C59B">
            <w:pPr>
              <w:pStyle w:val="44"/>
              <w:jc w:val="left"/>
              <w:rPr>
                <w:color w:val="auto"/>
              </w:rPr>
            </w:pPr>
            <w:r>
              <w:rPr>
                <w:color w:val="auto"/>
              </w:rPr>
              <w:t>4</w:t>
            </w:r>
            <w:r>
              <w:rPr>
                <w:rFonts w:hint="eastAsia"/>
                <w:color w:val="auto"/>
              </w:rPr>
              <w:t>）同步注浆配比未按设计方案实施，注浆量不足、注浆不及时、注浆压力达不到要求，扣</w:t>
            </w:r>
            <w:r>
              <w:rPr>
                <w:color w:val="auto"/>
              </w:rPr>
              <w:t>5</w:t>
            </w:r>
            <w:r>
              <w:rPr>
                <w:rFonts w:hint="eastAsia"/>
                <w:color w:val="auto"/>
              </w:rPr>
              <w:t>分</w:t>
            </w:r>
          </w:p>
          <w:p w14:paraId="359BDCBF">
            <w:pPr>
              <w:pStyle w:val="44"/>
              <w:jc w:val="left"/>
              <w:rPr>
                <w:color w:val="auto"/>
              </w:rPr>
            </w:pPr>
            <w:r>
              <w:rPr>
                <w:color w:val="auto"/>
              </w:rPr>
              <w:t>5</w:t>
            </w:r>
            <w:r>
              <w:rPr>
                <w:rFonts w:hint="eastAsia"/>
                <w:color w:val="auto"/>
              </w:rPr>
              <w:t>）出土过量未采取有效措施，扣</w:t>
            </w:r>
            <w:r>
              <w:rPr>
                <w:color w:val="auto"/>
              </w:rPr>
              <w:t>3-5</w:t>
            </w:r>
            <w:r>
              <w:rPr>
                <w:rFonts w:hint="eastAsia"/>
                <w:color w:val="auto"/>
              </w:rPr>
              <w:t>分</w:t>
            </w:r>
          </w:p>
          <w:p w14:paraId="15E51380">
            <w:pPr>
              <w:pStyle w:val="44"/>
              <w:jc w:val="left"/>
              <w:rPr>
                <w:color w:val="auto"/>
              </w:rPr>
            </w:pPr>
            <w:r>
              <w:rPr>
                <w:color w:val="auto"/>
              </w:rPr>
              <w:t>6</w:t>
            </w:r>
            <w:r>
              <w:rPr>
                <w:rFonts w:hint="eastAsia"/>
                <w:color w:val="auto"/>
              </w:rPr>
              <w:t>）穿越既有建（构）筑物、既有轨道线路或铁路和特殊地段前未对设备和刀具进行检查，或不能满足连续掘进要求，扣</w:t>
            </w:r>
            <w:r>
              <w:rPr>
                <w:color w:val="auto"/>
              </w:rPr>
              <w:t>5</w:t>
            </w:r>
            <w:r>
              <w:rPr>
                <w:rFonts w:hint="eastAsia"/>
                <w:color w:val="auto"/>
              </w:rPr>
              <w:t>分</w:t>
            </w:r>
          </w:p>
          <w:p w14:paraId="1EAC6443">
            <w:pPr>
              <w:pStyle w:val="44"/>
              <w:jc w:val="left"/>
              <w:rPr>
                <w:color w:val="auto"/>
              </w:rPr>
            </w:pPr>
            <w:r>
              <w:rPr>
                <w:color w:val="auto"/>
              </w:rPr>
              <w:t>7</w:t>
            </w:r>
            <w:r>
              <w:rPr>
                <w:rFonts w:hint="eastAsia"/>
                <w:color w:val="auto"/>
              </w:rPr>
              <w:t>）长期停滞在地质软弱地层，未制定并采取防止沉降、坍塌、渗漏的措施，扣</w:t>
            </w:r>
            <w:r>
              <w:rPr>
                <w:color w:val="auto"/>
              </w:rPr>
              <w:t>5-10</w:t>
            </w:r>
            <w:r>
              <w:rPr>
                <w:rFonts w:hint="eastAsia"/>
                <w:color w:val="auto"/>
              </w:rPr>
              <w:t>分</w:t>
            </w:r>
          </w:p>
          <w:p w14:paraId="5A440C49">
            <w:pPr>
              <w:pStyle w:val="44"/>
              <w:jc w:val="left"/>
              <w:rPr>
                <w:color w:val="auto"/>
              </w:rPr>
            </w:pPr>
            <w:r>
              <w:rPr>
                <w:color w:val="auto"/>
              </w:rPr>
              <w:t>8</w:t>
            </w:r>
            <w:r>
              <w:rPr>
                <w:rFonts w:hint="eastAsia"/>
                <w:color w:val="auto"/>
              </w:rPr>
              <w:t>）未对盾构机进行维修保养，扣</w:t>
            </w:r>
            <w:r>
              <w:rPr>
                <w:color w:val="auto"/>
              </w:rPr>
              <w:t>8</w:t>
            </w:r>
            <w:r>
              <w:rPr>
                <w:rFonts w:hint="eastAsia"/>
                <w:color w:val="auto"/>
              </w:rPr>
              <w:t>分；无维修和定期保养记录或记录不全，扣</w:t>
            </w:r>
            <w:r>
              <w:rPr>
                <w:color w:val="auto"/>
              </w:rPr>
              <w:t>3-5</w:t>
            </w:r>
            <w:r>
              <w:rPr>
                <w:rFonts w:hint="eastAsia"/>
                <w:color w:val="auto"/>
              </w:rPr>
              <w:t>分</w:t>
            </w:r>
          </w:p>
          <w:p w14:paraId="69CB32AA">
            <w:pPr>
              <w:pStyle w:val="44"/>
              <w:jc w:val="left"/>
              <w:rPr>
                <w:color w:val="auto"/>
              </w:rPr>
            </w:pPr>
            <w:r>
              <w:rPr>
                <w:color w:val="auto"/>
              </w:rPr>
              <w:t>9</w:t>
            </w:r>
            <w:r>
              <w:rPr>
                <w:rFonts w:hint="eastAsia"/>
                <w:color w:val="auto"/>
              </w:rPr>
              <w:t>）盾构机长期停用复工后未进行检查验收，扣</w:t>
            </w:r>
            <w:r>
              <w:rPr>
                <w:color w:val="auto"/>
              </w:rPr>
              <w:t>8-10</w:t>
            </w:r>
            <w:r>
              <w:rPr>
                <w:rFonts w:hint="eastAsia"/>
                <w:color w:val="auto"/>
              </w:rPr>
              <w:t>分</w:t>
            </w:r>
          </w:p>
        </w:tc>
        <w:tc>
          <w:tcPr>
            <w:tcW w:w="720" w:type="dxa"/>
            <w:vAlign w:val="center"/>
          </w:tcPr>
          <w:p w14:paraId="2943A150">
            <w:pPr>
              <w:pStyle w:val="44"/>
              <w:rPr>
                <w:color w:val="auto"/>
              </w:rPr>
            </w:pPr>
            <w:r>
              <w:rPr>
                <w:color w:val="auto"/>
              </w:rPr>
              <w:t>10</w:t>
            </w:r>
          </w:p>
        </w:tc>
        <w:tc>
          <w:tcPr>
            <w:tcW w:w="720" w:type="dxa"/>
            <w:vAlign w:val="center"/>
          </w:tcPr>
          <w:p w14:paraId="6D6D9E45">
            <w:pPr>
              <w:pStyle w:val="44"/>
              <w:rPr>
                <w:color w:val="auto"/>
              </w:rPr>
            </w:pPr>
          </w:p>
        </w:tc>
        <w:tc>
          <w:tcPr>
            <w:tcW w:w="720" w:type="dxa"/>
            <w:vAlign w:val="center"/>
          </w:tcPr>
          <w:p w14:paraId="039D9622">
            <w:pPr>
              <w:pStyle w:val="44"/>
              <w:rPr>
                <w:color w:val="auto"/>
              </w:rPr>
            </w:pPr>
          </w:p>
        </w:tc>
      </w:tr>
      <w:tr w14:paraId="31DDB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trPr>
        <w:tc>
          <w:tcPr>
            <w:tcW w:w="539" w:type="dxa"/>
            <w:vAlign w:val="center"/>
          </w:tcPr>
          <w:p w14:paraId="0EB2A301">
            <w:pPr>
              <w:pStyle w:val="44"/>
              <w:rPr>
                <w:color w:val="auto"/>
              </w:rPr>
            </w:pPr>
            <w:r>
              <w:rPr>
                <w:color w:val="auto"/>
              </w:rPr>
              <w:t>5</w:t>
            </w:r>
          </w:p>
        </w:tc>
        <w:tc>
          <w:tcPr>
            <w:tcW w:w="543" w:type="dxa"/>
            <w:vMerge w:val="continue"/>
          </w:tcPr>
          <w:p w14:paraId="7D337CC1">
            <w:pPr>
              <w:pStyle w:val="44"/>
              <w:rPr>
                <w:color w:val="auto"/>
              </w:rPr>
            </w:pPr>
          </w:p>
        </w:tc>
        <w:tc>
          <w:tcPr>
            <w:tcW w:w="898" w:type="dxa"/>
            <w:vAlign w:val="center"/>
          </w:tcPr>
          <w:p w14:paraId="2C011874">
            <w:pPr>
              <w:pStyle w:val="44"/>
              <w:rPr>
                <w:color w:val="auto"/>
              </w:rPr>
            </w:pPr>
            <w:r>
              <w:rPr>
                <w:rFonts w:hint="eastAsia"/>
                <w:color w:val="auto"/>
              </w:rPr>
              <w:t>开仓与刀具更换</w:t>
            </w:r>
          </w:p>
        </w:tc>
        <w:tc>
          <w:tcPr>
            <w:tcW w:w="5580" w:type="dxa"/>
            <w:vAlign w:val="center"/>
          </w:tcPr>
          <w:p w14:paraId="1205DA92">
            <w:pPr>
              <w:pStyle w:val="44"/>
              <w:jc w:val="left"/>
              <w:rPr>
                <w:color w:val="auto"/>
              </w:rPr>
            </w:pPr>
            <w:r>
              <w:rPr>
                <w:color w:val="auto"/>
              </w:rPr>
              <w:t>1</w:t>
            </w:r>
            <w:r>
              <w:rPr>
                <w:rFonts w:hint="eastAsia"/>
                <w:color w:val="auto"/>
              </w:rPr>
              <w:t>）未制定开仓操作规程，或作业人员违规操作，扣</w:t>
            </w:r>
            <w:r>
              <w:rPr>
                <w:color w:val="auto"/>
              </w:rPr>
              <w:t>10</w:t>
            </w:r>
            <w:r>
              <w:rPr>
                <w:rFonts w:hint="eastAsia"/>
                <w:color w:val="auto"/>
              </w:rPr>
              <w:t>分</w:t>
            </w:r>
          </w:p>
          <w:p w14:paraId="727E2763">
            <w:pPr>
              <w:pStyle w:val="44"/>
              <w:jc w:val="left"/>
              <w:rPr>
                <w:color w:val="auto"/>
              </w:rPr>
            </w:pPr>
            <w:r>
              <w:rPr>
                <w:color w:val="auto"/>
              </w:rPr>
              <w:t>2</w:t>
            </w:r>
            <w:r>
              <w:rPr>
                <w:rFonts w:hint="eastAsia"/>
                <w:color w:val="auto"/>
              </w:rPr>
              <w:t>）开仓未办理审批手续，扣</w:t>
            </w:r>
            <w:r>
              <w:rPr>
                <w:color w:val="auto"/>
              </w:rPr>
              <w:t>10</w:t>
            </w:r>
            <w:r>
              <w:rPr>
                <w:rFonts w:hint="eastAsia"/>
                <w:color w:val="auto"/>
              </w:rPr>
              <w:t>分；手续签认不齐全，扣</w:t>
            </w:r>
            <w:r>
              <w:rPr>
                <w:color w:val="auto"/>
              </w:rPr>
              <w:t>5-10</w:t>
            </w:r>
            <w:r>
              <w:rPr>
                <w:rFonts w:hint="eastAsia"/>
                <w:color w:val="auto"/>
              </w:rPr>
              <w:t>分</w:t>
            </w:r>
          </w:p>
          <w:p w14:paraId="5E1C5221">
            <w:pPr>
              <w:pStyle w:val="44"/>
              <w:jc w:val="left"/>
              <w:rPr>
                <w:color w:val="auto"/>
              </w:rPr>
            </w:pPr>
            <w:r>
              <w:rPr>
                <w:color w:val="auto"/>
              </w:rPr>
              <w:t>3</w:t>
            </w:r>
            <w:r>
              <w:rPr>
                <w:rFonts w:hint="eastAsia"/>
                <w:color w:val="auto"/>
              </w:rPr>
              <w:t>）进仓作业时未经气体检测合格，或未按专项方案进行地层加固，扣</w:t>
            </w:r>
            <w:r>
              <w:rPr>
                <w:color w:val="auto"/>
              </w:rPr>
              <w:t>10</w:t>
            </w:r>
            <w:r>
              <w:rPr>
                <w:rFonts w:hint="eastAsia"/>
                <w:color w:val="auto"/>
              </w:rPr>
              <w:t>分</w:t>
            </w:r>
          </w:p>
          <w:p w14:paraId="77E39937">
            <w:pPr>
              <w:pStyle w:val="44"/>
              <w:jc w:val="left"/>
              <w:rPr>
                <w:color w:val="auto"/>
              </w:rPr>
            </w:pPr>
            <w:r>
              <w:rPr>
                <w:color w:val="auto"/>
              </w:rPr>
              <w:t>4</w:t>
            </w:r>
            <w:r>
              <w:rPr>
                <w:rFonts w:hint="eastAsia"/>
                <w:color w:val="auto"/>
              </w:rPr>
              <w:t>）常压开仓过程中未安排专人观察土仓内掌子面地质情况，扣</w:t>
            </w:r>
            <w:r>
              <w:rPr>
                <w:color w:val="auto"/>
              </w:rPr>
              <w:t>10</w:t>
            </w:r>
            <w:r>
              <w:rPr>
                <w:rFonts w:hint="eastAsia"/>
                <w:color w:val="auto"/>
              </w:rPr>
              <w:t>分</w:t>
            </w:r>
          </w:p>
          <w:p w14:paraId="1A8EB430">
            <w:pPr>
              <w:pStyle w:val="44"/>
              <w:jc w:val="left"/>
              <w:rPr>
                <w:color w:val="auto"/>
              </w:rPr>
            </w:pPr>
            <w:r>
              <w:rPr>
                <w:color w:val="auto"/>
              </w:rPr>
              <w:t>5</w:t>
            </w:r>
            <w:r>
              <w:rPr>
                <w:rFonts w:hint="eastAsia"/>
                <w:color w:val="auto"/>
              </w:rPr>
              <w:t>）盾构气压作业人员无证作业，或未按规定配备劳动防护用品，扣</w:t>
            </w:r>
            <w:r>
              <w:rPr>
                <w:color w:val="auto"/>
              </w:rPr>
              <w:t>10</w:t>
            </w:r>
            <w:r>
              <w:rPr>
                <w:rFonts w:hint="eastAsia"/>
                <w:color w:val="auto"/>
              </w:rPr>
              <w:t>分</w:t>
            </w:r>
          </w:p>
          <w:p w14:paraId="1D6CB670">
            <w:pPr>
              <w:pStyle w:val="44"/>
              <w:jc w:val="left"/>
              <w:rPr>
                <w:color w:val="auto"/>
              </w:rPr>
            </w:pPr>
            <w:r>
              <w:rPr>
                <w:color w:val="auto"/>
              </w:rPr>
              <w:t>6</w:t>
            </w:r>
            <w:r>
              <w:rPr>
                <w:rFonts w:hint="eastAsia"/>
                <w:color w:val="auto"/>
              </w:rPr>
              <w:t>）盾构气压作业前未对作业人员、控制室内气压或闸门管理员进行专门的培训、教育、安全技术交底，扣</w:t>
            </w:r>
            <w:r>
              <w:rPr>
                <w:color w:val="auto"/>
              </w:rPr>
              <w:t>8</w:t>
            </w:r>
            <w:r>
              <w:rPr>
                <w:rFonts w:hint="eastAsia"/>
                <w:color w:val="auto"/>
              </w:rPr>
              <w:t>分</w:t>
            </w:r>
          </w:p>
          <w:p w14:paraId="4D7A43A8">
            <w:pPr>
              <w:pStyle w:val="44"/>
              <w:jc w:val="left"/>
              <w:rPr>
                <w:color w:val="auto"/>
              </w:rPr>
            </w:pPr>
            <w:r>
              <w:rPr>
                <w:color w:val="auto"/>
              </w:rPr>
              <w:t>7</w:t>
            </w:r>
            <w:r>
              <w:rPr>
                <w:rFonts w:hint="eastAsia"/>
                <w:color w:val="auto"/>
              </w:rPr>
              <w:t>）盾构气压环境内有易燃易爆物品，扣</w:t>
            </w:r>
            <w:r>
              <w:rPr>
                <w:color w:val="auto"/>
              </w:rPr>
              <w:t>10</w:t>
            </w:r>
            <w:r>
              <w:rPr>
                <w:rFonts w:hint="eastAsia"/>
                <w:color w:val="auto"/>
              </w:rPr>
              <w:t>分</w:t>
            </w:r>
          </w:p>
          <w:p w14:paraId="6FBD0658">
            <w:pPr>
              <w:pStyle w:val="44"/>
              <w:jc w:val="left"/>
              <w:rPr>
                <w:color w:val="auto"/>
              </w:rPr>
            </w:pPr>
            <w:r>
              <w:rPr>
                <w:color w:val="auto"/>
              </w:rPr>
              <w:t>8</w:t>
            </w:r>
            <w:r>
              <w:rPr>
                <w:rFonts w:hint="eastAsia"/>
                <w:color w:val="auto"/>
              </w:rPr>
              <w:t>）气压作业用电未使用安全电压，或照明灯具无防爆措施，扣</w:t>
            </w:r>
            <w:r>
              <w:rPr>
                <w:color w:val="auto"/>
              </w:rPr>
              <w:t>10</w:t>
            </w:r>
            <w:r>
              <w:rPr>
                <w:rFonts w:hint="eastAsia"/>
                <w:color w:val="auto"/>
              </w:rPr>
              <w:t>分</w:t>
            </w:r>
          </w:p>
          <w:p w14:paraId="0A81C69C">
            <w:pPr>
              <w:pStyle w:val="44"/>
              <w:jc w:val="left"/>
              <w:rPr>
                <w:color w:val="auto"/>
              </w:rPr>
            </w:pPr>
            <w:r>
              <w:rPr>
                <w:color w:val="auto"/>
              </w:rPr>
              <w:t>9</w:t>
            </w:r>
            <w:r>
              <w:rPr>
                <w:rFonts w:hint="eastAsia"/>
                <w:color w:val="auto"/>
              </w:rPr>
              <w:t>）盾构气压作业未采取两种不同动力空压机保证不间断供气，扣</w:t>
            </w:r>
            <w:r>
              <w:rPr>
                <w:color w:val="auto"/>
              </w:rPr>
              <w:t>10</w:t>
            </w:r>
            <w:r>
              <w:rPr>
                <w:rFonts w:hint="eastAsia"/>
                <w:color w:val="auto"/>
              </w:rPr>
              <w:t>分</w:t>
            </w:r>
          </w:p>
          <w:p w14:paraId="04C2D171">
            <w:pPr>
              <w:pStyle w:val="44"/>
              <w:jc w:val="left"/>
              <w:rPr>
                <w:color w:val="auto"/>
              </w:rPr>
            </w:pPr>
            <w:r>
              <w:rPr>
                <w:color w:val="auto"/>
              </w:rPr>
              <w:t>10</w:t>
            </w:r>
            <w:r>
              <w:rPr>
                <w:rFonts w:hint="eastAsia"/>
                <w:color w:val="auto"/>
              </w:rPr>
              <w:t>）作业人员气压作业时间或加、减压时间不符合带压进仓作业规定，扣</w:t>
            </w:r>
            <w:r>
              <w:rPr>
                <w:color w:val="auto"/>
              </w:rPr>
              <w:t>8</w:t>
            </w:r>
            <w:r>
              <w:rPr>
                <w:rFonts w:hint="eastAsia"/>
                <w:color w:val="auto"/>
              </w:rPr>
              <w:t>分</w:t>
            </w:r>
          </w:p>
          <w:p w14:paraId="75C705F7">
            <w:pPr>
              <w:pStyle w:val="44"/>
              <w:jc w:val="left"/>
              <w:rPr>
                <w:color w:val="auto"/>
              </w:rPr>
            </w:pPr>
            <w:r>
              <w:rPr>
                <w:color w:val="auto"/>
              </w:rPr>
              <w:t>11</w:t>
            </w:r>
            <w:r>
              <w:rPr>
                <w:rFonts w:hint="eastAsia"/>
                <w:color w:val="auto"/>
              </w:rPr>
              <w:t>）气压作业区与常压作业区之间或隧道与外部无通讯设施，扣</w:t>
            </w:r>
            <w:r>
              <w:rPr>
                <w:color w:val="auto"/>
              </w:rPr>
              <w:t>10</w:t>
            </w:r>
            <w:r>
              <w:rPr>
                <w:rFonts w:hint="eastAsia"/>
                <w:color w:val="auto"/>
              </w:rPr>
              <w:t>分</w:t>
            </w:r>
          </w:p>
          <w:p w14:paraId="67E3E5E9">
            <w:pPr>
              <w:pStyle w:val="44"/>
              <w:jc w:val="left"/>
              <w:rPr>
                <w:color w:val="auto"/>
              </w:rPr>
            </w:pPr>
            <w:r>
              <w:rPr>
                <w:color w:val="auto"/>
              </w:rPr>
              <w:t>12</w:t>
            </w:r>
            <w:r>
              <w:rPr>
                <w:rFonts w:hint="eastAsia"/>
                <w:color w:val="auto"/>
              </w:rPr>
              <w:t>）开仓作业全过程未做记录，扣</w:t>
            </w:r>
            <w:r>
              <w:rPr>
                <w:color w:val="auto"/>
              </w:rPr>
              <w:t>10</w:t>
            </w:r>
            <w:r>
              <w:rPr>
                <w:rFonts w:hint="eastAsia"/>
                <w:color w:val="auto"/>
              </w:rPr>
              <w:t>分；无开仓审批、作业时间、刀具更换等记录，每项扣</w:t>
            </w:r>
            <w:r>
              <w:rPr>
                <w:color w:val="auto"/>
              </w:rPr>
              <w:t>3</w:t>
            </w:r>
            <w:r>
              <w:rPr>
                <w:rFonts w:hint="eastAsia"/>
                <w:color w:val="auto"/>
              </w:rPr>
              <w:t>分</w:t>
            </w:r>
          </w:p>
        </w:tc>
        <w:tc>
          <w:tcPr>
            <w:tcW w:w="720" w:type="dxa"/>
            <w:vAlign w:val="center"/>
          </w:tcPr>
          <w:p w14:paraId="174ED296">
            <w:pPr>
              <w:pStyle w:val="44"/>
              <w:rPr>
                <w:color w:val="auto"/>
              </w:rPr>
            </w:pPr>
            <w:r>
              <w:rPr>
                <w:color w:val="auto"/>
              </w:rPr>
              <w:t>10</w:t>
            </w:r>
          </w:p>
        </w:tc>
        <w:tc>
          <w:tcPr>
            <w:tcW w:w="720" w:type="dxa"/>
            <w:vAlign w:val="center"/>
          </w:tcPr>
          <w:p w14:paraId="0047F7BF">
            <w:pPr>
              <w:pStyle w:val="44"/>
              <w:rPr>
                <w:color w:val="auto"/>
              </w:rPr>
            </w:pPr>
          </w:p>
        </w:tc>
        <w:tc>
          <w:tcPr>
            <w:tcW w:w="720" w:type="dxa"/>
            <w:vAlign w:val="center"/>
          </w:tcPr>
          <w:p w14:paraId="566BC3EC">
            <w:pPr>
              <w:pStyle w:val="44"/>
              <w:rPr>
                <w:color w:val="auto"/>
              </w:rPr>
            </w:pPr>
          </w:p>
        </w:tc>
      </w:tr>
      <w:tr w14:paraId="655DD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0B70ABE8">
            <w:pPr>
              <w:pStyle w:val="44"/>
              <w:rPr>
                <w:color w:val="auto"/>
              </w:rPr>
            </w:pPr>
            <w:r>
              <w:rPr>
                <w:color w:val="auto"/>
              </w:rPr>
              <w:t>6</w:t>
            </w:r>
          </w:p>
        </w:tc>
        <w:tc>
          <w:tcPr>
            <w:tcW w:w="543" w:type="dxa"/>
            <w:vMerge w:val="continue"/>
            <w:vAlign w:val="center"/>
          </w:tcPr>
          <w:p w14:paraId="217B4358">
            <w:pPr>
              <w:pStyle w:val="44"/>
              <w:rPr>
                <w:color w:val="auto"/>
              </w:rPr>
            </w:pPr>
          </w:p>
        </w:tc>
        <w:tc>
          <w:tcPr>
            <w:tcW w:w="898" w:type="dxa"/>
            <w:vAlign w:val="center"/>
          </w:tcPr>
          <w:p w14:paraId="1E9C3D1F">
            <w:pPr>
              <w:pStyle w:val="44"/>
              <w:rPr>
                <w:color w:val="auto"/>
              </w:rPr>
            </w:pPr>
            <w:r>
              <w:rPr>
                <w:rFonts w:hint="eastAsia"/>
                <w:color w:val="auto"/>
              </w:rPr>
              <w:t>洞门及联络通道施工</w:t>
            </w:r>
          </w:p>
        </w:tc>
        <w:tc>
          <w:tcPr>
            <w:tcW w:w="5580" w:type="dxa"/>
            <w:vAlign w:val="center"/>
          </w:tcPr>
          <w:p w14:paraId="265018D6">
            <w:pPr>
              <w:pStyle w:val="44"/>
              <w:jc w:val="left"/>
              <w:rPr>
                <w:color w:val="auto"/>
              </w:rPr>
            </w:pPr>
            <w:r>
              <w:rPr>
                <w:color w:val="auto"/>
              </w:rPr>
              <w:t>1</w:t>
            </w:r>
            <w:r>
              <w:rPr>
                <w:rFonts w:hint="eastAsia"/>
                <w:color w:val="auto"/>
              </w:rPr>
              <w:t>）未按专项方案对通道周围地层进行加固，或未对加固改良后土体应进行抽芯检测，扣</w:t>
            </w:r>
            <w:r>
              <w:rPr>
                <w:color w:val="auto"/>
              </w:rPr>
              <w:t>10</w:t>
            </w:r>
            <w:r>
              <w:rPr>
                <w:rFonts w:hint="eastAsia"/>
                <w:color w:val="auto"/>
              </w:rPr>
              <w:t>分</w:t>
            </w:r>
          </w:p>
          <w:p w14:paraId="02037904">
            <w:pPr>
              <w:pStyle w:val="44"/>
              <w:jc w:val="left"/>
              <w:rPr>
                <w:color w:val="auto"/>
              </w:rPr>
            </w:pPr>
            <w:r>
              <w:rPr>
                <w:color w:val="auto"/>
              </w:rPr>
              <w:t>2</w:t>
            </w:r>
            <w:r>
              <w:rPr>
                <w:rFonts w:hint="eastAsia"/>
                <w:color w:val="auto"/>
              </w:rPr>
              <w:t>）联络通道管片拆除前未进行钻孔探测地质情况，扣</w:t>
            </w:r>
            <w:r>
              <w:rPr>
                <w:color w:val="auto"/>
              </w:rPr>
              <w:t>10</w:t>
            </w:r>
            <w:r>
              <w:rPr>
                <w:rFonts w:hint="eastAsia"/>
                <w:color w:val="auto"/>
              </w:rPr>
              <w:t>分</w:t>
            </w:r>
          </w:p>
          <w:p w14:paraId="1617F54B">
            <w:pPr>
              <w:pStyle w:val="44"/>
              <w:jc w:val="left"/>
              <w:rPr>
                <w:color w:val="auto"/>
              </w:rPr>
            </w:pPr>
            <w:r>
              <w:rPr>
                <w:color w:val="auto"/>
              </w:rPr>
              <w:t>3</w:t>
            </w:r>
            <w:r>
              <w:rPr>
                <w:rFonts w:hint="eastAsia"/>
                <w:color w:val="auto"/>
              </w:rPr>
              <w:t>）洞门、联络通道施工现场未按应急预案准备抢险物资，扣</w:t>
            </w:r>
            <w:r>
              <w:rPr>
                <w:color w:val="auto"/>
              </w:rPr>
              <w:t>5</w:t>
            </w:r>
            <w:r>
              <w:rPr>
                <w:rFonts w:hint="eastAsia"/>
                <w:color w:val="auto"/>
              </w:rPr>
              <w:t>分</w:t>
            </w:r>
          </w:p>
          <w:p w14:paraId="6931F4DF">
            <w:pPr>
              <w:pStyle w:val="44"/>
              <w:jc w:val="left"/>
              <w:rPr>
                <w:color w:val="auto"/>
              </w:rPr>
            </w:pPr>
            <w:r>
              <w:rPr>
                <w:color w:val="auto"/>
              </w:rPr>
              <w:t>4</w:t>
            </w:r>
            <w:r>
              <w:rPr>
                <w:rFonts w:hint="eastAsia"/>
                <w:color w:val="auto"/>
              </w:rPr>
              <w:t>）负环及洞门、联络通道管片拆除未按专项方案施工，扣</w:t>
            </w:r>
            <w:r>
              <w:rPr>
                <w:color w:val="auto"/>
              </w:rPr>
              <w:t>5-10</w:t>
            </w:r>
            <w:r>
              <w:rPr>
                <w:rFonts w:hint="eastAsia"/>
                <w:color w:val="auto"/>
              </w:rPr>
              <w:t>分</w:t>
            </w:r>
          </w:p>
          <w:p w14:paraId="651A0F46">
            <w:pPr>
              <w:pStyle w:val="44"/>
              <w:jc w:val="left"/>
              <w:rPr>
                <w:color w:val="auto"/>
              </w:rPr>
            </w:pPr>
            <w:r>
              <w:rPr>
                <w:color w:val="auto"/>
              </w:rPr>
              <w:t>5</w:t>
            </w:r>
            <w:r>
              <w:rPr>
                <w:rFonts w:hint="eastAsia"/>
                <w:color w:val="auto"/>
              </w:rPr>
              <w:t>）负环及洞门、联络通道管片拆除现场未设立专人安全管理，扣</w:t>
            </w:r>
            <w:r>
              <w:rPr>
                <w:color w:val="auto"/>
              </w:rPr>
              <w:t>10</w:t>
            </w:r>
            <w:r>
              <w:rPr>
                <w:rFonts w:hint="eastAsia"/>
                <w:color w:val="auto"/>
              </w:rPr>
              <w:t>分</w:t>
            </w:r>
          </w:p>
          <w:p w14:paraId="39843C3B">
            <w:pPr>
              <w:pStyle w:val="44"/>
              <w:jc w:val="left"/>
              <w:rPr>
                <w:color w:val="auto"/>
              </w:rPr>
            </w:pPr>
            <w:r>
              <w:rPr>
                <w:color w:val="auto"/>
              </w:rPr>
              <w:t>6</w:t>
            </w:r>
            <w:r>
              <w:rPr>
                <w:rFonts w:hint="eastAsia"/>
                <w:color w:val="auto"/>
              </w:rPr>
              <w:t>）联络通道施工前后一定范围内管片未按专项方案进行支撑保护，扣</w:t>
            </w:r>
            <w:r>
              <w:rPr>
                <w:color w:val="auto"/>
              </w:rPr>
              <w:t>10</w:t>
            </w:r>
            <w:r>
              <w:rPr>
                <w:rFonts w:hint="eastAsia"/>
                <w:color w:val="auto"/>
              </w:rPr>
              <w:t>分</w:t>
            </w:r>
          </w:p>
          <w:p w14:paraId="7FD09E7C">
            <w:pPr>
              <w:pStyle w:val="44"/>
              <w:jc w:val="left"/>
              <w:rPr>
                <w:color w:val="auto"/>
              </w:rPr>
            </w:pPr>
            <w:r>
              <w:rPr>
                <w:color w:val="auto"/>
              </w:rPr>
              <w:t>7</w:t>
            </w:r>
            <w:r>
              <w:rPr>
                <w:rFonts w:hint="eastAsia"/>
                <w:color w:val="auto"/>
              </w:rPr>
              <w:t>）洞门或联络通道管片拆除后，未及时封闭，或出现渗漏、掉渣等，扣</w:t>
            </w:r>
            <w:r>
              <w:rPr>
                <w:color w:val="auto"/>
              </w:rPr>
              <w:t>10</w:t>
            </w:r>
            <w:r>
              <w:rPr>
                <w:rFonts w:hint="eastAsia"/>
                <w:color w:val="auto"/>
              </w:rPr>
              <w:t>分</w:t>
            </w:r>
          </w:p>
        </w:tc>
        <w:tc>
          <w:tcPr>
            <w:tcW w:w="720" w:type="dxa"/>
            <w:vAlign w:val="center"/>
          </w:tcPr>
          <w:p w14:paraId="0928D0CA">
            <w:pPr>
              <w:pStyle w:val="44"/>
              <w:rPr>
                <w:color w:val="auto"/>
              </w:rPr>
            </w:pPr>
            <w:r>
              <w:rPr>
                <w:color w:val="auto"/>
              </w:rPr>
              <w:t>10</w:t>
            </w:r>
          </w:p>
        </w:tc>
        <w:tc>
          <w:tcPr>
            <w:tcW w:w="720" w:type="dxa"/>
            <w:vAlign w:val="center"/>
          </w:tcPr>
          <w:p w14:paraId="053FEBA3">
            <w:pPr>
              <w:pStyle w:val="44"/>
              <w:rPr>
                <w:color w:val="auto"/>
              </w:rPr>
            </w:pPr>
          </w:p>
        </w:tc>
        <w:tc>
          <w:tcPr>
            <w:tcW w:w="720" w:type="dxa"/>
            <w:vAlign w:val="center"/>
          </w:tcPr>
          <w:p w14:paraId="39B9AF92">
            <w:pPr>
              <w:pStyle w:val="44"/>
              <w:rPr>
                <w:color w:val="auto"/>
              </w:rPr>
            </w:pPr>
          </w:p>
        </w:tc>
      </w:tr>
      <w:tr w14:paraId="63359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0892A675">
            <w:pPr>
              <w:pStyle w:val="44"/>
              <w:rPr>
                <w:color w:val="auto"/>
              </w:rPr>
            </w:pPr>
            <w:r>
              <w:rPr>
                <w:color w:val="auto"/>
              </w:rPr>
              <w:t>7</w:t>
            </w:r>
          </w:p>
        </w:tc>
        <w:tc>
          <w:tcPr>
            <w:tcW w:w="543" w:type="dxa"/>
            <w:vMerge w:val="continue"/>
            <w:vAlign w:val="center"/>
          </w:tcPr>
          <w:p w14:paraId="09D079A9">
            <w:pPr>
              <w:pStyle w:val="44"/>
              <w:rPr>
                <w:color w:val="auto"/>
              </w:rPr>
            </w:pPr>
          </w:p>
        </w:tc>
        <w:tc>
          <w:tcPr>
            <w:tcW w:w="898" w:type="dxa"/>
            <w:vAlign w:val="center"/>
          </w:tcPr>
          <w:p w14:paraId="35E325A8">
            <w:pPr>
              <w:pStyle w:val="44"/>
              <w:rPr>
                <w:color w:val="auto"/>
              </w:rPr>
            </w:pPr>
            <w:r>
              <w:rPr>
                <w:rFonts w:hint="eastAsia"/>
                <w:color w:val="auto"/>
              </w:rPr>
              <w:t>施工监测</w:t>
            </w:r>
          </w:p>
        </w:tc>
        <w:tc>
          <w:tcPr>
            <w:tcW w:w="5580" w:type="dxa"/>
            <w:vAlign w:val="center"/>
          </w:tcPr>
          <w:p w14:paraId="5C901B70">
            <w:pPr>
              <w:pStyle w:val="44"/>
              <w:jc w:val="left"/>
              <w:rPr>
                <w:color w:val="auto"/>
              </w:rPr>
            </w:pPr>
            <w:r>
              <w:rPr>
                <w:color w:val="auto"/>
              </w:rPr>
              <w:t>1</w:t>
            </w:r>
            <w:r>
              <w:rPr>
                <w:rFonts w:hint="eastAsia"/>
                <w:color w:val="auto"/>
              </w:rPr>
              <w:t>）未编制监测方案，扣</w:t>
            </w:r>
            <w:r>
              <w:rPr>
                <w:color w:val="auto"/>
              </w:rPr>
              <w:t>10</w:t>
            </w:r>
            <w:r>
              <w:rPr>
                <w:rFonts w:hint="eastAsia"/>
                <w:color w:val="auto"/>
              </w:rPr>
              <w:t>分</w:t>
            </w:r>
          </w:p>
          <w:p w14:paraId="14AEE145">
            <w:pPr>
              <w:pStyle w:val="44"/>
              <w:jc w:val="left"/>
              <w:rPr>
                <w:color w:val="auto"/>
              </w:rPr>
            </w:pPr>
            <w:r>
              <w:rPr>
                <w:color w:val="auto"/>
              </w:rPr>
              <w:t>2</w:t>
            </w:r>
            <w:r>
              <w:rPr>
                <w:rFonts w:hint="eastAsia"/>
                <w:color w:val="auto"/>
              </w:rPr>
              <w:t>）方案中监测项目、监测点布置、监测方法、监测报警值不符合设计及标准要求，每项扣</w:t>
            </w:r>
            <w:r>
              <w:rPr>
                <w:color w:val="auto"/>
              </w:rPr>
              <w:t>5</w:t>
            </w:r>
            <w:r>
              <w:rPr>
                <w:rFonts w:hint="eastAsia"/>
                <w:color w:val="auto"/>
              </w:rPr>
              <w:t>分</w:t>
            </w:r>
          </w:p>
          <w:p w14:paraId="498572C0">
            <w:pPr>
              <w:pStyle w:val="44"/>
              <w:jc w:val="left"/>
              <w:rPr>
                <w:color w:val="auto"/>
              </w:rPr>
            </w:pPr>
            <w:r>
              <w:rPr>
                <w:color w:val="auto"/>
              </w:rPr>
              <w:t>3</w:t>
            </w:r>
            <w:r>
              <w:rPr>
                <w:rFonts w:hint="eastAsia"/>
                <w:color w:val="auto"/>
              </w:rPr>
              <w:t>）未按监测方案确定的项目对洞内收敛、管片上浮等监测项目进行监测，扣</w:t>
            </w:r>
            <w:r>
              <w:rPr>
                <w:color w:val="auto"/>
              </w:rPr>
              <w:t>10</w:t>
            </w:r>
            <w:r>
              <w:rPr>
                <w:rFonts w:hint="eastAsia"/>
                <w:color w:val="auto"/>
              </w:rPr>
              <w:t>分</w:t>
            </w:r>
          </w:p>
          <w:p w14:paraId="65880B04">
            <w:pPr>
              <w:pStyle w:val="44"/>
              <w:jc w:val="left"/>
              <w:rPr>
                <w:color w:val="auto"/>
              </w:rPr>
            </w:pPr>
            <w:r>
              <w:rPr>
                <w:color w:val="auto"/>
              </w:rPr>
              <w:t>4</w:t>
            </w:r>
            <w:r>
              <w:rPr>
                <w:rFonts w:hint="eastAsia"/>
                <w:color w:val="auto"/>
              </w:rPr>
              <w:t>）未按规定对受施工影响范围内建（构）筑物、既有铁路或轨道线、重要管线和道路等进行监测，扣</w:t>
            </w:r>
            <w:r>
              <w:rPr>
                <w:color w:val="auto"/>
              </w:rPr>
              <w:t>10</w:t>
            </w:r>
            <w:r>
              <w:rPr>
                <w:rFonts w:hint="eastAsia"/>
                <w:color w:val="auto"/>
              </w:rPr>
              <w:t>分</w:t>
            </w:r>
          </w:p>
          <w:p w14:paraId="672211B5">
            <w:pPr>
              <w:pStyle w:val="44"/>
              <w:jc w:val="left"/>
              <w:rPr>
                <w:color w:val="auto"/>
              </w:rPr>
            </w:pPr>
            <w:r>
              <w:rPr>
                <w:color w:val="auto"/>
              </w:rPr>
              <w:t>5</w:t>
            </w:r>
            <w:r>
              <w:rPr>
                <w:rFonts w:hint="eastAsia"/>
                <w:color w:val="auto"/>
              </w:rPr>
              <w:t>）未按监测方案对其他项目进行监测，扣</w:t>
            </w:r>
            <w:r>
              <w:rPr>
                <w:color w:val="auto"/>
              </w:rPr>
              <w:t>5</w:t>
            </w:r>
            <w:r>
              <w:rPr>
                <w:rFonts w:hint="eastAsia"/>
                <w:color w:val="auto"/>
              </w:rPr>
              <w:t>分</w:t>
            </w:r>
          </w:p>
          <w:p w14:paraId="0F9CA47A">
            <w:pPr>
              <w:pStyle w:val="44"/>
              <w:jc w:val="left"/>
              <w:rPr>
                <w:color w:val="auto"/>
              </w:rPr>
            </w:pPr>
            <w:r>
              <w:rPr>
                <w:color w:val="auto"/>
              </w:rPr>
              <w:t>6</w:t>
            </w:r>
            <w:r>
              <w:rPr>
                <w:rFonts w:hint="eastAsia"/>
                <w:color w:val="auto"/>
              </w:rPr>
              <w:t>）未按监测方案确定的项目实施施工监测，扣</w:t>
            </w:r>
            <w:r>
              <w:rPr>
                <w:color w:val="auto"/>
              </w:rPr>
              <w:t>10</w:t>
            </w:r>
            <w:r>
              <w:rPr>
                <w:rFonts w:hint="eastAsia"/>
                <w:color w:val="auto"/>
              </w:rPr>
              <w:t>分</w:t>
            </w:r>
          </w:p>
          <w:p w14:paraId="1CEFAE1C">
            <w:pPr>
              <w:pStyle w:val="44"/>
              <w:jc w:val="left"/>
              <w:rPr>
                <w:color w:val="auto"/>
              </w:rPr>
            </w:pPr>
            <w:r>
              <w:rPr>
                <w:color w:val="auto"/>
              </w:rPr>
              <w:t>7</w:t>
            </w:r>
            <w:r>
              <w:rPr>
                <w:rFonts w:hint="eastAsia"/>
                <w:color w:val="auto"/>
              </w:rPr>
              <w:t>）监测点设置不符合监测方案，扣</w:t>
            </w:r>
            <w:r>
              <w:rPr>
                <w:color w:val="auto"/>
              </w:rPr>
              <w:t>3</w:t>
            </w:r>
            <w:r>
              <w:rPr>
                <w:rFonts w:hint="eastAsia"/>
                <w:color w:val="auto"/>
              </w:rPr>
              <w:t>～</w:t>
            </w:r>
            <w:r>
              <w:rPr>
                <w:color w:val="auto"/>
              </w:rPr>
              <w:t>5</w:t>
            </w:r>
            <w:r>
              <w:rPr>
                <w:rFonts w:hint="eastAsia"/>
                <w:color w:val="auto"/>
              </w:rPr>
              <w:t>分</w:t>
            </w:r>
          </w:p>
          <w:p w14:paraId="6C21C4B2">
            <w:pPr>
              <w:pStyle w:val="44"/>
              <w:jc w:val="left"/>
              <w:rPr>
                <w:color w:val="auto"/>
              </w:rPr>
            </w:pPr>
            <w:r>
              <w:rPr>
                <w:color w:val="auto"/>
              </w:rPr>
              <w:t>8</w:t>
            </w:r>
            <w:r>
              <w:rPr>
                <w:rFonts w:hint="eastAsia"/>
                <w:color w:val="auto"/>
              </w:rPr>
              <w:t>）监测点受破坏未及时恢复，每一测点扣</w:t>
            </w:r>
            <w:r>
              <w:rPr>
                <w:color w:val="auto"/>
              </w:rPr>
              <w:t>2</w:t>
            </w:r>
            <w:r>
              <w:rPr>
                <w:rFonts w:hint="eastAsia"/>
                <w:color w:val="auto"/>
              </w:rPr>
              <w:t>分</w:t>
            </w:r>
          </w:p>
          <w:p w14:paraId="5F597B94">
            <w:pPr>
              <w:pStyle w:val="44"/>
              <w:jc w:val="left"/>
              <w:rPr>
                <w:color w:val="auto"/>
              </w:rPr>
            </w:pPr>
            <w:r>
              <w:rPr>
                <w:color w:val="auto"/>
              </w:rPr>
              <w:t>9)</w:t>
            </w:r>
            <w:r>
              <w:rPr>
                <w:rFonts w:hint="eastAsia"/>
                <w:color w:val="auto"/>
              </w:rPr>
              <w:t>监测的时间间隔不符合监测方案要求或监测结果变化速率较大未加密观测次数，扣</w:t>
            </w:r>
            <w:r>
              <w:rPr>
                <w:color w:val="auto"/>
              </w:rPr>
              <w:t>5-8</w:t>
            </w:r>
            <w:r>
              <w:rPr>
                <w:rFonts w:hint="eastAsia"/>
                <w:color w:val="auto"/>
              </w:rPr>
              <w:t>分；</w:t>
            </w:r>
          </w:p>
          <w:p w14:paraId="48868FCE">
            <w:pPr>
              <w:pStyle w:val="44"/>
              <w:jc w:val="left"/>
              <w:rPr>
                <w:color w:val="auto"/>
              </w:rPr>
            </w:pPr>
            <w:r>
              <w:rPr>
                <w:color w:val="auto"/>
              </w:rPr>
              <w:t>10</w:t>
            </w:r>
            <w:r>
              <w:rPr>
                <w:rFonts w:hint="eastAsia"/>
                <w:color w:val="auto"/>
              </w:rPr>
              <w:t>）未按设计及工程实际及时处理监测数据并提交监测报告或监测报告内容不完整，扣</w:t>
            </w:r>
            <w:r>
              <w:rPr>
                <w:color w:val="auto"/>
              </w:rPr>
              <w:t>5</w:t>
            </w:r>
            <w:r>
              <w:rPr>
                <w:rFonts w:hint="eastAsia"/>
                <w:color w:val="auto"/>
              </w:rPr>
              <w:t>～</w:t>
            </w:r>
            <w:r>
              <w:rPr>
                <w:color w:val="auto"/>
              </w:rPr>
              <w:t>8</w:t>
            </w:r>
            <w:r>
              <w:rPr>
                <w:rFonts w:hint="eastAsia"/>
                <w:color w:val="auto"/>
              </w:rPr>
              <w:t>分</w:t>
            </w:r>
          </w:p>
          <w:p w14:paraId="0B9D977E">
            <w:pPr>
              <w:pStyle w:val="44"/>
              <w:jc w:val="left"/>
              <w:rPr>
                <w:color w:val="auto"/>
              </w:rPr>
            </w:pPr>
            <w:r>
              <w:rPr>
                <w:color w:val="auto"/>
              </w:rPr>
              <w:t>11</w:t>
            </w:r>
            <w:r>
              <w:rPr>
                <w:rFonts w:hint="eastAsia"/>
                <w:color w:val="auto"/>
              </w:rPr>
              <w:t>）当监测值达到所规定的报警值时未按规定程序及时、有效处理，扣</w:t>
            </w:r>
            <w:r>
              <w:rPr>
                <w:color w:val="auto"/>
              </w:rPr>
              <w:t>10</w:t>
            </w:r>
            <w:r>
              <w:rPr>
                <w:rFonts w:hint="eastAsia"/>
                <w:color w:val="auto"/>
              </w:rPr>
              <w:t>分</w:t>
            </w:r>
          </w:p>
          <w:p w14:paraId="3311FBB9">
            <w:pPr>
              <w:pStyle w:val="44"/>
              <w:jc w:val="left"/>
              <w:rPr>
                <w:color w:val="auto"/>
              </w:rPr>
            </w:pPr>
            <w:r>
              <w:rPr>
                <w:color w:val="auto"/>
              </w:rPr>
              <w:t>12</w:t>
            </w:r>
            <w:r>
              <w:rPr>
                <w:rFonts w:hint="eastAsia"/>
                <w:color w:val="auto"/>
              </w:rPr>
              <w:t>）未进行盾构机通过后地层空洞隐患探测，每处扣</w:t>
            </w:r>
            <w:r>
              <w:rPr>
                <w:color w:val="auto"/>
              </w:rPr>
              <w:t>3~5</w:t>
            </w:r>
            <w:r>
              <w:rPr>
                <w:rFonts w:hint="eastAsia"/>
                <w:color w:val="auto"/>
              </w:rPr>
              <w:t>分</w:t>
            </w:r>
          </w:p>
        </w:tc>
        <w:tc>
          <w:tcPr>
            <w:tcW w:w="720" w:type="dxa"/>
            <w:vAlign w:val="center"/>
          </w:tcPr>
          <w:p w14:paraId="67165B88">
            <w:pPr>
              <w:pStyle w:val="44"/>
              <w:rPr>
                <w:color w:val="auto"/>
              </w:rPr>
            </w:pPr>
            <w:r>
              <w:rPr>
                <w:color w:val="auto"/>
              </w:rPr>
              <w:t>10</w:t>
            </w:r>
          </w:p>
        </w:tc>
        <w:tc>
          <w:tcPr>
            <w:tcW w:w="720" w:type="dxa"/>
            <w:vAlign w:val="center"/>
          </w:tcPr>
          <w:p w14:paraId="59A52376">
            <w:pPr>
              <w:pStyle w:val="44"/>
              <w:rPr>
                <w:color w:val="auto"/>
              </w:rPr>
            </w:pPr>
          </w:p>
        </w:tc>
        <w:tc>
          <w:tcPr>
            <w:tcW w:w="720" w:type="dxa"/>
            <w:vAlign w:val="center"/>
          </w:tcPr>
          <w:p w14:paraId="0100FE9B">
            <w:pPr>
              <w:pStyle w:val="44"/>
              <w:rPr>
                <w:color w:val="auto"/>
              </w:rPr>
            </w:pPr>
          </w:p>
        </w:tc>
      </w:tr>
      <w:tr w14:paraId="2D07D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3E43F8D2">
            <w:pPr>
              <w:pStyle w:val="44"/>
              <w:rPr>
                <w:color w:val="auto"/>
              </w:rPr>
            </w:pPr>
          </w:p>
        </w:tc>
        <w:tc>
          <w:tcPr>
            <w:tcW w:w="543" w:type="dxa"/>
            <w:vMerge w:val="continue"/>
            <w:vAlign w:val="center"/>
          </w:tcPr>
          <w:p w14:paraId="79609F1A">
            <w:pPr>
              <w:pStyle w:val="44"/>
              <w:rPr>
                <w:color w:val="auto"/>
              </w:rPr>
            </w:pPr>
          </w:p>
        </w:tc>
        <w:tc>
          <w:tcPr>
            <w:tcW w:w="6478" w:type="dxa"/>
            <w:gridSpan w:val="2"/>
            <w:vAlign w:val="center"/>
          </w:tcPr>
          <w:p w14:paraId="32F8E16C">
            <w:pPr>
              <w:pStyle w:val="44"/>
              <w:rPr>
                <w:b/>
                <w:bCs w:val="0"/>
                <w:color w:val="auto"/>
              </w:rPr>
            </w:pPr>
            <w:r>
              <w:rPr>
                <w:rFonts w:hint="eastAsia"/>
                <w:b/>
                <w:bCs w:val="0"/>
                <w:color w:val="auto"/>
              </w:rPr>
              <w:t xml:space="preserve">小 </w:t>
            </w:r>
            <w:r>
              <w:rPr>
                <w:b/>
                <w:bCs w:val="0"/>
                <w:color w:val="auto"/>
              </w:rPr>
              <w:t xml:space="preserve"> </w:t>
            </w:r>
            <w:r>
              <w:rPr>
                <w:rFonts w:hint="eastAsia"/>
                <w:b/>
                <w:bCs w:val="0"/>
                <w:color w:val="auto"/>
              </w:rPr>
              <w:t>计</w:t>
            </w:r>
          </w:p>
        </w:tc>
        <w:tc>
          <w:tcPr>
            <w:tcW w:w="720" w:type="dxa"/>
            <w:vAlign w:val="center"/>
          </w:tcPr>
          <w:p w14:paraId="7050B9DB">
            <w:pPr>
              <w:pStyle w:val="44"/>
              <w:rPr>
                <w:color w:val="auto"/>
              </w:rPr>
            </w:pPr>
            <w:r>
              <w:rPr>
                <w:color w:val="auto"/>
              </w:rPr>
              <w:t>70</w:t>
            </w:r>
          </w:p>
        </w:tc>
        <w:tc>
          <w:tcPr>
            <w:tcW w:w="720" w:type="dxa"/>
            <w:vAlign w:val="center"/>
          </w:tcPr>
          <w:p w14:paraId="46A38495">
            <w:pPr>
              <w:pStyle w:val="44"/>
              <w:rPr>
                <w:color w:val="auto"/>
              </w:rPr>
            </w:pPr>
          </w:p>
        </w:tc>
        <w:tc>
          <w:tcPr>
            <w:tcW w:w="720" w:type="dxa"/>
            <w:vAlign w:val="center"/>
          </w:tcPr>
          <w:p w14:paraId="500BD45F">
            <w:pPr>
              <w:pStyle w:val="44"/>
              <w:rPr>
                <w:color w:val="auto"/>
              </w:rPr>
            </w:pPr>
          </w:p>
        </w:tc>
      </w:tr>
      <w:tr w14:paraId="2E3D9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trPr>
        <w:tc>
          <w:tcPr>
            <w:tcW w:w="539" w:type="dxa"/>
            <w:vAlign w:val="center"/>
          </w:tcPr>
          <w:p w14:paraId="46D2A780">
            <w:pPr>
              <w:pStyle w:val="44"/>
              <w:rPr>
                <w:color w:val="auto"/>
              </w:rPr>
            </w:pPr>
            <w:r>
              <w:rPr>
                <w:color w:val="auto"/>
              </w:rPr>
              <w:t>1</w:t>
            </w:r>
          </w:p>
        </w:tc>
        <w:tc>
          <w:tcPr>
            <w:tcW w:w="543" w:type="dxa"/>
            <w:vMerge w:val="restart"/>
            <w:vAlign w:val="center"/>
          </w:tcPr>
          <w:p w14:paraId="390CCB48">
            <w:pPr>
              <w:pStyle w:val="44"/>
              <w:rPr>
                <w:color w:val="auto"/>
              </w:rPr>
            </w:pPr>
            <w:r>
              <w:rPr>
                <w:rFonts w:hint="eastAsia"/>
                <w:color w:val="auto"/>
              </w:rPr>
              <w:t>一</w:t>
            </w:r>
          </w:p>
          <w:p w14:paraId="0DEFBF72">
            <w:pPr>
              <w:pStyle w:val="44"/>
              <w:rPr>
                <w:color w:val="auto"/>
              </w:rPr>
            </w:pPr>
            <w:r>
              <w:rPr>
                <w:rFonts w:hint="eastAsia"/>
                <w:color w:val="auto"/>
              </w:rPr>
              <w:t>般</w:t>
            </w:r>
          </w:p>
          <w:p w14:paraId="5EB1A551">
            <w:pPr>
              <w:pStyle w:val="44"/>
              <w:rPr>
                <w:color w:val="auto"/>
              </w:rPr>
            </w:pPr>
            <w:r>
              <w:rPr>
                <w:rFonts w:hint="eastAsia"/>
                <w:color w:val="auto"/>
              </w:rPr>
              <w:t>项</w:t>
            </w:r>
          </w:p>
          <w:p w14:paraId="17352EEC">
            <w:pPr>
              <w:pStyle w:val="44"/>
              <w:rPr>
                <w:color w:val="auto"/>
              </w:rPr>
            </w:pPr>
            <w:r>
              <w:rPr>
                <w:rFonts w:hint="eastAsia"/>
                <w:color w:val="auto"/>
              </w:rPr>
              <w:t>目</w:t>
            </w:r>
          </w:p>
        </w:tc>
        <w:tc>
          <w:tcPr>
            <w:tcW w:w="898" w:type="dxa"/>
            <w:vAlign w:val="center"/>
          </w:tcPr>
          <w:p w14:paraId="3301CF18">
            <w:pPr>
              <w:pStyle w:val="44"/>
              <w:rPr>
                <w:color w:val="auto"/>
              </w:rPr>
            </w:pPr>
            <w:r>
              <w:rPr>
                <w:rFonts w:hint="eastAsia"/>
                <w:color w:val="auto"/>
              </w:rPr>
              <w:t>管片堆放与拼装</w:t>
            </w:r>
          </w:p>
        </w:tc>
        <w:tc>
          <w:tcPr>
            <w:tcW w:w="5580" w:type="dxa"/>
            <w:vAlign w:val="center"/>
          </w:tcPr>
          <w:p w14:paraId="67AC9D6D">
            <w:pPr>
              <w:pStyle w:val="44"/>
              <w:jc w:val="left"/>
              <w:rPr>
                <w:color w:val="auto"/>
              </w:rPr>
            </w:pPr>
            <w:r>
              <w:rPr>
                <w:color w:val="auto"/>
              </w:rPr>
              <w:t>1</w:t>
            </w:r>
            <w:r>
              <w:rPr>
                <w:rFonts w:hint="eastAsia"/>
                <w:color w:val="auto"/>
              </w:rPr>
              <w:t>）管片堆放场地达不到坚实、平整要求或排水不畅通，扣</w:t>
            </w:r>
            <w:r>
              <w:rPr>
                <w:color w:val="auto"/>
              </w:rPr>
              <w:t>5-10</w:t>
            </w:r>
            <w:r>
              <w:rPr>
                <w:rFonts w:hint="eastAsia"/>
                <w:color w:val="auto"/>
              </w:rPr>
              <w:t>分</w:t>
            </w:r>
          </w:p>
          <w:p w14:paraId="04A4A2BD">
            <w:pPr>
              <w:pStyle w:val="44"/>
              <w:jc w:val="left"/>
              <w:rPr>
                <w:color w:val="auto"/>
              </w:rPr>
            </w:pPr>
            <w:r>
              <w:rPr>
                <w:color w:val="auto"/>
              </w:rPr>
              <w:t>2</w:t>
            </w:r>
            <w:r>
              <w:rPr>
                <w:rFonts w:hint="eastAsia"/>
                <w:color w:val="auto"/>
              </w:rPr>
              <w:t>）管片堆放场地的通道不通畅，扣</w:t>
            </w:r>
            <w:r>
              <w:rPr>
                <w:color w:val="auto"/>
              </w:rPr>
              <w:t>3-5</w:t>
            </w:r>
            <w:r>
              <w:rPr>
                <w:rFonts w:hint="eastAsia"/>
                <w:color w:val="auto"/>
              </w:rPr>
              <w:t>分</w:t>
            </w:r>
          </w:p>
          <w:p w14:paraId="5593D9F9">
            <w:pPr>
              <w:pStyle w:val="44"/>
              <w:jc w:val="left"/>
              <w:rPr>
                <w:color w:val="auto"/>
              </w:rPr>
            </w:pPr>
            <w:r>
              <w:rPr>
                <w:color w:val="auto"/>
              </w:rPr>
              <w:t>3</w:t>
            </w:r>
            <w:r>
              <w:rPr>
                <w:rFonts w:hint="eastAsia"/>
                <w:color w:val="auto"/>
              </w:rPr>
              <w:t>）管片堆放超高、堆放纵横间距、支撑垫块等不符合专项方案及标准要求，扣</w:t>
            </w:r>
            <w:r>
              <w:rPr>
                <w:color w:val="auto"/>
              </w:rPr>
              <w:t>5-10</w:t>
            </w:r>
            <w:r>
              <w:rPr>
                <w:rFonts w:hint="eastAsia"/>
                <w:color w:val="auto"/>
              </w:rPr>
              <w:t>分</w:t>
            </w:r>
          </w:p>
          <w:p w14:paraId="3AB2577B">
            <w:pPr>
              <w:pStyle w:val="44"/>
              <w:jc w:val="left"/>
              <w:rPr>
                <w:color w:val="auto"/>
              </w:rPr>
            </w:pPr>
            <w:r>
              <w:rPr>
                <w:color w:val="auto"/>
              </w:rPr>
              <w:t>4</w:t>
            </w:r>
            <w:r>
              <w:rPr>
                <w:rFonts w:hint="eastAsia"/>
                <w:color w:val="auto"/>
              </w:rPr>
              <w:t>）拼装机旋转时，旋转范围有人或障碍物，扣</w:t>
            </w:r>
            <w:r>
              <w:rPr>
                <w:color w:val="auto"/>
              </w:rPr>
              <w:t>3-5</w:t>
            </w:r>
            <w:r>
              <w:rPr>
                <w:rFonts w:hint="eastAsia"/>
                <w:color w:val="auto"/>
              </w:rPr>
              <w:t>分</w:t>
            </w:r>
          </w:p>
          <w:p w14:paraId="00F729EF">
            <w:pPr>
              <w:pStyle w:val="44"/>
              <w:jc w:val="left"/>
              <w:rPr>
                <w:color w:val="auto"/>
              </w:rPr>
            </w:pPr>
            <w:r>
              <w:rPr>
                <w:color w:val="auto"/>
              </w:rPr>
              <w:t>5</w:t>
            </w:r>
            <w:r>
              <w:rPr>
                <w:rFonts w:hint="eastAsia"/>
                <w:color w:val="auto"/>
              </w:rPr>
              <w:t>）管片吊运、拼装过程中连接不牢或无防滑脱装置，扣</w:t>
            </w:r>
            <w:r>
              <w:rPr>
                <w:color w:val="auto"/>
              </w:rPr>
              <w:t>5-8</w:t>
            </w:r>
            <w:r>
              <w:rPr>
                <w:rFonts w:hint="eastAsia"/>
                <w:color w:val="auto"/>
              </w:rPr>
              <w:t>分</w:t>
            </w:r>
          </w:p>
          <w:p w14:paraId="3622476A">
            <w:pPr>
              <w:pStyle w:val="44"/>
              <w:jc w:val="left"/>
              <w:rPr>
                <w:color w:val="auto"/>
              </w:rPr>
            </w:pPr>
            <w:r>
              <w:rPr>
                <w:color w:val="auto"/>
              </w:rPr>
              <w:t>6</w:t>
            </w:r>
            <w:r>
              <w:rPr>
                <w:rFonts w:hint="eastAsia"/>
                <w:color w:val="auto"/>
              </w:rPr>
              <w:t>）管片翻转、吊运、拼装设备无定期保养记录，或带病作业，扣</w:t>
            </w:r>
            <w:r>
              <w:rPr>
                <w:color w:val="auto"/>
              </w:rPr>
              <w:t>5</w:t>
            </w:r>
            <w:r>
              <w:rPr>
                <w:rFonts w:hint="eastAsia"/>
                <w:color w:val="auto"/>
              </w:rPr>
              <w:t>～</w:t>
            </w:r>
            <w:r>
              <w:rPr>
                <w:color w:val="auto"/>
              </w:rPr>
              <w:t>8</w:t>
            </w:r>
            <w:r>
              <w:rPr>
                <w:rFonts w:hint="eastAsia"/>
                <w:color w:val="auto"/>
              </w:rPr>
              <w:t>分</w:t>
            </w:r>
          </w:p>
        </w:tc>
        <w:tc>
          <w:tcPr>
            <w:tcW w:w="720" w:type="dxa"/>
            <w:vAlign w:val="center"/>
          </w:tcPr>
          <w:p w14:paraId="2FAC1E06">
            <w:pPr>
              <w:pStyle w:val="44"/>
              <w:rPr>
                <w:color w:val="auto"/>
              </w:rPr>
            </w:pPr>
            <w:r>
              <w:rPr>
                <w:color w:val="auto"/>
              </w:rPr>
              <w:t>10</w:t>
            </w:r>
          </w:p>
        </w:tc>
        <w:tc>
          <w:tcPr>
            <w:tcW w:w="720" w:type="dxa"/>
            <w:vAlign w:val="center"/>
          </w:tcPr>
          <w:p w14:paraId="734EAF30">
            <w:pPr>
              <w:pStyle w:val="44"/>
              <w:rPr>
                <w:color w:val="auto"/>
              </w:rPr>
            </w:pPr>
          </w:p>
        </w:tc>
        <w:tc>
          <w:tcPr>
            <w:tcW w:w="720" w:type="dxa"/>
            <w:vAlign w:val="center"/>
          </w:tcPr>
          <w:p w14:paraId="10B1F14A">
            <w:pPr>
              <w:pStyle w:val="44"/>
              <w:rPr>
                <w:color w:val="auto"/>
              </w:rPr>
            </w:pPr>
          </w:p>
        </w:tc>
      </w:tr>
      <w:tr w14:paraId="246AF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4E6F6303">
            <w:pPr>
              <w:pStyle w:val="44"/>
              <w:rPr>
                <w:color w:val="auto"/>
              </w:rPr>
            </w:pPr>
            <w:r>
              <w:rPr>
                <w:color w:val="auto"/>
              </w:rPr>
              <w:t>2</w:t>
            </w:r>
          </w:p>
        </w:tc>
        <w:tc>
          <w:tcPr>
            <w:tcW w:w="543" w:type="dxa"/>
            <w:vMerge w:val="continue"/>
          </w:tcPr>
          <w:p w14:paraId="0F6F1653">
            <w:pPr>
              <w:pStyle w:val="44"/>
              <w:rPr>
                <w:color w:val="auto"/>
              </w:rPr>
            </w:pPr>
          </w:p>
        </w:tc>
        <w:tc>
          <w:tcPr>
            <w:tcW w:w="898" w:type="dxa"/>
            <w:vAlign w:val="center"/>
          </w:tcPr>
          <w:p w14:paraId="3FAF5A4E">
            <w:pPr>
              <w:pStyle w:val="44"/>
              <w:rPr>
                <w:color w:val="auto"/>
              </w:rPr>
            </w:pPr>
            <w:r>
              <w:rPr>
                <w:rFonts w:hint="eastAsia"/>
                <w:color w:val="auto"/>
              </w:rPr>
              <w:t>隧道施工运输</w:t>
            </w:r>
          </w:p>
        </w:tc>
        <w:tc>
          <w:tcPr>
            <w:tcW w:w="5580" w:type="dxa"/>
            <w:vAlign w:val="center"/>
          </w:tcPr>
          <w:p w14:paraId="60AA6D1E">
            <w:pPr>
              <w:pStyle w:val="44"/>
              <w:jc w:val="left"/>
              <w:rPr>
                <w:color w:val="auto"/>
              </w:rPr>
            </w:pPr>
            <w:r>
              <w:rPr>
                <w:color w:val="auto"/>
              </w:rPr>
              <w:t>1</w:t>
            </w:r>
            <w:r>
              <w:rPr>
                <w:rFonts w:hint="eastAsia"/>
                <w:color w:val="auto"/>
              </w:rPr>
              <w:t>）运输设备无产品合格证，扣</w:t>
            </w:r>
            <w:r>
              <w:rPr>
                <w:color w:val="auto"/>
              </w:rPr>
              <w:t>2</w:t>
            </w:r>
            <w:r>
              <w:rPr>
                <w:rFonts w:hint="eastAsia"/>
                <w:color w:val="auto"/>
              </w:rPr>
              <w:t>分</w:t>
            </w:r>
          </w:p>
          <w:p w14:paraId="50D86FEC">
            <w:pPr>
              <w:pStyle w:val="44"/>
              <w:jc w:val="left"/>
              <w:rPr>
                <w:color w:val="auto"/>
              </w:rPr>
            </w:pPr>
            <w:r>
              <w:rPr>
                <w:color w:val="auto"/>
              </w:rPr>
              <w:t>2</w:t>
            </w:r>
            <w:r>
              <w:rPr>
                <w:rFonts w:hint="eastAsia"/>
                <w:color w:val="auto"/>
              </w:rPr>
              <w:t>）运输设备牵引力未进行计算，或不满足最大纵坡和载重要求，扣</w:t>
            </w:r>
            <w:r>
              <w:rPr>
                <w:color w:val="auto"/>
              </w:rPr>
              <w:t>10</w:t>
            </w:r>
            <w:r>
              <w:rPr>
                <w:rFonts w:hint="eastAsia"/>
                <w:color w:val="auto"/>
              </w:rPr>
              <w:t>分</w:t>
            </w:r>
          </w:p>
          <w:p w14:paraId="666C1A33">
            <w:pPr>
              <w:pStyle w:val="44"/>
              <w:jc w:val="left"/>
              <w:rPr>
                <w:color w:val="auto"/>
              </w:rPr>
            </w:pPr>
            <w:r>
              <w:rPr>
                <w:color w:val="auto"/>
              </w:rPr>
              <w:t>3</w:t>
            </w:r>
            <w:r>
              <w:rPr>
                <w:rFonts w:hint="eastAsia"/>
                <w:color w:val="auto"/>
              </w:rPr>
              <w:t>）车辆停驶时未采取防溜车措施，扣</w:t>
            </w:r>
            <w:r>
              <w:rPr>
                <w:color w:val="auto"/>
              </w:rPr>
              <w:t>5-8</w:t>
            </w:r>
            <w:r>
              <w:rPr>
                <w:rFonts w:hint="eastAsia"/>
                <w:color w:val="auto"/>
              </w:rPr>
              <w:t>分</w:t>
            </w:r>
          </w:p>
          <w:p w14:paraId="3BAF15B0">
            <w:pPr>
              <w:pStyle w:val="44"/>
              <w:jc w:val="left"/>
              <w:rPr>
                <w:color w:val="auto"/>
              </w:rPr>
            </w:pPr>
            <w:r>
              <w:rPr>
                <w:color w:val="auto"/>
              </w:rPr>
              <w:t>4</w:t>
            </w:r>
            <w:r>
              <w:rPr>
                <w:rFonts w:hint="eastAsia"/>
                <w:color w:val="auto"/>
              </w:rPr>
              <w:t>）车辆安全、警示装置或动力、制动功能等存在故障，带病行驶，扣</w:t>
            </w:r>
            <w:r>
              <w:rPr>
                <w:color w:val="auto"/>
              </w:rPr>
              <w:t>5</w:t>
            </w:r>
            <w:r>
              <w:rPr>
                <w:rFonts w:hint="eastAsia"/>
                <w:color w:val="auto"/>
              </w:rPr>
              <w:t>分</w:t>
            </w:r>
          </w:p>
          <w:p w14:paraId="5F242F2A">
            <w:pPr>
              <w:pStyle w:val="44"/>
              <w:jc w:val="left"/>
              <w:rPr>
                <w:color w:val="auto"/>
              </w:rPr>
            </w:pPr>
            <w:r>
              <w:rPr>
                <w:color w:val="auto"/>
              </w:rPr>
              <w:t>5</w:t>
            </w:r>
            <w:r>
              <w:rPr>
                <w:rFonts w:hint="eastAsia"/>
                <w:color w:val="auto"/>
              </w:rPr>
              <w:t>）车辆超速行驶或隧道内无限速标志，扣</w:t>
            </w:r>
            <w:r>
              <w:rPr>
                <w:color w:val="auto"/>
              </w:rPr>
              <w:t>2</w:t>
            </w:r>
            <w:r>
              <w:rPr>
                <w:rFonts w:hint="eastAsia"/>
                <w:color w:val="auto"/>
              </w:rPr>
              <w:t>分</w:t>
            </w:r>
          </w:p>
          <w:p w14:paraId="07B034E8">
            <w:pPr>
              <w:pStyle w:val="44"/>
              <w:jc w:val="left"/>
              <w:rPr>
                <w:color w:val="auto"/>
              </w:rPr>
            </w:pPr>
            <w:r>
              <w:rPr>
                <w:color w:val="auto"/>
              </w:rPr>
              <w:t>6</w:t>
            </w:r>
            <w:r>
              <w:rPr>
                <w:rFonts w:hint="eastAsia"/>
                <w:color w:val="auto"/>
              </w:rPr>
              <w:t>）平板车搭载人，扣</w:t>
            </w:r>
            <w:r>
              <w:rPr>
                <w:color w:val="auto"/>
              </w:rPr>
              <w:t>10</w:t>
            </w:r>
            <w:r>
              <w:rPr>
                <w:rFonts w:hint="eastAsia"/>
                <w:color w:val="auto"/>
              </w:rPr>
              <w:t>分</w:t>
            </w:r>
          </w:p>
          <w:p w14:paraId="711621E5">
            <w:pPr>
              <w:pStyle w:val="44"/>
              <w:jc w:val="left"/>
              <w:rPr>
                <w:color w:val="auto"/>
              </w:rPr>
            </w:pPr>
            <w:r>
              <w:rPr>
                <w:color w:val="auto"/>
              </w:rPr>
              <w:t>7</w:t>
            </w:r>
            <w:r>
              <w:rPr>
                <w:rFonts w:hint="eastAsia"/>
                <w:color w:val="auto"/>
              </w:rPr>
              <w:t>）车辆连接不可靠或无保险链，扣</w:t>
            </w:r>
            <w:r>
              <w:rPr>
                <w:color w:val="auto"/>
              </w:rPr>
              <w:t>3</w:t>
            </w:r>
            <w:r>
              <w:rPr>
                <w:rFonts w:hint="eastAsia"/>
                <w:color w:val="auto"/>
              </w:rPr>
              <w:t>分</w:t>
            </w:r>
          </w:p>
          <w:p w14:paraId="351F30DE">
            <w:pPr>
              <w:pStyle w:val="44"/>
              <w:jc w:val="left"/>
              <w:rPr>
                <w:color w:val="auto"/>
              </w:rPr>
            </w:pPr>
            <w:r>
              <w:rPr>
                <w:rFonts w:hint="eastAsia"/>
                <w:color w:val="auto"/>
              </w:rPr>
              <w:t>车辆超载、超限，扣</w:t>
            </w:r>
            <w:r>
              <w:rPr>
                <w:color w:val="auto"/>
              </w:rPr>
              <w:t>3</w:t>
            </w:r>
            <w:r>
              <w:rPr>
                <w:rFonts w:hint="eastAsia"/>
                <w:color w:val="auto"/>
              </w:rPr>
              <w:t>分</w:t>
            </w:r>
          </w:p>
          <w:p w14:paraId="27CAB4BF">
            <w:pPr>
              <w:pStyle w:val="44"/>
              <w:jc w:val="left"/>
              <w:rPr>
                <w:color w:val="auto"/>
              </w:rPr>
            </w:pPr>
            <w:r>
              <w:rPr>
                <w:color w:val="auto"/>
              </w:rPr>
              <w:t>8</w:t>
            </w:r>
            <w:r>
              <w:rPr>
                <w:rFonts w:hint="eastAsia"/>
                <w:color w:val="auto"/>
              </w:rPr>
              <w:t>）轨道端头无车挡，扣</w:t>
            </w:r>
            <w:r>
              <w:rPr>
                <w:color w:val="auto"/>
              </w:rPr>
              <w:t>6-8</w:t>
            </w:r>
            <w:r>
              <w:rPr>
                <w:rFonts w:hint="eastAsia"/>
                <w:color w:val="auto"/>
              </w:rPr>
              <w:t>分</w:t>
            </w:r>
          </w:p>
          <w:p w14:paraId="3B384458">
            <w:pPr>
              <w:pStyle w:val="44"/>
              <w:jc w:val="left"/>
              <w:rPr>
                <w:color w:val="auto"/>
              </w:rPr>
            </w:pPr>
            <w:r>
              <w:rPr>
                <w:color w:val="auto"/>
              </w:rPr>
              <w:t>9</w:t>
            </w:r>
            <w:r>
              <w:rPr>
                <w:rFonts w:hint="eastAsia"/>
                <w:color w:val="auto"/>
              </w:rPr>
              <w:t>）无联络信号或联络信号不合理、不准确，扣</w:t>
            </w:r>
            <w:r>
              <w:rPr>
                <w:color w:val="auto"/>
              </w:rPr>
              <w:t>2</w:t>
            </w:r>
            <w:r>
              <w:rPr>
                <w:rFonts w:hint="eastAsia"/>
                <w:color w:val="auto"/>
              </w:rPr>
              <w:t>～</w:t>
            </w:r>
            <w:r>
              <w:rPr>
                <w:color w:val="auto"/>
              </w:rPr>
              <w:t>5</w:t>
            </w:r>
            <w:r>
              <w:rPr>
                <w:rFonts w:hint="eastAsia"/>
                <w:color w:val="auto"/>
              </w:rPr>
              <w:t>分</w:t>
            </w:r>
          </w:p>
          <w:p w14:paraId="0D64BB9E">
            <w:pPr>
              <w:pStyle w:val="44"/>
              <w:jc w:val="left"/>
              <w:rPr>
                <w:color w:val="auto"/>
              </w:rPr>
            </w:pPr>
            <w:r>
              <w:rPr>
                <w:color w:val="auto"/>
              </w:rPr>
              <w:t>10</w:t>
            </w:r>
            <w:r>
              <w:rPr>
                <w:rFonts w:hint="eastAsia"/>
                <w:color w:val="auto"/>
              </w:rPr>
              <w:t>）隧道内存在堆积物料、积泥（水）等影响车辆通行，扣</w:t>
            </w:r>
            <w:r>
              <w:rPr>
                <w:color w:val="auto"/>
              </w:rPr>
              <w:t>3-5</w:t>
            </w:r>
            <w:r>
              <w:rPr>
                <w:rFonts w:hint="eastAsia"/>
                <w:color w:val="auto"/>
              </w:rPr>
              <w:t>分</w:t>
            </w:r>
          </w:p>
          <w:p w14:paraId="392A28AE">
            <w:pPr>
              <w:pStyle w:val="44"/>
              <w:jc w:val="left"/>
              <w:rPr>
                <w:color w:val="auto"/>
              </w:rPr>
            </w:pPr>
            <w:r>
              <w:rPr>
                <w:color w:val="auto"/>
              </w:rPr>
              <w:t>11</w:t>
            </w:r>
            <w:r>
              <w:rPr>
                <w:rFonts w:hint="eastAsia"/>
                <w:color w:val="auto"/>
              </w:rPr>
              <w:t>）车辆无日常检修保养记录，扣</w:t>
            </w:r>
            <w:r>
              <w:rPr>
                <w:color w:val="auto"/>
              </w:rPr>
              <w:t>3-5</w:t>
            </w:r>
            <w:r>
              <w:rPr>
                <w:rFonts w:hint="eastAsia"/>
                <w:color w:val="auto"/>
              </w:rPr>
              <w:t>分</w:t>
            </w:r>
          </w:p>
          <w:p w14:paraId="7C88B10F">
            <w:pPr>
              <w:pStyle w:val="44"/>
              <w:jc w:val="left"/>
              <w:rPr>
                <w:color w:val="auto"/>
              </w:rPr>
            </w:pPr>
            <w:r>
              <w:rPr>
                <w:color w:val="auto"/>
              </w:rPr>
              <w:t>12</w:t>
            </w:r>
            <w:r>
              <w:rPr>
                <w:rFonts w:hint="eastAsia"/>
                <w:color w:val="auto"/>
              </w:rPr>
              <w:t>）未采取人车分行措施，或行车区域内施工作业未采取有效安全防护措施，扣</w:t>
            </w:r>
            <w:r>
              <w:rPr>
                <w:color w:val="auto"/>
              </w:rPr>
              <w:t>5</w:t>
            </w:r>
            <w:r>
              <w:rPr>
                <w:rFonts w:hint="eastAsia"/>
                <w:color w:val="auto"/>
              </w:rPr>
              <w:t>分</w:t>
            </w:r>
          </w:p>
        </w:tc>
        <w:tc>
          <w:tcPr>
            <w:tcW w:w="720" w:type="dxa"/>
            <w:vAlign w:val="center"/>
          </w:tcPr>
          <w:p w14:paraId="33C87E0F">
            <w:pPr>
              <w:pStyle w:val="44"/>
              <w:rPr>
                <w:color w:val="auto"/>
              </w:rPr>
            </w:pPr>
            <w:r>
              <w:rPr>
                <w:color w:val="auto"/>
              </w:rPr>
              <w:t>10</w:t>
            </w:r>
          </w:p>
        </w:tc>
        <w:tc>
          <w:tcPr>
            <w:tcW w:w="720" w:type="dxa"/>
            <w:vAlign w:val="center"/>
          </w:tcPr>
          <w:p w14:paraId="2467E6AA">
            <w:pPr>
              <w:pStyle w:val="44"/>
              <w:rPr>
                <w:color w:val="auto"/>
              </w:rPr>
            </w:pPr>
          </w:p>
        </w:tc>
        <w:tc>
          <w:tcPr>
            <w:tcW w:w="720" w:type="dxa"/>
            <w:vAlign w:val="center"/>
          </w:tcPr>
          <w:p w14:paraId="58AE1D70">
            <w:pPr>
              <w:pStyle w:val="44"/>
              <w:rPr>
                <w:color w:val="auto"/>
              </w:rPr>
            </w:pPr>
          </w:p>
        </w:tc>
      </w:tr>
      <w:tr w14:paraId="0CA64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690EEEE0">
            <w:pPr>
              <w:pStyle w:val="44"/>
              <w:rPr>
                <w:color w:val="auto"/>
              </w:rPr>
            </w:pPr>
            <w:r>
              <w:rPr>
                <w:color w:val="auto"/>
              </w:rPr>
              <w:t>3</w:t>
            </w:r>
          </w:p>
        </w:tc>
        <w:tc>
          <w:tcPr>
            <w:tcW w:w="543" w:type="dxa"/>
            <w:vMerge w:val="continue"/>
          </w:tcPr>
          <w:p w14:paraId="652D353E">
            <w:pPr>
              <w:pStyle w:val="44"/>
              <w:rPr>
                <w:color w:val="auto"/>
              </w:rPr>
            </w:pPr>
          </w:p>
        </w:tc>
        <w:tc>
          <w:tcPr>
            <w:tcW w:w="898" w:type="dxa"/>
            <w:vAlign w:val="center"/>
          </w:tcPr>
          <w:p w14:paraId="38873F65">
            <w:pPr>
              <w:pStyle w:val="44"/>
              <w:rPr>
                <w:color w:val="auto"/>
              </w:rPr>
            </w:pPr>
            <w:r>
              <w:rPr>
                <w:rFonts w:hint="eastAsia"/>
                <w:color w:val="auto"/>
              </w:rPr>
              <w:t>安全防护与</w:t>
            </w:r>
          </w:p>
          <w:p w14:paraId="195E0E5E">
            <w:pPr>
              <w:pStyle w:val="44"/>
              <w:rPr>
                <w:color w:val="auto"/>
              </w:rPr>
            </w:pPr>
            <w:r>
              <w:rPr>
                <w:rFonts w:hint="eastAsia"/>
                <w:color w:val="auto"/>
              </w:rPr>
              <w:t>保护措施</w:t>
            </w:r>
          </w:p>
        </w:tc>
        <w:tc>
          <w:tcPr>
            <w:tcW w:w="5580" w:type="dxa"/>
            <w:vAlign w:val="center"/>
          </w:tcPr>
          <w:p w14:paraId="594AEEDB">
            <w:pPr>
              <w:pStyle w:val="44"/>
              <w:jc w:val="left"/>
              <w:rPr>
                <w:color w:val="auto"/>
              </w:rPr>
            </w:pPr>
            <w:r>
              <w:rPr>
                <w:color w:val="auto"/>
              </w:rPr>
              <w:t>1</w:t>
            </w:r>
            <w:r>
              <w:rPr>
                <w:rFonts w:hint="eastAsia"/>
                <w:color w:val="auto"/>
              </w:rPr>
              <w:t>）无通风、防尘专项方案或未对通风量进行计算，扣</w:t>
            </w:r>
            <w:r>
              <w:rPr>
                <w:color w:val="auto"/>
              </w:rPr>
              <w:t>5</w:t>
            </w:r>
            <w:r>
              <w:rPr>
                <w:rFonts w:hint="eastAsia"/>
                <w:color w:val="auto"/>
              </w:rPr>
              <w:t>分</w:t>
            </w:r>
          </w:p>
          <w:p w14:paraId="7EDAFD75">
            <w:pPr>
              <w:pStyle w:val="44"/>
              <w:jc w:val="left"/>
              <w:rPr>
                <w:color w:val="auto"/>
              </w:rPr>
            </w:pPr>
            <w:r>
              <w:rPr>
                <w:color w:val="auto"/>
              </w:rPr>
              <w:t>2</w:t>
            </w:r>
            <w:r>
              <w:rPr>
                <w:rFonts w:hint="eastAsia"/>
                <w:color w:val="auto"/>
              </w:rPr>
              <w:t>）未进行职业危害防治措施交底，扣</w:t>
            </w:r>
            <w:r>
              <w:rPr>
                <w:color w:val="auto"/>
              </w:rPr>
              <w:t>3</w:t>
            </w:r>
            <w:r>
              <w:rPr>
                <w:rFonts w:hint="eastAsia"/>
                <w:color w:val="auto"/>
              </w:rPr>
              <w:t>分</w:t>
            </w:r>
          </w:p>
          <w:p w14:paraId="7FD6F23E">
            <w:pPr>
              <w:pStyle w:val="44"/>
              <w:jc w:val="left"/>
              <w:rPr>
                <w:color w:val="auto"/>
              </w:rPr>
            </w:pPr>
            <w:r>
              <w:rPr>
                <w:color w:val="auto"/>
              </w:rPr>
              <w:t>3</w:t>
            </w:r>
            <w:r>
              <w:rPr>
                <w:rFonts w:hint="eastAsia"/>
                <w:color w:val="auto"/>
              </w:rPr>
              <w:t>）未按规定进行氧气及瓦斯、沼气等有毒有害气体、粉尘浓度检测，或有毒有害气体浓度超限时应采取有效处理措施，扣</w:t>
            </w:r>
            <w:r>
              <w:rPr>
                <w:color w:val="auto"/>
              </w:rPr>
              <w:t>5</w:t>
            </w:r>
            <w:r>
              <w:rPr>
                <w:rFonts w:hint="eastAsia"/>
                <w:color w:val="auto"/>
              </w:rPr>
              <w:t>分</w:t>
            </w:r>
          </w:p>
          <w:p w14:paraId="0D475BDC">
            <w:pPr>
              <w:pStyle w:val="44"/>
              <w:jc w:val="left"/>
              <w:rPr>
                <w:color w:val="auto"/>
              </w:rPr>
            </w:pPr>
            <w:r>
              <w:rPr>
                <w:color w:val="auto"/>
              </w:rPr>
              <w:t>4</w:t>
            </w:r>
            <w:r>
              <w:rPr>
                <w:rFonts w:hint="eastAsia"/>
                <w:color w:val="auto"/>
              </w:rPr>
              <w:t>）通风不良，作业面风速过弱，新风量不能满足施工要求，扣</w:t>
            </w:r>
            <w:r>
              <w:rPr>
                <w:color w:val="auto"/>
              </w:rPr>
              <w:t>3</w:t>
            </w:r>
            <w:r>
              <w:rPr>
                <w:rFonts w:hint="eastAsia"/>
                <w:color w:val="auto"/>
              </w:rPr>
              <w:t>分</w:t>
            </w:r>
          </w:p>
          <w:p w14:paraId="398B3DEC">
            <w:pPr>
              <w:pStyle w:val="44"/>
              <w:jc w:val="left"/>
              <w:rPr>
                <w:color w:val="auto"/>
              </w:rPr>
            </w:pPr>
            <w:r>
              <w:rPr>
                <w:color w:val="auto"/>
              </w:rPr>
              <w:t>5</w:t>
            </w:r>
            <w:r>
              <w:rPr>
                <w:rFonts w:hint="eastAsia"/>
                <w:color w:val="auto"/>
              </w:rPr>
              <w:t>）破损、漏风，或吊挂不平直，扣</w:t>
            </w:r>
            <w:r>
              <w:rPr>
                <w:color w:val="auto"/>
              </w:rPr>
              <w:t>5</w:t>
            </w:r>
            <w:r>
              <w:rPr>
                <w:rFonts w:hint="eastAsia"/>
                <w:color w:val="auto"/>
              </w:rPr>
              <w:t>分</w:t>
            </w:r>
          </w:p>
          <w:p w14:paraId="56CEFFCD">
            <w:pPr>
              <w:pStyle w:val="44"/>
              <w:jc w:val="left"/>
              <w:rPr>
                <w:color w:val="auto"/>
              </w:rPr>
            </w:pPr>
            <w:r>
              <w:rPr>
                <w:color w:val="auto"/>
              </w:rPr>
              <w:t>6</w:t>
            </w:r>
            <w:r>
              <w:rPr>
                <w:rFonts w:hint="eastAsia"/>
                <w:color w:val="auto"/>
              </w:rPr>
              <w:t>）风、水、电线路未按专项施工方案要求布设，扣</w:t>
            </w:r>
            <w:r>
              <w:rPr>
                <w:color w:val="auto"/>
              </w:rPr>
              <w:t>5</w:t>
            </w:r>
            <w:r>
              <w:rPr>
                <w:rFonts w:hint="eastAsia"/>
                <w:color w:val="auto"/>
              </w:rPr>
              <w:t>分</w:t>
            </w:r>
          </w:p>
          <w:p w14:paraId="1AC68095">
            <w:pPr>
              <w:pStyle w:val="44"/>
              <w:jc w:val="left"/>
              <w:rPr>
                <w:color w:val="auto"/>
              </w:rPr>
            </w:pPr>
            <w:r>
              <w:rPr>
                <w:color w:val="auto"/>
              </w:rPr>
              <w:t>7</w:t>
            </w:r>
            <w:r>
              <w:rPr>
                <w:rFonts w:hint="eastAsia"/>
                <w:color w:val="auto"/>
              </w:rPr>
              <w:t>）光线不足未设置足够照明，扣</w:t>
            </w:r>
            <w:r>
              <w:rPr>
                <w:color w:val="auto"/>
              </w:rPr>
              <w:t>3</w:t>
            </w:r>
            <w:r>
              <w:rPr>
                <w:rFonts w:hint="eastAsia"/>
                <w:color w:val="auto"/>
              </w:rPr>
              <w:t>分</w:t>
            </w:r>
          </w:p>
          <w:p w14:paraId="1D36D84D">
            <w:pPr>
              <w:pStyle w:val="44"/>
              <w:jc w:val="left"/>
              <w:rPr>
                <w:color w:val="auto"/>
              </w:rPr>
            </w:pPr>
            <w:r>
              <w:rPr>
                <w:color w:val="auto"/>
              </w:rPr>
              <w:t>8</w:t>
            </w:r>
            <w:r>
              <w:rPr>
                <w:rFonts w:hint="eastAsia"/>
                <w:color w:val="auto"/>
              </w:rPr>
              <w:t>）未按规定设置警示、通信、排水设施及消防器材，扣</w:t>
            </w:r>
            <w:r>
              <w:rPr>
                <w:color w:val="auto"/>
              </w:rPr>
              <w:t>3-5</w:t>
            </w:r>
            <w:r>
              <w:rPr>
                <w:rFonts w:hint="eastAsia"/>
                <w:color w:val="auto"/>
              </w:rPr>
              <w:t>分</w:t>
            </w:r>
          </w:p>
          <w:p w14:paraId="12774897">
            <w:pPr>
              <w:pStyle w:val="44"/>
              <w:jc w:val="left"/>
              <w:rPr>
                <w:color w:val="auto"/>
              </w:rPr>
            </w:pPr>
            <w:r>
              <w:rPr>
                <w:color w:val="auto"/>
              </w:rPr>
              <w:t>9</w:t>
            </w:r>
            <w:r>
              <w:rPr>
                <w:rFonts w:hint="eastAsia"/>
                <w:color w:val="auto"/>
              </w:rPr>
              <w:t>）压力软管耐压强度不符合设计要求，或布置于作业区及人行道范围的压力软管未采取防脱、限位措施，扣</w:t>
            </w:r>
            <w:r>
              <w:rPr>
                <w:color w:val="auto"/>
              </w:rPr>
              <w:t>5</w:t>
            </w:r>
            <w:r>
              <w:rPr>
                <w:rFonts w:hint="eastAsia"/>
                <w:color w:val="auto"/>
              </w:rPr>
              <w:t>分</w:t>
            </w:r>
          </w:p>
          <w:p w14:paraId="6922BA26">
            <w:pPr>
              <w:pStyle w:val="44"/>
              <w:jc w:val="left"/>
              <w:rPr>
                <w:color w:val="auto"/>
              </w:rPr>
            </w:pPr>
            <w:r>
              <w:rPr>
                <w:color w:val="auto"/>
              </w:rPr>
              <w:t>10</w:t>
            </w:r>
            <w:r>
              <w:rPr>
                <w:rFonts w:hint="eastAsia"/>
                <w:color w:val="auto"/>
              </w:rPr>
              <w:t>）竖井人员上下未设置登高扶梯，扣</w:t>
            </w:r>
            <w:r>
              <w:rPr>
                <w:color w:val="auto"/>
              </w:rPr>
              <w:t>8</w:t>
            </w:r>
            <w:r>
              <w:rPr>
                <w:rFonts w:hint="eastAsia"/>
                <w:color w:val="auto"/>
              </w:rPr>
              <w:t>分；扶梯未按规定设置栏杆和扶手，扣</w:t>
            </w:r>
            <w:r>
              <w:rPr>
                <w:color w:val="auto"/>
              </w:rPr>
              <w:t>3-5</w:t>
            </w:r>
            <w:r>
              <w:rPr>
                <w:rFonts w:hint="eastAsia"/>
                <w:color w:val="auto"/>
              </w:rPr>
              <w:t>分</w:t>
            </w:r>
          </w:p>
        </w:tc>
        <w:tc>
          <w:tcPr>
            <w:tcW w:w="720" w:type="dxa"/>
            <w:vAlign w:val="center"/>
          </w:tcPr>
          <w:p w14:paraId="0654D576">
            <w:pPr>
              <w:pStyle w:val="44"/>
              <w:rPr>
                <w:color w:val="auto"/>
              </w:rPr>
            </w:pPr>
            <w:r>
              <w:rPr>
                <w:color w:val="auto"/>
              </w:rPr>
              <w:t>10</w:t>
            </w:r>
          </w:p>
        </w:tc>
        <w:tc>
          <w:tcPr>
            <w:tcW w:w="720" w:type="dxa"/>
            <w:vAlign w:val="center"/>
          </w:tcPr>
          <w:p w14:paraId="7B0DF70A">
            <w:pPr>
              <w:pStyle w:val="44"/>
              <w:rPr>
                <w:color w:val="auto"/>
              </w:rPr>
            </w:pPr>
          </w:p>
        </w:tc>
        <w:tc>
          <w:tcPr>
            <w:tcW w:w="720" w:type="dxa"/>
            <w:vAlign w:val="center"/>
          </w:tcPr>
          <w:p w14:paraId="0A8B16CA">
            <w:pPr>
              <w:pStyle w:val="44"/>
              <w:rPr>
                <w:color w:val="auto"/>
              </w:rPr>
            </w:pPr>
          </w:p>
        </w:tc>
      </w:tr>
      <w:tr w14:paraId="3D5B8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3DEED221">
            <w:pPr>
              <w:pStyle w:val="44"/>
              <w:rPr>
                <w:color w:val="auto"/>
              </w:rPr>
            </w:pPr>
          </w:p>
        </w:tc>
        <w:tc>
          <w:tcPr>
            <w:tcW w:w="543" w:type="dxa"/>
            <w:vMerge w:val="continue"/>
          </w:tcPr>
          <w:p w14:paraId="704B4FE5">
            <w:pPr>
              <w:pStyle w:val="44"/>
              <w:rPr>
                <w:color w:val="auto"/>
              </w:rPr>
            </w:pPr>
          </w:p>
        </w:tc>
        <w:tc>
          <w:tcPr>
            <w:tcW w:w="6478" w:type="dxa"/>
            <w:gridSpan w:val="2"/>
            <w:vAlign w:val="center"/>
          </w:tcPr>
          <w:p w14:paraId="0326BDB1">
            <w:pPr>
              <w:pStyle w:val="44"/>
              <w:rPr>
                <w:b/>
                <w:bCs w:val="0"/>
                <w:color w:val="auto"/>
              </w:rPr>
            </w:pPr>
            <w:r>
              <w:rPr>
                <w:rFonts w:hint="eastAsia"/>
                <w:b/>
                <w:bCs w:val="0"/>
                <w:color w:val="auto"/>
              </w:rPr>
              <w:t>小</w:t>
            </w:r>
            <w:r>
              <w:rPr>
                <w:b/>
                <w:bCs w:val="0"/>
                <w:color w:val="auto"/>
              </w:rPr>
              <w:t xml:space="preserve">  </w:t>
            </w:r>
            <w:r>
              <w:rPr>
                <w:rFonts w:hint="eastAsia"/>
                <w:b/>
                <w:bCs w:val="0"/>
                <w:color w:val="auto"/>
              </w:rPr>
              <w:t>计</w:t>
            </w:r>
          </w:p>
        </w:tc>
        <w:tc>
          <w:tcPr>
            <w:tcW w:w="720" w:type="dxa"/>
            <w:vAlign w:val="center"/>
          </w:tcPr>
          <w:p w14:paraId="735E15F1">
            <w:pPr>
              <w:pStyle w:val="44"/>
              <w:rPr>
                <w:color w:val="auto"/>
              </w:rPr>
            </w:pPr>
            <w:r>
              <w:rPr>
                <w:color w:val="auto"/>
              </w:rPr>
              <w:t>30</w:t>
            </w:r>
          </w:p>
        </w:tc>
        <w:tc>
          <w:tcPr>
            <w:tcW w:w="720" w:type="dxa"/>
            <w:vAlign w:val="center"/>
          </w:tcPr>
          <w:p w14:paraId="223BDA40">
            <w:pPr>
              <w:pStyle w:val="44"/>
              <w:rPr>
                <w:color w:val="auto"/>
              </w:rPr>
            </w:pPr>
          </w:p>
        </w:tc>
        <w:tc>
          <w:tcPr>
            <w:tcW w:w="720" w:type="dxa"/>
            <w:vAlign w:val="center"/>
          </w:tcPr>
          <w:p w14:paraId="1BAD72E6">
            <w:pPr>
              <w:pStyle w:val="44"/>
              <w:rPr>
                <w:color w:val="auto"/>
              </w:rPr>
            </w:pPr>
          </w:p>
        </w:tc>
      </w:tr>
      <w:tr w14:paraId="0BC49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trPr>
        <w:tc>
          <w:tcPr>
            <w:tcW w:w="7560" w:type="dxa"/>
            <w:gridSpan w:val="4"/>
            <w:vAlign w:val="center"/>
          </w:tcPr>
          <w:p w14:paraId="4E206864">
            <w:pPr>
              <w:pStyle w:val="44"/>
              <w:rPr>
                <w:b/>
                <w:bCs w:val="0"/>
                <w:color w:val="auto"/>
              </w:rPr>
            </w:pPr>
            <w:r>
              <w:rPr>
                <w:rFonts w:hint="eastAsia"/>
                <w:b/>
                <w:bCs w:val="0"/>
                <w:color w:val="auto"/>
              </w:rPr>
              <w:t>检查项目合计</w:t>
            </w:r>
          </w:p>
        </w:tc>
        <w:tc>
          <w:tcPr>
            <w:tcW w:w="720" w:type="dxa"/>
            <w:vAlign w:val="center"/>
          </w:tcPr>
          <w:p w14:paraId="6CC3ABE8">
            <w:pPr>
              <w:pStyle w:val="44"/>
              <w:rPr>
                <w:color w:val="auto"/>
              </w:rPr>
            </w:pPr>
            <w:r>
              <w:rPr>
                <w:color w:val="auto"/>
              </w:rPr>
              <w:t>100</w:t>
            </w:r>
          </w:p>
        </w:tc>
        <w:tc>
          <w:tcPr>
            <w:tcW w:w="720" w:type="dxa"/>
            <w:vAlign w:val="center"/>
          </w:tcPr>
          <w:p w14:paraId="1C9A09BA">
            <w:pPr>
              <w:pStyle w:val="44"/>
              <w:rPr>
                <w:color w:val="auto"/>
              </w:rPr>
            </w:pPr>
          </w:p>
        </w:tc>
        <w:tc>
          <w:tcPr>
            <w:tcW w:w="720" w:type="dxa"/>
            <w:vAlign w:val="center"/>
          </w:tcPr>
          <w:p w14:paraId="648CE406">
            <w:pPr>
              <w:pStyle w:val="44"/>
              <w:rPr>
                <w:color w:val="auto"/>
              </w:rPr>
            </w:pPr>
          </w:p>
        </w:tc>
      </w:tr>
    </w:tbl>
    <w:p w14:paraId="7FE2DE54"/>
    <w:p w14:paraId="09DDE71A">
      <w:pPr>
        <w:pStyle w:val="5"/>
      </w:pPr>
      <w:r>
        <w:rPr>
          <w:rFonts w:hint="eastAsia"/>
        </w:rPr>
        <w:br w:type="page"/>
      </w:r>
      <w:bookmarkStart w:id="82" w:name="_Toc9193"/>
      <w:bookmarkStart w:id="83" w:name="_Toc9489"/>
      <w:bookmarkStart w:id="84" w:name="_Toc15999"/>
      <w:r>
        <w:rPr>
          <w:rFonts w:hint="eastAsia"/>
        </w:rPr>
        <w:t>表B.</w:t>
      </w:r>
      <w:r>
        <w:t>2</w:t>
      </w:r>
      <w:r>
        <w:rPr>
          <w:rFonts w:hint="eastAsia"/>
        </w:rPr>
        <w:t>5  顶管检查</w:t>
      </w:r>
      <w:r>
        <w:t>评分表</w:t>
      </w:r>
      <w:bookmarkEnd w:id="82"/>
      <w:bookmarkEnd w:id="83"/>
      <w:bookmarkEnd w:id="84"/>
    </w:p>
    <w:tbl>
      <w:tblPr>
        <w:tblStyle w:val="19"/>
        <w:tblpPr w:leftFromText="180" w:rightFromText="180" w:vertAnchor="text" w:horzAnchor="page" w:tblpX="1150" w:tblpY="631"/>
        <w:tblOverlap w:val="never"/>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64"/>
        <w:gridCol w:w="736"/>
        <w:gridCol w:w="720"/>
        <w:gridCol w:w="720"/>
      </w:tblGrid>
      <w:tr w14:paraId="4C485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trPr>
        <w:tc>
          <w:tcPr>
            <w:tcW w:w="539" w:type="dxa"/>
            <w:vAlign w:val="center"/>
          </w:tcPr>
          <w:p w14:paraId="165E94BA">
            <w:pPr>
              <w:pStyle w:val="44"/>
              <w:rPr>
                <w:color w:val="auto"/>
              </w:rPr>
            </w:pPr>
            <w:r>
              <w:rPr>
                <w:rFonts w:hint="eastAsia"/>
                <w:color w:val="auto"/>
              </w:rPr>
              <w:t>序号</w:t>
            </w:r>
          </w:p>
        </w:tc>
        <w:tc>
          <w:tcPr>
            <w:tcW w:w="1441" w:type="dxa"/>
            <w:gridSpan w:val="2"/>
            <w:vAlign w:val="center"/>
          </w:tcPr>
          <w:p w14:paraId="4FAA7E99">
            <w:pPr>
              <w:pStyle w:val="44"/>
              <w:rPr>
                <w:color w:val="auto"/>
              </w:rPr>
            </w:pPr>
            <w:r>
              <w:rPr>
                <w:rFonts w:hint="eastAsia"/>
                <w:color w:val="auto"/>
              </w:rPr>
              <w:t>检查项目</w:t>
            </w:r>
          </w:p>
        </w:tc>
        <w:tc>
          <w:tcPr>
            <w:tcW w:w="5564" w:type="dxa"/>
            <w:vAlign w:val="center"/>
          </w:tcPr>
          <w:p w14:paraId="7B2C612E">
            <w:pPr>
              <w:pStyle w:val="44"/>
              <w:rPr>
                <w:color w:val="auto"/>
              </w:rPr>
            </w:pPr>
            <w:r>
              <w:rPr>
                <w:rFonts w:hint="eastAsia"/>
                <w:color w:val="auto"/>
              </w:rPr>
              <w:t>扣</w:t>
            </w:r>
            <w:r>
              <w:rPr>
                <w:color w:val="auto"/>
              </w:rPr>
              <w:t xml:space="preserve"> </w:t>
            </w:r>
            <w:r>
              <w:rPr>
                <w:rFonts w:hint="eastAsia"/>
                <w:color w:val="auto"/>
              </w:rPr>
              <w:t>分</w:t>
            </w:r>
            <w:r>
              <w:rPr>
                <w:color w:val="auto"/>
              </w:rPr>
              <w:t xml:space="preserve"> </w:t>
            </w:r>
            <w:r>
              <w:rPr>
                <w:rFonts w:hint="eastAsia"/>
                <w:color w:val="auto"/>
              </w:rPr>
              <w:t>标</w:t>
            </w:r>
            <w:r>
              <w:rPr>
                <w:color w:val="auto"/>
              </w:rPr>
              <w:t xml:space="preserve"> </w:t>
            </w:r>
            <w:r>
              <w:rPr>
                <w:rFonts w:hint="eastAsia"/>
                <w:color w:val="auto"/>
              </w:rPr>
              <w:t>准</w:t>
            </w:r>
          </w:p>
        </w:tc>
        <w:tc>
          <w:tcPr>
            <w:tcW w:w="736" w:type="dxa"/>
            <w:vAlign w:val="center"/>
          </w:tcPr>
          <w:p w14:paraId="3ACCA037">
            <w:pPr>
              <w:pStyle w:val="44"/>
              <w:rPr>
                <w:color w:val="auto"/>
              </w:rPr>
            </w:pPr>
            <w:r>
              <w:rPr>
                <w:rFonts w:hint="eastAsia"/>
                <w:color w:val="auto"/>
              </w:rPr>
              <w:t>应得</w:t>
            </w:r>
          </w:p>
          <w:p w14:paraId="110F693C">
            <w:pPr>
              <w:pStyle w:val="44"/>
              <w:rPr>
                <w:color w:val="auto"/>
              </w:rPr>
            </w:pPr>
            <w:r>
              <w:rPr>
                <w:rFonts w:hint="eastAsia"/>
                <w:color w:val="auto"/>
              </w:rPr>
              <w:t>分数</w:t>
            </w:r>
          </w:p>
        </w:tc>
        <w:tc>
          <w:tcPr>
            <w:tcW w:w="720" w:type="dxa"/>
            <w:vAlign w:val="center"/>
          </w:tcPr>
          <w:p w14:paraId="44A3A75D">
            <w:pPr>
              <w:pStyle w:val="44"/>
              <w:rPr>
                <w:color w:val="auto"/>
              </w:rPr>
            </w:pPr>
            <w:r>
              <w:rPr>
                <w:rFonts w:hint="eastAsia"/>
                <w:color w:val="auto"/>
              </w:rPr>
              <w:t>扣减</w:t>
            </w:r>
          </w:p>
          <w:p w14:paraId="77DC6908">
            <w:pPr>
              <w:pStyle w:val="44"/>
              <w:rPr>
                <w:color w:val="auto"/>
              </w:rPr>
            </w:pPr>
            <w:r>
              <w:rPr>
                <w:rFonts w:hint="eastAsia"/>
                <w:color w:val="auto"/>
              </w:rPr>
              <w:t>分数</w:t>
            </w:r>
          </w:p>
        </w:tc>
        <w:tc>
          <w:tcPr>
            <w:tcW w:w="720" w:type="dxa"/>
            <w:vAlign w:val="center"/>
          </w:tcPr>
          <w:p w14:paraId="61DA4733">
            <w:pPr>
              <w:pStyle w:val="44"/>
              <w:rPr>
                <w:color w:val="auto"/>
              </w:rPr>
            </w:pPr>
            <w:r>
              <w:rPr>
                <w:rFonts w:hint="eastAsia"/>
                <w:color w:val="auto"/>
              </w:rPr>
              <w:t>实得</w:t>
            </w:r>
          </w:p>
          <w:p w14:paraId="24EDC74B">
            <w:pPr>
              <w:pStyle w:val="44"/>
              <w:rPr>
                <w:color w:val="auto"/>
              </w:rPr>
            </w:pPr>
            <w:r>
              <w:rPr>
                <w:rFonts w:hint="eastAsia"/>
                <w:color w:val="auto"/>
              </w:rPr>
              <w:t>分数</w:t>
            </w:r>
          </w:p>
        </w:tc>
      </w:tr>
      <w:tr w14:paraId="5DB79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trPr>
        <w:tc>
          <w:tcPr>
            <w:tcW w:w="539" w:type="dxa"/>
            <w:vAlign w:val="center"/>
          </w:tcPr>
          <w:p w14:paraId="7ADA244F">
            <w:pPr>
              <w:pStyle w:val="44"/>
              <w:rPr>
                <w:color w:val="auto"/>
              </w:rPr>
            </w:pPr>
            <w:r>
              <w:rPr>
                <w:color w:val="auto"/>
              </w:rPr>
              <w:t>1</w:t>
            </w:r>
          </w:p>
        </w:tc>
        <w:tc>
          <w:tcPr>
            <w:tcW w:w="543" w:type="dxa"/>
            <w:vMerge w:val="restart"/>
            <w:vAlign w:val="center"/>
          </w:tcPr>
          <w:p w14:paraId="7C398C6C">
            <w:pPr>
              <w:pStyle w:val="44"/>
              <w:rPr>
                <w:color w:val="auto"/>
              </w:rPr>
            </w:pPr>
            <w:r>
              <w:rPr>
                <w:rFonts w:hint="eastAsia"/>
                <w:color w:val="auto"/>
              </w:rPr>
              <w:t>保</w:t>
            </w:r>
          </w:p>
          <w:p w14:paraId="10F5349F">
            <w:pPr>
              <w:pStyle w:val="44"/>
              <w:rPr>
                <w:color w:val="auto"/>
              </w:rPr>
            </w:pPr>
            <w:r>
              <w:rPr>
                <w:rFonts w:hint="eastAsia"/>
                <w:color w:val="auto"/>
              </w:rPr>
              <w:t>证</w:t>
            </w:r>
          </w:p>
          <w:p w14:paraId="32114100">
            <w:pPr>
              <w:pStyle w:val="44"/>
              <w:rPr>
                <w:color w:val="auto"/>
              </w:rPr>
            </w:pPr>
            <w:r>
              <w:rPr>
                <w:rFonts w:hint="eastAsia"/>
                <w:color w:val="auto"/>
              </w:rPr>
              <w:t>项</w:t>
            </w:r>
          </w:p>
          <w:p w14:paraId="6EACB9B5">
            <w:pPr>
              <w:pStyle w:val="44"/>
              <w:rPr>
                <w:color w:val="auto"/>
              </w:rPr>
            </w:pPr>
            <w:r>
              <w:rPr>
                <w:rFonts w:hint="eastAsia"/>
                <w:color w:val="auto"/>
              </w:rPr>
              <w:t>目</w:t>
            </w:r>
          </w:p>
        </w:tc>
        <w:tc>
          <w:tcPr>
            <w:tcW w:w="898" w:type="dxa"/>
            <w:vAlign w:val="center"/>
          </w:tcPr>
          <w:p w14:paraId="6E9E82EE">
            <w:pPr>
              <w:pStyle w:val="44"/>
              <w:rPr>
                <w:color w:val="auto"/>
              </w:rPr>
            </w:pPr>
            <w:r>
              <w:rPr>
                <w:rFonts w:hint="eastAsia"/>
                <w:color w:val="auto"/>
              </w:rPr>
              <w:t>专项方案</w:t>
            </w:r>
          </w:p>
        </w:tc>
        <w:tc>
          <w:tcPr>
            <w:tcW w:w="5564" w:type="dxa"/>
            <w:vAlign w:val="center"/>
          </w:tcPr>
          <w:p w14:paraId="4A8A94CF">
            <w:pPr>
              <w:pStyle w:val="44"/>
              <w:jc w:val="left"/>
              <w:rPr>
                <w:color w:val="auto"/>
              </w:rPr>
            </w:pPr>
            <w:r>
              <w:rPr>
                <w:color w:val="auto"/>
              </w:rPr>
              <w:t>1</w:t>
            </w:r>
            <w:r>
              <w:rPr>
                <w:rFonts w:hint="eastAsia"/>
                <w:color w:val="auto"/>
              </w:rPr>
              <w:t>）未按规定编制专项施工方案，扣</w:t>
            </w:r>
            <w:r>
              <w:rPr>
                <w:color w:val="auto"/>
              </w:rPr>
              <w:t>10</w:t>
            </w:r>
            <w:r>
              <w:rPr>
                <w:rFonts w:hint="eastAsia"/>
                <w:color w:val="auto"/>
              </w:rPr>
              <w:t>分；方案编制内容不全或无针对性，扣</w:t>
            </w:r>
            <w:r>
              <w:rPr>
                <w:color w:val="auto"/>
              </w:rPr>
              <w:t>2-10</w:t>
            </w:r>
            <w:r>
              <w:rPr>
                <w:rFonts w:hint="eastAsia"/>
                <w:color w:val="auto"/>
              </w:rPr>
              <w:t>分</w:t>
            </w:r>
          </w:p>
          <w:p w14:paraId="2CC3822C">
            <w:pPr>
              <w:pStyle w:val="44"/>
              <w:jc w:val="left"/>
              <w:rPr>
                <w:color w:val="auto"/>
              </w:rPr>
            </w:pPr>
            <w:r>
              <w:rPr>
                <w:color w:val="auto"/>
              </w:rPr>
              <w:t>2</w:t>
            </w:r>
            <w:r>
              <w:rPr>
                <w:rFonts w:hint="eastAsia"/>
                <w:color w:val="auto"/>
              </w:rPr>
              <w:t>）专项方案未按规定进行审核、审批，扣</w:t>
            </w:r>
            <w:r>
              <w:rPr>
                <w:color w:val="auto"/>
              </w:rPr>
              <w:t>10</w:t>
            </w:r>
            <w:r>
              <w:rPr>
                <w:rFonts w:hint="eastAsia"/>
                <w:color w:val="auto"/>
              </w:rPr>
              <w:t>分</w:t>
            </w:r>
          </w:p>
          <w:p w14:paraId="73CACC47">
            <w:pPr>
              <w:pStyle w:val="44"/>
              <w:jc w:val="left"/>
              <w:rPr>
                <w:color w:val="auto"/>
              </w:rPr>
            </w:pPr>
            <w:r>
              <w:rPr>
                <w:color w:val="auto"/>
              </w:rPr>
              <w:t>3</w:t>
            </w:r>
            <w:r>
              <w:rPr>
                <w:rFonts w:hint="eastAsia"/>
                <w:color w:val="auto"/>
              </w:rPr>
              <w:t>）专项施工方案未按规定组织专家论证，扣</w:t>
            </w:r>
            <w:r>
              <w:rPr>
                <w:color w:val="auto"/>
              </w:rPr>
              <w:t>10</w:t>
            </w:r>
            <w:r>
              <w:rPr>
                <w:rFonts w:hint="eastAsia"/>
                <w:color w:val="auto"/>
              </w:rPr>
              <w:t>分</w:t>
            </w:r>
          </w:p>
          <w:p w14:paraId="0FEB9DE5">
            <w:pPr>
              <w:pStyle w:val="44"/>
              <w:jc w:val="left"/>
              <w:rPr>
                <w:color w:val="auto"/>
              </w:rPr>
            </w:pPr>
            <w:r>
              <w:rPr>
                <w:color w:val="auto"/>
              </w:rPr>
              <w:t>4</w:t>
            </w:r>
            <w:r>
              <w:rPr>
                <w:rFonts w:hint="eastAsia"/>
                <w:color w:val="auto"/>
              </w:rPr>
              <w:t>）专项施工方案实施前，未进行安全技术交底，扣</w:t>
            </w:r>
            <w:r>
              <w:rPr>
                <w:color w:val="auto"/>
              </w:rPr>
              <w:t>10</w:t>
            </w:r>
            <w:r>
              <w:rPr>
                <w:rFonts w:hint="eastAsia"/>
                <w:color w:val="auto"/>
              </w:rPr>
              <w:t>分；交底无针对性或无文字记录，扣</w:t>
            </w:r>
            <w:r>
              <w:rPr>
                <w:color w:val="auto"/>
              </w:rPr>
              <w:t>2-5</w:t>
            </w:r>
            <w:r>
              <w:rPr>
                <w:rFonts w:hint="eastAsia"/>
                <w:color w:val="auto"/>
              </w:rPr>
              <w:t>分</w:t>
            </w:r>
          </w:p>
        </w:tc>
        <w:tc>
          <w:tcPr>
            <w:tcW w:w="736" w:type="dxa"/>
            <w:vAlign w:val="center"/>
          </w:tcPr>
          <w:p w14:paraId="5EE9C576">
            <w:pPr>
              <w:pStyle w:val="44"/>
              <w:rPr>
                <w:color w:val="auto"/>
              </w:rPr>
            </w:pPr>
            <w:r>
              <w:rPr>
                <w:color w:val="auto"/>
              </w:rPr>
              <w:t>10</w:t>
            </w:r>
          </w:p>
        </w:tc>
        <w:tc>
          <w:tcPr>
            <w:tcW w:w="720" w:type="dxa"/>
            <w:vAlign w:val="center"/>
          </w:tcPr>
          <w:p w14:paraId="79235D55">
            <w:pPr>
              <w:pStyle w:val="44"/>
              <w:rPr>
                <w:color w:val="auto"/>
              </w:rPr>
            </w:pPr>
          </w:p>
        </w:tc>
        <w:tc>
          <w:tcPr>
            <w:tcW w:w="720" w:type="dxa"/>
            <w:vAlign w:val="center"/>
          </w:tcPr>
          <w:p w14:paraId="528DF2E2">
            <w:pPr>
              <w:pStyle w:val="44"/>
              <w:rPr>
                <w:color w:val="auto"/>
              </w:rPr>
            </w:pPr>
          </w:p>
        </w:tc>
      </w:tr>
      <w:tr w14:paraId="5461E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trPr>
        <w:tc>
          <w:tcPr>
            <w:tcW w:w="539" w:type="dxa"/>
            <w:vAlign w:val="center"/>
          </w:tcPr>
          <w:p w14:paraId="7ED28C67">
            <w:pPr>
              <w:pStyle w:val="44"/>
              <w:rPr>
                <w:color w:val="auto"/>
              </w:rPr>
            </w:pPr>
            <w:r>
              <w:rPr>
                <w:color w:val="auto"/>
              </w:rPr>
              <w:t>2</w:t>
            </w:r>
          </w:p>
        </w:tc>
        <w:tc>
          <w:tcPr>
            <w:tcW w:w="543" w:type="dxa"/>
            <w:vMerge w:val="continue"/>
          </w:tcPr>
          <w:p w14:paraId="49A807F9">
            <w:pPr>
              <w:pStyle w:val="44"/>
              <w:rPr>
                <w:color w:val="auto"/>
              </w:rPr>
            </w:pPr>
          </w:p>
        </w:tc>
        <w:tc>
          <w:tcPr>
            <w:tcW w:w="898" w:type="dxa"/>
            <w:vAlign w:val="center"/>
          </w:tcPr>
          <w:p w14:paraId="18E5FFB6">
            <w:pPr>
              <w:pStyle w:val="44"/>
              <w:rPr>
                <w:color w:val="auto"/>
              </w:rPr>
            </w:pPr>
            <w:r>
              <w:rPr>
                <w:rFonts w:hint="eastAsia"/>
                <w:color w:val="auto"/>
              </w:rPr>
              <w:t>顶管设备</w:t>
            </w:r>
          </w:p>
        </w:tc>
        <w:tc>
          <w:tcPr>
            <w:tcW w:w="5564" w:type="dxa"/>
            <w:vAlign w:val="center"/>
          </w:tcPr>
          <w:p w14:paraId="17EF6DF6">
            <w:pPr>
              <w:pStyle w:val="44"/>
              <w:jc w:val="left"/>
              <w:rPr>
                <w:color w:val="auto"/>
              </w:rPr>
            </w:pPr>
            <w:r>
              <w:rPr>
                <w:color w:val="auto"/>
              </w:rPr>
              <w:t>1</w:t>
            </w:r>
            <w:r>
              <w:rPr>
                <w:rFonts w:hint="eastAsia"/>
                <w:color w:val="auto"/>
              </w:rPr>
              <w:t>）进场的顶管设备、配套设备和辅助系统无产品合格证、安装使用说明书，扣</w:t>
            </w:r>
            <w:r>
              <w:rPr>
                <w:color w:val="auto"/>
              </w:rPr>
              <w:t>10</w:t>
            </w:r>
            <w:r>
              <w:rPr>
                <w:rFonts w:hint="eastAsia"/>
                <w:color w:val="auto"/>
              </w:rPr>
              <w:t>分</w:t>
            </w:r>
          </w:p>
          <w:p w14:paraId="707EAEDF">
            <w:pPr>
              <w:pStyle w:val="44"/>
              <w:jc w:val="left"/>
              <w:rPr>
                <w:color w:val="auto"/>
              </w:rPr>
            </w:pPr>
            <w:r>
              <w:rPr>
                <w:color w:val="auto"/>
              </w:rPr>
              <w:t>2</w:t>
            </w:r>
            <w:r>
              <w:rPr>
                <w:rFonts w:hint="eastAsia"/>
                <w:color w:val="auto"/>
              </w:rPr>
              <w:t>）顶管设备的型号与管道的型号或水文地质条件不匹配，扣</w:t>
            </w:r>
            <w:r>
              <w:rPr>
                <w:color w:val="auto"/>
              </w:rPr>
              <w:t>5-10</w:t>
            </w:r>
            <w:r>
              <w:rPr>
                <w:rFonts w:hint="eastAsia"/>
                <w:color w:val="auto"/>
              </w:rPr>
              <w:t>分</w:t>
            </w:r>
          </w:p>
          <w:p w14:paraId="221684EF">
            <w:pPr>
              <w:pStyle w:val="44"/>
              <w:jc w:val="left"/>
              <w:rPr>
                <w:color w:val="auto"/>
              </w:rPr>
            </w:pPr>
            <w:r>
              <w:rPr>
                <w:color w:val="auto"/>
              </w:rPr>
              <w:t>3</w:t>
            </w:r>
            <w:r>
              <w:rPr>
                <w:rFonts w:hint="eastAsia"/>
                <w:color w:val="auto"/>
              </w:rPr>
              <w:t>）设备安装完毕后未进行试车直接进行顶进作业，扣</w:t>
            </w:r>
            <w:r>
              <w:rPr>
                <w:color w:val="auto"/>
              </w:rPr>
              <w:t>10</w:t>
            </w:r>
            <w:r>
              <w:rPr>
                <w:rFonts w:hint="eastAsia"/>
                <w:color w:val="auto"/>
              </w:rPr>
              <w:t>分</w:t>
            </w:r>
          </w:p>
          <w:p w14:paraId="1AA9C88D">
            <w:pPr>
              <w:pStyle w:val="44"/>
              <w:jc w:val="left"/>
              <w:rPr>
                <w:color w:val="auto"/>
              </w:rPr>
            </w:pPr>
            <w:r>
              <w:rPr>
                <w:color w:val="auto"/>
              </w:rPr>
              <w:t>4</w:t>
            </w:r>
            <w:r>
              <w:rPr>
                <w:rFonts w:hint="eastAsia"/>
                <w:color w:val="auto"/>
              </w:rPr>
              <w:t>）顶管设备安装、拆卸未按操作规程进行，扣</w:t>
            </w:r>
            <w:r>
              <w:rPr>
                <w:color w:val="auto"/>
              </w:rPr>
              <w:t>5-8</w:t>
            </w:r>
            <w:r>
              <w:rPr>
                <w:rFonts w:hint="eastAsia"/>
                <w:color w:val="auto"/>
              </w:rPr>
              <w:t>分</w:t>
            </w:r>
          </w:p>
          <w:p w14:paraId="75214956">
            <w:pPr>
              <w:pStyle w:val="44"/>
              <w:jc w:val="left"/>
              <w:rPr>
                <w:color w:val="auto"/>
              </w:rPr>
            </w:pPr>
            <w:r>
              <w:rPr>
                <w:color w:val="auto"/>
              </w:rPr>
              <w:t>5</w:t>
            </w:r>
            <w:r>
              <w:rPr>
                <w:rFonts w:hint="eastAsia"/>
                <w:color w:val="auto"/>
              </w:rPr>
              <w:t>）设备、装置在使用中未按规定定期检查、维修和保养，扣</w:t>
            </w:r>
            <w:r>
              <w:rPr>
                <w:color w:val="auto"/>
              </w:rPr>
              <w:t>5-8</w:t>
            </w:r>
            <w:r>
              <w:rPr>
                <w:rFonts w:hint="eastAsia"/>
                <w:color w:val="auto"/>
              </w:rPr>
              <w:t>分</w:t>
            </w:r>
          </w:p>
        </w:tc>
        <w:tc>
          <w:tcPr>
            <w:tcW w:w="736" w:type="dxa"/>
            <w:vAlign w:val="center"/>
          </w:tcPr>
          <w:p w14:paraId="747D2200">
            <w:pPr>
              <w:pStyle w:val="44"/>
              <w:rPr>
                <w:color w:val="auto"/>
              </w:rPr>
            </w:pPr>
            <w:r>
              <w:rPr>
                <w:color w:val="auto"/>
              </w:rPr>
              <w:t>10</w:t>
            </w:r>
          </w:p>
        </w:tc>
        <w:tc>
          <w:tcPr>
            <w:tcW w:w="720" w:type="dxa"/>
            <w:vAlign w:val="center"/>
          </w:tcPr>
          <w:p w14:paraId="3F8B8EA1">
            <w:pPr>
              <w:pStyle w:val="44"/>
              <w:rPr>
                <w:color w:val="auto"/>
              </w:rPr>
            </w:pPr>
          </w:p>
        </w:tc>
        <w:tc>
          <w:tcPr>
            <w:tcW w:w="720" w:type="dxa"/>
            <w:vAlign w:val="center"/>
          </w:tcPr>
          <w:p w14:paraId="0108E9E9">
            <w:pPr>
              <w:pStyle w:val="44"/>
              <w:rPr>
                <w:color w:val="auto"/>
              </w:rPr>
            </w:pPr>
          </w:p>
        </w:tc>
      </w:tr>
      <w:tr w14:paraId="6387C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6CD19B34">
            <w:pPr>
              <w:pStyle w:val="44"/>
              <w:rPr>
                <w:color w:val="auto"/>
              </w:rPr>
            </w:pPr>
            <w:r>
              <w:rPr>
                <w:color w:val="auto"/>
              </w:rPr>
              <w:t>3</w:t>
            </w:r>
          </w:p>
        </w:tc>
        <w:tc>
          <w:tcPr>
            <w:tcW w:w="543" w:type="dxa"/>
            <w:vMerge w:val="continue"/>
          </w:tcPr>
          <w:p w14:paraId="3FD29D9E">
            <w:pPr>
              <w:pStyle w:val="44"/>
              <w:rPr>
                <w:color w:val="auto"/>
              </w:rPr>
            </w:pPr>
          </w:p>
        </w:tc>
        <w:tc>
          <w:tcPr>
            <w:tcW w:w="898" w:type="dxa"/>
            <w:vAlign w:val="center"/>
          </w:tcPr>
          <w:p w14:paraId="1F80C531">
            <w:pPr>
              <w:pStyle w:val="44"/>
              <w:rPr>
                <w:color w:val="auto"/>
              </w:rPr>
            </w:pPr>
            <w:r>
              <w:rPr>
                <w:rFonts w:hint="eastAsia"/>
                <w:color w:val="auto"/>
              </w:rPr>
              <w:t>起重吊装</w:t>
            </w:r>
          </w:p>
        </w:tc>
        <w:tc>
          <w:tcPr>
            <w:tcW w:w="5564" w:type="dxa"/>
            <w:vAlign w:val="center"/>
          </w:tcPr>
          <w:p w14:paraId="051C6D97">
            <w:pPr>
              <w:pStyle w:val="44"/>
              <w:jc w:val="left"/>
              <w:rPr>
                <w:color w:val="auto"/>
              </w:rPr>
            </w:pPr>
            <w:r>
              <w:rPr>
                <w:color w:val="auto"/>
              </w:rPr>
              <w:t>1</w:t>
            </w:r>
            <w:r>
              <w:rPr>
                <w:rFonts w:hint="eastAsia"/>
                <w:color w:val="auto"/>
              </w:rPr>
              <w:t>）起重机械设备无制造许可证、产品合格证、备案证明和安装使用说明书，扣</w:t>
            </w:r>
            <w:r>
              <w:rPr>
                <w:color w:val="auto"/>
              </w:rPr>
              <w:t>10</w:t>
            </w:r>
            <w:r>
              <w:rPr>
                <w:rFonts w:hint="eastAsia"/>
                <w:color w:val="auto"/>
              </w:rPr>
              <w:t>分</w:t>
            </w:r>
          </w:p>
          <w:p w14:paraId="095B7785">
            <w:pPr>
              <w:pStyle w:val="44"/>
              <w:jc w:val="left"/>
              <w:rPr>
                <w:color w:val="auto"/>
              </w:rPr>
            </w:pPr>
            <w:r>
              <w:rPr>
                <w:color w:val="auto"/>
              </w:rPr>
              <w:t>2</w:t>
            </w:r>
            <w:r>
              <w:rPr>
                <w:rFonts w:hint="eastAsia"/>
                <w:color w:val="auto"/>
              </w:rPr>
              <w:t>）起重设备使用前未按规定进行验收，或未办理起重机械使用登记，扣</w:t>
            </w:r>
            <w:r>
              <w:rPr>
                <w:color w:val="auto"/>
              </w:rPr>
              <w:t>10</w:t>
            </w:r>
            <w:r>
              <w:rPr>
                <w:rFonts w:hint="eastAsia"/>
                <w:color w:val="auto"/>
              </w:rPr>
              <w:t>分</w:t>
            </w:r>
          </w:p>
          <w:p w14:paraId="6CB05AC2">
            <w:pPr>
              <w:pStyle w:val="44"/>
              <w:jc w:val="left"/>
              <w:rPr>
                <w:color w:val="auto"/>
              </w:rPr>
            </w:pPr>
            <w:r>
              <w:rPr>
                <w:color w:val="auto"/>
              </w:rPr>
              <w:t>3</w:t>
            </w:r>
            <w:r>
              <w:rPr>
                <w:rFonts w:hint="eastAsia"/>
                <w:color w:val="auto"/>
              </w:rPr>
              <w:t>）起重设备的安全装置不齐全或不灵敏可靠，扣</w:t>
            </w:r>
            <w:r>
              <w:rPr>
                <w:color w:val="auto"/>
              </w:rPr>
              <w:t>5-10</w:t>
            </w:r>
            <w:r>
              <w:rPr>
                <w:rFonts w:hint="eastAsia"/>
                <w:color w:val="auto"/>
              </w:rPr>
              <w:t>分</w:t>
            </w:r>
          </w:p>
          <w:p w14:paraId="14152CEB">
            <w:pPr>
              <w:pStyle w:val="44"/>
              <w:jc w:val="left"/>
              <w:rPr>
                <w:color w:val="auto"/>
              </w:rPr>
            </w:pPr>
            <w:r>
              <w:rPr>
                <w:color w:val="auto"/>
              </w:rPr>
              <w:t>4</w:t>
            </w:r>
            <w:r>
              <w:rPr>
                <w:rFonts w:hint="eastAsia"/>
                <w:color w:val="auto"/>
              </w:rPr>
              <w:t>）起重机械的钢丝绳、卷筒、滑轮欠完好，扣</w:t>
            </w:r>
            <w:r>
              <w:rPr>
                <w:color w:val="auto"/>
              </w:rPr>
              <w:t>5-8</w:t>
            </w:r>
            <w:r>
              <w:rPr>
                <w:rFonts w:hint="eastAsia"/>
                <w:color w:val="auto"/>
              </w:rPr>
              <w:t>分</w:t>
            </w:r>
          </w:p>
          <w:p w14:paraId="017B891C">
            <w:pPr>
              <w:pStyle w:val="44"/>
              <w:jc w:val="left"/>
              <w:rPr>
                <w:color w:val="auto"/>
              </w:rPr>
            </w:pPr>
            <w:r>
              <w:rPr>
                <w:color w:val="auto"/>
              </w:rPr>
              <w:t>5</w:t>
            </w:r>
            <w:r>
              <w:rPr>
                <w:rFonts w:hint="eastAsia"/>
                <w:color w:val="auto"/>
              </w:rPr>
              <w:t>）起重作业前未进行试吊，扣</w:t>
            </w:r>
            <w:r>
              <w:rPr>
                <w:color w:val="auto"/>
              </w:rPr>
              <w:t>5-8</w:t>
            </w:r>
            <w:r>
              <w:rPr>
                <w:rFonts w:hint="eastAsia"/>
                <w:color w:val="auto"/>
              </w:rPr>
              <w:t>分</w:t>
            </w:r>
          </w:p>
          <w:p w14:paraId="6A102D7B">
            <w:pPr>
              <w:pStyle w:val="44"/>
              <w:jc w:val="left"/>
              <w:rPr>
                <w:color w:val="auto"/>
              </w:rPr>
            </w:pPr>
            <w:r>
              <w:rPr>
                <w:color w:val="auto"/>
              </w:rPr>
              <w:t>6</w:t>
            </w:r>
            <w:r>
              <w:rPr>
                <w:rFonts w:hint="eastAsia"/>
                <w:color w:val="auto"/>
              </w:rPr>
              <w:t>）下管时未穿保险钢丝绳，扣</w:t>
            </w:r>
            <w:r>
              <w:rPr>
                <w:color w:val="auto"/>
              </w:rPr>
              <w:t>5-8</w:t>
            </w:r>
            <w:r>
              <w:rPr>
                <w:rFonts w:hint="eastAsia"/>
                <w:color w:val="auto"/>
              </w:rPr>
              <w:t>分</w:t>
            </w:r>
          </w:p>
          <w:p w14:paraId="31CBF2F8">
            <w:pPr>
              <w:pStyle w:val="44"/>
              <w:jc w:val="left"/>
              <w:rPr>
                <w:color w:val="auto"/>
              </w:rPr>
            </w:pPr>
            <w:r>
              <w:rPr>
                <w:color w:val="auto"/>
              </w:rPr>
              <w:t>7</w:t>
            </w:r>
            <w:r>
              <w:rPr>
                <w:rFonts w:hint="eastAsia"/>
                <w:color w:val="auto"/>
              </w:rPr>
              <w:t>）起重机械与架空线路安全距离不符合标准要求，扣</w:t>
            </w:r>
            <w:r>
              <w:rPr>
                <w:color w:val="auto"/>
              </w:rPr>
              <w:t>2-5</w:t>
            </w:r>
            <w:r>
              <w:rPr>
                <w:rFonts w:hint="eastAsia"/>
                <w:color w:val="auto"/>
              </w:rPr>
              <w:t>分</w:t>
            </w:r>
          </w:p>
          <w:p w14:paraId="5864F32E">
            <w:pPr>
              <w:pStyle w:val="44"/>
              <w:jc w:val="left"/>
              <w:rPr>
                <w:color w:val="auto"/>
              </w:rPr>
            </w:pPr>
            <w:r>
              <w:rPr>
                <w:color w:val="auto"/>
              </w:rPr>
              <w:t>8</w:t>
            </w:r>
            <w:r>
              <w:rPr>
                <w:rFonts w:hint="eastAsia"/>
                <w:color w:val="auto"/>
              </w:rPr>
              <w:t>）起重机械操作人员未取得特种作业资格证书，扣</w:t>
            </w:r>
            <w:r>
              <w:rPr>
                <w:color w:val="auto"/>
              </w:rPr>
              <w:t>10</w:t>
            </w:r>
            <w:r>
              <w:rPr>
                <w:rFonts w:hint="eastAsia"/>
                <w:color w:val="auto"/>
              </w:rPr>
              <w:t>分；</w:t>
            </w:r>
          </w:p>
          <w:p w14:paraId="531735DC">
            <w:pPr>
              <w:pStyle w:val="44"/>
              <w:jc w:val="left"/>
              <w:rPr>
                <w:color w:val="auto"/>
              </w:rPr>
            </w:pPr>
            <w:r>
              <w:rPr>
                <w:color w:val="auto"/>
              </w:rPr>
              <w:t>9</w:t>
            </w:r>
            <w:r>
              <w:rPr>
                <w:rFonts w:hint="eastAsia"/>
                <w:color w:val="auto"/>
              </w:rPr>
              <w:t>）起重机械超负荷使用，扣</w:t>
            </w:r>
            <w:r>
              <w:rPr>
                <w:color w:val="auto"/>
              </w:rPr>
              <w:t>10</w:t>
            </w:r>
            <w:r>
              <w:rPr>
                <w:rFonts w:hint="eastAsia"/>
                <w:color w:val="auto"/>
              </w:rPr>
              <w:t>分</w:t>
            </w:r>
          </w:p>
          <w:p w14:paraId="59452012">
            <w:pPr>
              <w:pStyle w:val="44"/>
              <w:jc w:val="left"/>
              <w:rPr>
                <w:color w:val="auto"/>
              </w:rPr>
            </w:pPr>
            <w:r>
              <w:rPr>
                <w:color w:val="auto"/>
              </w:rPr>
              <w:t>10</w:t>
            </w:r>
            <w:r>
              <w:rPr>
                <w:rFonts w:hint="eastAsia"/>
                <w:color w:val="auto"/>
              </w:rPr>
              <w:t>）起重臂及吊物下有人员作业、停留或通行，扣</w:t>
            </w:r>
            <w:r>
              <w:rPr>
                <w:color w:val="auto"/>
              </w:rPr>
              <w:t>10</w:t>
            </w:r>
            <w:r>
              <w:rPr>
                <w:rFonts w:hint="eastAsia"/>
                <w:color w:val="auto"/>
              </w:rPr>
              <w:t>分</w:t>
            </w:r>
          </w:p>
        </w:tc>
        <w:tc>
          <w:tcPr>
            <w:tcW w:w="736" w:type="dxa"/>
            <w:vAlign w:val="center"/>
          </w:tcPr>
          <w:p w14:paraId="49088394">
            <w:pPr>
              <w:pStyle w:val="44"/>
              <w:rPr>
                <w:color w:val="auto"/>
              </w:rPr>
            </w:pPr>
            <w:r>
              <w:rPr>
                <w:color w:val="auto"/>
              </w:rPr>
              <w:t>10</w:t>
            </w:r>
          </w:p>
        </w:tc>
        <w:tc>
          <w:tcPr>
            <w:tcW w:w="720" w:type="dxa"/>
            <w:vAlign w:val="center"/>
          </w:tcPr>
          <w:p w14:paraId="4E47F075">
            <w:pPr>
              <w:pStyle w:val="44"/>
              <w:rPr>
                <w:color w:val="auto"/>
              </w:rPr>
            </w:pPr>
          </w:p>
        </w:tc>
        <w:tc>
          <w:tcPr>
            <w:tcW w:w="720" w:type="dxa"/>
            <w:vAlign w:val="center"/>
          </w:tcPr>
          <w:p w14:paraId="159500E1">
            <w:pPr>
              <w:pStyle w:val="44"/>
              <w:rPr>
                <w:color w:val="auto"/>
              </w:rPr>
            </w:pPr>
          </w:p>
        </w:tc>
      </w:tr>
      <w:tr w14:paraId="3A9D7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1C1F8249">
            <w:pPr>
              <w:pStyle w:val="44"/>
              <w:rPr>
                <w:color w:val="auto"/>
              </w:rPr>
            </w:pPr>
            <w:r>
              <w:rPr>
                <w:color w:val="auto"/>
              </w:rPr>
              <w:t>4</w:t>
            </w:r>
          </w:p>
        </w:tc>
        <w:tc>
          <w:tcPr>
            <w:tcW w:w="543" w:type="dxa"/>
            <w:vMerge w:val="continue"/>
          </w:tcPr>
          <w:p w14:paraId="4DBFC8E5">
            <w:pPr>
              <w:pStyle w:val="44"/>
              <w:rPr>
                <w:color w:val="auto"/>
              </w:rPr>
            </w:pPr>
          </w:p>
        </w:tc>
        <w:tc>
          <w:tcPr>
            <w:tcW w:w="898" w:type="dxa"/>
            <w:vAlign w:val="center"/>
          </w:tcPr>
          <w:p w14:paraId="4551F67D">
            <w:pPr>
              <w:pStyle w:val="44"/>
              <w:rPr>
                <w:color w:val="auto"/>
              </w:rPr>
            </w:pPr>
            <w:r>
              <w:rPr>
                <w:rFonts w:hint="eastAsia"/>
                <w:color w:val="auto"/>
              </w:rPr>
              <w:t>工作井</w:t>
            </w:r>
          </w:p>
        </w:tc>
        <w:tc>
          <w:tcPr>
            <w:tcW w:w="5564" w:type="dxa"/>
            <w:vAlign w:val="center"/>
          </w:tcPr>
          <w:p w14:paraId="081A75FC">
            <w:pPr>
              <w:pStyle w:val="44"/>
              <w:jc w:val="left"/>
              <w:rPr>
                <w:color w:val="auto"/>
              </w:rPr>
            </w:pPr>
            <w:r>
              <w:rPr>
                <w:color w:val="auto"/>
              </w:rPr>
              <w:t>1</w:t>
            </w:r>
            <w:r>
              <w:rPr>
                <w:rFonts w:hint="eastAsia"/>
                <w:color w:val="auto"/>
              </w:rPr>
              <w:t>）工作井结构不符合设计和专项施工方案的要求，或不满足井壁支护及承受顶管推进后座力的要求，扣</w:t>
            </w:r>
            <w:r>
              <w:rPr>
                <w:color w:val="auto"/>
              </w:rPr>
              <w:t>5-10</w:t>
            </w:r>
            <w:r>
              <w:rPr>
                <w:rFonts w:hint="eastAsia"/>
                <w:color w:val="auto"/>
              </w:rPr>
              <w:t>分</w:t>
            </w:r>
          </w:p>
          <w:p w14:paraId="269DA26C">
            <w:pPr>
              <w:pStyle w:val="44"/>
              <w:jc w:val="left"/>
              <w:rPr>
                <w:color w:val="auto"/>
              </w:rPr>
            </w:pPr>
            <w:r>
              <w:rPr>
                <w:color w:val="auto"/>
              </w:rPr>
              <w:t>2</w:t>
            </w:r>
            <w:r>
              <w:rPr>
                <w:rFonts w:hint="eastAsia"/>
                <w:color w:val="auto"/>
              </w:rPr>
              <w:t>）单向顶管的始发井未设置在下游一侧，扣</w:t>
            </w:r>
            <w:r>
              <w:rPr>
                <w:color w:val="auto"/>
              </w:rPr>
              <w:t>2</w:t>
            </w:r>
            <w:r>
              <w:rPr>
                <w:rFonts w:hint="eastAsia"/>
                <w:color w:val="auto"/>
              </w:rPr>
              <w:t>分</w:t>
            </w:r>
          </w:p>
          <w:p w14:paraId="6467A030">
            <w:pPr>
              <w:pStyle w:val="44"/>
              <w:jc w:val="left"/>
              <w:rPr>
                <w:color w:val="auto"/>
              </w:rPr>
            </w:pPr>
            <w:r>
              <w:rPr>
                <w:color w:val="auto"/>
              </w:rPr>
              <w:t>3</w:t>
            </w:r>
            <w:r>
              <w:rPr>
                <w:rFonts w:hint="eastAsia"/>
                <w:color w:val="auto"/>
              </w:rPr>
              <w:t>）工作井施工未遵循“开槽支撑、先撑后挖、分层开挖、严禁超挖”的原则，扣</w:t>
            </w:r>
            <w:r>
              <w:rPr>
                <w:color w:val="auto"/>
              </w:rPr>
              <w:t>2-10</w:t>
            </w:r>
            <w:r>
              <w:rPr>
                <w:rFonts w:hint="eastAsia"/>
                <w:color w:val="auto"/>
              </w:rPr>
              <w:t>分</w:t>
            </w:r>
          </w:p>
          <w:p w14:paraId="7BE136A5">
            <w:pPr>
              <w:pStyle w:val="44"/>
              <w:jc w:val="left"/>
              <w:rPr>
                <w:color w:val="auto"/>
              </w:rPr>
            </w:pPr>
            <w:r>
              <w:rPr>
                <w:color w:val="auto"/>
              </w:rPr>
              <w:t>4</w:t>
            </w:r>
            <w:r>
              <w:rPr>
                <w:rFonts w:hint="eastAsia"/>
                <w:color w:val="auto"/>
              </w:rPr>
              <w:t>）工作井周边堆载超过支护设计允许范围，或机械设备施工与井边的安全距离不符合设计要求，扣</w:t>
            </w:r>
            <w:r>
              <w:rPr>
                <w:color w:val="auto"/>
              </w:rPr>
              <w:t>10</w:t>
            </w:r>
            <w:r>
              <w:rPr>
                <w:rFonts w:hint="eastAsia"/>
                <w:color w:val="auto"/>
              </w:rPr>
              <w:t>分</w:t>
            </w:r>
          </w:p>
          <w:p w14:paraId="4A9E58D7">
            <w:pPr>
              <w:pStyle w:val="44"/>
              <w:jc w:val="left"/>
              <w:rPr>
                <w:color w:val="auto"/>
              </w:rPr>
            </w:pPr>
            <w:r>
              <w:rPr>
                <w:color w:val="auto"/>
              </w:rPr>
              <w:t>5</w:t>
            </w:r>
            <w:r>
              <w:rPr>
                <w:rFonts w:hint="eastAsia"/>
                <w:color w:val="auto"/>
              </w:rPr>
              <w:t>）后背墙的尺寸、材料、构造不符合设计和专项施工方案的规定，或其强度和刚度不满足顶管最大允许顶力和设计要求，扣</w:t>
            </w:r>
            <w:r>
              <w:rPr>
                <w:color w:val="auto"/>
              </w:rPr>
              <w:t>5-10</w:t>
            </w:r>
            <w:r>
              <w:rPr>
                <w:rFonts w:hint="eastAsia"/>
                <w:color w:val="auto"/>
              </w:rPr>
              <w:t>分</w:t>
            </w:r>
          </w:p>
          <w:p w14:paraId="38D62EC5">
            <w:pPr>
              <w:pStyle w:val="44"/>
              <w:jc w:val="left"/>
              <w:rPr>
                <w:color w:val="auto"/>
              </w:rPr>
            </w:pPr>
            <w:r>
              <w:rPr>
                <w:color w:val="auto"/>
              </w:rPr>
              <w:t>6</w:t>
            </w:r>
            <w:r>
              <w:rPr>
                <w:rFonts w:hint="eastAsia"/>
                <w:color w:val="auto"/>
              </w:rPr>
              <w:t>）后背墙平面与掘进轴线不垂直，或表面不平整坚实，扣</w:t>
            </w:r>
            <w:r>
              <w:rPr>
                <w:color w:val="auto"/>
              </w:rPr>
              <w:t>5-10</w:t>
            </w:r>
            <w:r>
              <w:rPr>
                <w:rFonts w:hint="eastAsia"/>
                <w:color w:val="auto"/>
              </w:rPr>
              <w:t>分</w:t>
            </w:r>
          </w:p>
          <w:p w14:paraId="79F5EF45">
            <w:pPr>
              <w:pStyle w:val="44"/>
              <w:jc w:val="left"/>
              <w:rPr>
                <w:color w:val="auto"/>
              </w:rPr>
            </w:pPr>
            <w:r>
              <w:rPr>
                <w:color w:val="auto"/>
              </w:rPr>
              <w:t>7</w:t>
            </w:r>
            <w:r>
              <w:rPr>
                <w:rFonts w:hint="eastAsia"/>
                <w:color w:val="auto"/>
              </w:rPr>
              <w:t>）进出洞口的土体未按设计和专项施工方案的要求进行加固处理</w:t>
            </w:r>
          </w:p>
        </w:tc>
        <w:tc>
          <w:tcPr>
            <w:tcW w:w="736" w:type="dxa"/>
            <w:vAlign w:val="center"/>
          </w:tcPr>
          <w:p w14:paraId="3C3E95A8">
            <w:pPr>
              <w:pStyle w:val="44"/>
              <w:rPr>
                <w:color w:val="auto"/>
              </w:rPr>
            </w:pPr>
            <w:r>
              <w:rPr>
                <w:color w:val="auto"/>
              </w:rPr>
              <w:t>10</w:t>
            </w:r>
          </w:p>
        </w:tc>
        <w:tc>
          <w:tcPr>
            <w:tcW w:w="720" w:type="dxa"/>
            <w:vAlign w:val="center"/>
          </w:tcPr>
          <w:p w14:paraId="6D980B29">
            <w:pPr>
              <w:pStyle w:val="44"/>
              <w:rPr>
                <w:color w:val="auto"/>
              </w:rPr>
            </w:pPr>
          </w:p>
        </w:tc>
        <w:tc>
          <w:tcPr>
            <w:tcW w:w="720" w:type="dxa"/>
            <w:vAlign w:val="center"/>
          </w:tcPr>
          <w:p w14:paraId="15DB4611">
            <w:pPr>
              <w:pStyle w:val="44"/>
              <w:rPr>
                <w:color w:val="auto"/>
              </w:rPr>
            </w:pPr>
          </w:p>
        </w:tc>
      </w:tr>
      <w:tr w14:paraId="18AA1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trPr>
        <w:tc>
          <w:tcPr>
            <w:tcW w:w="539" w:type="dxa"/>
            <w:vAlign w:val="center"/>
          </w:tcPr>
          <w:p w14:paraId="67DE0EF8">
            <w:pPr>
              <w:pStyle w:val="44"/>
              <w:rPr>
                <w:color w:val="auto"/>
              </w:rPr>
            </w:pPr>
            <w:r>
              <w:rPr>
                <w:color w:val="auto"/>
              </w:rPr>
              <w:t>5</w:t>
            </w:r>
          </w:p>
        </w:tc>
        <w:tc>
          <w:tcPr>
            <w:tcW w:w="543" w:type="dxa"/>
            <w:vMerge w:val="continue"/>
          </w:tcPr>
          <w:p w14:paraId="6F5ACC0D">
            <w:pPr>
              <w:pStyle w:val="44"/>
              <w:rPr>
                <w:color w:val="auto"/>
              </w:rPr>
            </w:pPr>
          </w:p>
        </w:tc>
        <w:tc>
          <w:tcPr>
            <w:tcW w:w="898" w:type="dxa"/>
            <w:vAlign w:val="center"/>
          </w:tcPr>
          <w:p w14:paraId="6910033F">
            <w:pPr>
              <w:pStyle w:val="44"/>
              <w:rPr>
                <w:color w:val="auto"/>
              </w:rPr>
            </w:pPr>
            <w:r>
              <w:rPr>
                <w:rFonts w:hint="eastAsia"/>
                <w:color w:val="auto"/>
              </w:rPr>
              <w:t>顶进</w:t>
            </w:r>
          </w:p>
        </w:tc>
        <w:tc>
          <w:tcPr>
            <w:tcW w:w="5564" w:type="dxa"/>
            <w:vAlign w:val="center"/>
          </w:tcPr>
          <w:p w14:paraId="785525CC">
            <w:pPr>
              <w:pStyle w:val="44"/>
              <w:jc w:val="left"/>
              <w:rPr>
                <w:color w:val="auto"/>
              </w:rPr>
            </w:pPr>
            <w:r>
              <w:rPr>
                <w:color w:val="auto"/>
              </w:rPr>
              <w:t>1</w:t>
            </w:r>
            <w:r>
              <w:rPr>
                <w:rFonts w:hint="eastAsia"/>
                <w:color w:val="auto"/>
              </w:rPr>
              <w:t>）顶管施工前未对施工沿线的建（构）筑物、地下管线和地下障碍物的情况进行踏勘；扣</w:t>
            </w:r>
            <w:r>
              <w:rPr>
                <w:color w:val="auto"/>
              </w:rPr>
              <w:t>20</w:t>
            </w:r>
            <w:r>
              <w:rPr>
                <w:rFonts w:hint="eastAsia"/>
                <w:color w:val="auto"/>
              </w:rPr>
              <w:t>分</w:t>
            </w:r>
          </w:p>
          <w:p w14:paraId="4EC93D44">
            <w:pPr>
              <w:pStyle w:val="44"/>
              <w:jc w:val="left"/>
              <w:rPr>
                <w:color w:val="auto"/>
              </w:rPr>
            </w:pPr>
            <w:r>
              <w:rPr>
                <w:color w:val="auto"/>
              </w:rPr>
              <w:t>2</w:t>
            </w:r>
            <w:r>
              <w:rPr>
                <w:rFonts w:hint="eastAsia"/>
                <w:color w:val="auto"/>
              </w:rPr>
              <w:t>）施工前未对后背土体进行允许抗力验算或验算不满足要求时未对后背土体采取有效加固措施，扣</w:t>
            </w:r>
            <w:r>
              <w:rPr>
                <w:color w:val="auto"/>
              </w:rPr>
              <w:t>5-10</w:t>
            </w:r>
            <w:r>
              <w:rPr>
                <w:rFonts w:hint="eastAsia"/>
                <w:color w:val="auto"/>
              </w:rPr>
              <w:t>分</w:t>
            </w:r>
          </w:p>
          <w:p w14:paraId="155AAAE2">
            <w:pPr>
              <w:pStyle w:val="44"/>
              <w:jc w:val="left"/>
              <w:rPr>
                <w:color w:val="auto"/>
              </w:rPr>
            </w:pPr>
            <w:r>
              <w:rPr>
                <w:color w:val="auto"/>
              </w:rPr>
              <w:t>3</w:t>
            </w:r>
            <w:r>
              <w:rPr>
                <w:rFonts w:hint="eastAsia"/>
                <w:color w:val="auto"/>
              </w:rPr>
              <w:t>）顶进装置安装轴线与管道轴线不平行或不对称，扣</w:t>
            </w:r>
            <w:r>
              <w:rPr>
                <w:color w:val="auto"/>
              </w:rPr>
              <w:t>10-20</w:t>
            </w:r>
            <w:r>
              <w:rPr>
                <w:rFonts w:hint="eastAsia"/>
                <w:color w:val="auto"/>
              </w:rPr>
              <w:t>分</w:t>
            </w:r>
          </w:p>
          <w:p w14:paraId="6CE0DE09">
            <w:pPr>
              <w:pStyle w:val="44"/>
              <w:jc w:val="left"/>
              <w:rPr>
                <w:color w:val="auto"/>
              </w:rPr>
            </w:pPr>
            <w:r>
              <w:rPr>
                <w:color w:val="auto"/>
              </w:rPr>
              <w:t>4</w:t>
            </w:r>
            <w:r>
              <w:rPr>
                <w:rFonts w:hint="eastAsia"/>
                <w:color w:val="auto"/>
              </w:rPr>
              <w:t>）顶铁在导轨上滑动不平稳或有阻滞现象，扣</w:t>
            </w:r>
            <w:r>
              <w:rPr>
                <w:color w:val="auto"/>
              </w:rPr>
              <w:t>5-10</w:t>
            </w:r>
            <w:r>
              <w:rPr>
                <w:rFonts w:hint="eastAsia"/>
                <w:color w:val="auto"/>
              </w:rPr>
              <w:t>分</w:t>
            </w:r>
          </w:p>
          <w:p w14:paraId="1F257650">
            <w:pPr>
              <w:pStyle w:val="44"/>
              <w:jc w:val="left"/>
              <w:rPr>
                <w:color w:val="auto"/>
              </w:rPr>
            </w:pPr>
            <w:r>
              <w:rPr>
                <w:color w:val="auto"/>
              </w:rPr>
              <w:t>5</w:t>
            </w:r>
            <w:r>
              <w:rPr>
                <w:rFonts w:hint="eastAsia"/>
                <w:color w:val="auto"/>
              </w:rPr>
              <w:t>）顶进作业时作业人员停留在顶铁上方及侧面等危险区域，扣</w:t>
            </w:r>
            <w:r>
              <w:rPr>
                <w:color w:val="auto"/>
              </w:rPr>
              <w:t>2-5</w:t>
            </w:r>
            <w:r>
              <w:rPr>
                <w:rFonts w:hint="eastAsia"/>
                <w:color w:val="auto"/>
              </w:rPr>
              <w:t>分</w:t>
            </w:r>
          </w:p>
          <w:p w14:paraId="7E2237C3">
            <w:pPr>
              <w:pStyle w:val="44"/>
              <w:jc w:val="left"/>
              <w:rPr>
                <w:color w:val="auto"/>
              </w:rPr>
            </w:pPr>
            <w:r>
              <w:rPr>
                <w:color w:val="auto"/>
              </w:rPr>
              <w:t>6</w:t>
            </w:r>
            <w:r>
              <w:rPr>
                <w:rFonts w:hint="eastAsia"/>
                <w:color w:val="auto"/>
              </w:rPr>
              <w:t>）千斤顶和油表未配套使用或混用，扣</w:t>
            </w:r>
            <w:r>
              <w:rPr>
                <w:color w:val="auto"/>
              </w:rPr>
              <w:t>5-10</w:t>
            </w:r>
            <w:r>
              <w:rPr>
                <w:rFonts w:hint="eastAsia"/>
                <w:color w:val="auto"/>
              </w:rPr>
              <w:t>分</w:t>
            </w:r>
          </w:p>
          <w:p w14:paraId="50BA2083">
            <w:pPr>
              <w:pStyle w:val="44"/>
              <w:jc w:val="left"/>
              <w:rPr>
                <w:color w:val="auto"/>
              </w:rPr>
            </w:pPr>
            <w:r>
              <w:rPr>
                <w:color w:val="auto"/>
              </w:rPr>
              <w:t>7</w:t>
            </w:r>
            <w:r>
              <w:rPr>
                <w:rFonts w:hint="eastAsia"/>
                <w:color w:val="auto"/>
              </w:rPr>
              <w:t>）顶进中发现油压突然增高未及时停止施工，扣</w:t>
            </w:r>
            <w:r>
              <w:rPr>
                <w:color w:val="auto"/>
              </w:rPr>
              <w:t>5-10</w:t>
            </w:r>
            <w:r>
              <w:rPr>
                <w:rFonts w:hint="eastAsia"/>
                <w:color w:val="auto"/>
              </w:rPr>
              <w:t>分</w:t>
            </w:r>
          </w:p>
          <w:p w14:paraId="65176C17">
            <w:pPr>
              <w:pStyle w:val="44"/>
              <w:jc w:val="left"/>
              <w:rPr>
                <w:color w:val="auto"/>
              </w:rPr>
            </w:pPr>
            <w:r>
              <w:rPr>
                <w:color w:val="auto"/>
              </w:rPr>
              <w:t>8</w:t>
            </w:r>
            <w:r>
              <w:rPr>
                <w:rFonts w:hint="eastAsia"/>
                <w:color w:val="auto"/>
              </w:rPr>
              <w:t>）千斤顶活塞退回时油压过大，速度过快，扣</w:t>
            </w:r>
            <w:r>
              <w:rPr>
                <w:color w:val="auto"/>
              </w:rPr>
              <w:t>5-10</w:t>
            </w:r>
            <w:r>
              <w:rPr>
                <w:rFonts w:hint="eastAsia"/>
                <w:color w:val="auto"/>
              </w:rPr>
              <w:t>分</w:t>
            </w:r>
          </w:p>
          <w:p w14:paraId="12769537">
            <w:pPr>
              <w:pStyle w:val="44"/>
              <w:jc w:val="left"/>
              <w:rPr>
                <w:color w:val="auto"/>
              </w:rPr>
            </w:pPr>
            <w:r>
              <w:rPr>
                <w:color w:val="auto"/>
              </w:rPr>
              <w:t>9</w:t>
            </w:r>
            <w:r>
              <w:rPr>
                <w:rFonts w:hint="eastAsia"/>
                <w:color w:val="auto"/>
              </w:rPr>
              <w:t>）手掘式顶管时，挖土人员走出工具管前面进行作业，扣</w:t>
            </w:r>
            <w:r>
              <w:rPr>
                <w:color w:val="auto"/>
              </w:rPr>
              <w:t>20</w:t>
            </w:r>
            <w:r>
              <w:rPr>
                <w:rFonts w:hint="eastAsia"/>
                <w:color w:val="auto"/>
              </w:rPr>
              <w:t>分</w:t>
            </w:r>
          </w:p>
          <w:p w14:paraId="624BB800">
            <w:pPr>
              <w:pStyle w:val="44"/>
              <w:jc w:val="left"/>
              <w:rPr>
                <w:color w:val="auto"/>
              </w:rPr>
            </w:pPr>
            <w:r>
              <w:rPr>
                <w:color w:val="auto"/>
              </w:rPr>
              <w:t>10</w:t>
            </w:r>
            <w:r>
              <w:rPr>
                <w:rFonts w:hint="eastAsia"/>
                <w:color w:val="auto"/>
              </w:rPr>
              <w:t>）一次顶进距离大于</w:t>
            </w:r>
            <w:r>
              <w:rPr>
                <w:color w:val="auto"/>
              </w:rPr>
              <w:t>100m</w:t>
            </w:r>
            <w:r>
              <w:rPr>
                <w:rFonts w:hint="eastAsia"/>
                <w:color w:val="auto"/>
              </w:rPr>
              <w:t>时，未采用中继间技术，扣</w:t>
            </w:r>
            <w:r>
              <w:rPr>
                <w:color w:val="auto"/>
              </w:rPr>
              <w:t>5</w:t>
            </w:r>
            <w:r>
              <w:rPr>
                <w:rFonts w:hint="eastAsia"/>
                <w:color w:val="auto"/>
              </w:rPr>
              <w:t>分</w:t>
            </w:r>
          </w:p>
          <w:p w14:paraId="20B9FD73">
            <w:pPr>
              <w:pStyle w:val="44"/>
              <w:jc w:val="left"/>
              <w:rPr>
                <w:color w:val="auto"/>
              </w:rPr>
            </w:pPr>
            <w:r>
              <w:rPr>
                <w:color w:val="auto"/>
              </w:rPr>
              <w:t>11</w:t>
            </w:r>
            <w:r>
              <w:rPr>
                <w:rFonts w:hint="eastAsia"/>
                <w:color w:val="auto"/>
              </w:rPr>
              <w:t>）顶管作业未建立交接班制度或记录不完整，扣</w:t>
            </w:r>
            <w:r>
              <w:rPr>
                <w:color w:val="auto"/>
              </w:rPr>
              <w:t>3-6</w:t>
            </w:r>
            <w:r>
              <w:rPr>
                <w:rFonts w:hint="eastAsia"/>
                <w:color w:val="auto"/>
              </w:rPr>
              <w:t>分</w:t>
            </w:r>
          </w:p>
        </w:tc>
        <w:tc>
          <w:tcPr>
            <w:tcW w:w="736" w:type="dxa"/>
            <w:vAlign w:val="center"/>
          </w:tcPr>
          <w:p w14:paraId="56DC7DDF">
            <w:pPr>
              <w:pStyle w:val="44"/>
              <w:rPr>
                <w:color w:val="auto"/>
              </w:rPr>
            </w:pPr>
            <w:r>
              <w:rPr>
                <w:color w:val="auto"/>
              </w:rPr>
              <w:t>20</w:t>
            </w:r>
          </w:p>
        </w:tc>
        <w:tc>
          <w:tcPr>
            <w:tcW w:w="720" w:type="dxa"/>
            <w:vAlign w:val="center"/>
          </w:tcPr>
          <w:p w14:paraId="4BBF396C">
            <w:pPr>
              <w:pStyle w:val="44"/>
              <w:rPr>
                <w:color w:val="auto"/>
              </w:rPr>
            </w:pPr>
          </w:p>
        </w:tc>
        <w:tc>
          <w:tcPr>
            <w:tcW w:w="720" w:type="dxa"/>
            <w:vAlign w:val="center"/>
          </w:tcPr>
          <w:p w14:paraId="1FBA91DE">
            <w:pPr>
              <w:pStyle w:val="44"/>
              <w:rPr>
                <w:color w:val="auto"/>
              </w:rPr>
            </w:pPr>
          </w:p>
        </w:tc>
      </w:tr>
      <w:tr w14:paraId="5C64A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trPr>
        <w:tc>
          <w:tcPr>
            <w:tcW w:w="539" w:type="dxa"/>
            <w:vAlign w:val="center"/>
          </w:tcPr>
          <w:p w14:paraId="154B3D59">
            <w:pPr>
              <w:pStyle w:val="44"/>
              <w:rPr>
                <w:color w:val="auto"/>
              </w:rPr>
            </w:pPr>
            <w:r>
              <w:rPr>
                <w:color w:val="auto"/>
              </w:rPr>
              <w:t>6</w:t>
            </w:r>
          </w:p>
        </w:tc>
        <w:tc>
          <w:tcPr>
            <w:tcW w:w="543" w:type="dxa"/>
            <w:vMerge w:val="continue"/>
            <w:vAlign w:val="center"/>
          </w:tcPr>
          <w:p w14:paraId="4C90A426">
            <w:pPr>
              <w:pStyle w:val="44"/>
              <w:rPr>
                <w:color w:val="auto"/>
              </w:rPr>
            </w:pPr>
          </w:p>
        </w:tc>
        <w:tc>
          <w:tcPr>
            <w:tcW w:w="898" w:type="dxa"/>
            <w:vAlign w:val="center"/>
          </w:tcPr>
          <w:p w14:paraId="1B70EFC6">
            <w:pPr>
              <w:pStyle w:val="44"/>
              <w:rPr>
                <w:color w:val="auto"/>
              </w:rPr>
            </w:pPr>
            <w:r>
              <w:rPr>
                <w:rFonts w:hint="eastAsia"/>
                <w:color w:val="auto"/>
              </w:rPr>
              <w:t>施工监测</w:t>
            </w:r>
          </w:p>
        </w:tc>
        <w:tc>
          <w:tcPr>
            <w:tcW w:w="5564" w:type="dxa"/>
            <w:vAlign w:val="center"/>
          </w:tcPr>
          <w:p w14:paraId="74F80FF5">
            <w:pPr>
              <w:pStyle w:val="44"/>
              <w:jc w:val="left"/>
              <w:rPr>
                <w:color w:val="auto"/>
              </w:rPr>
            </w:pPr>
            <w:r>
              <w:rPr>
                <w:color w:val="auto"/>
              </w:rPr>
              <w:t>1</w:t>
            </w:r>
            <w:r>
              <w:rPr>
                <w:rFonts w:hint="eastAsia"/>
                <w:color w:val="auto"/>
              </w:rPr>
              <w:t>）未按要求进行顶管施工监测，扣</w:t>
            </w:r>
            <w:r>
              <w:rPr>
                <w:color w:val="auto"/>
              </w:rPr>
              <w:t>10</w:t>
            </w:r>
            <w:r>
              <w:rPr>
                <w:rFonts w:hint="eastAsia"/>
                <w:color w:val="auto"/>
              </w:rPr>
              <w:t>分</w:t>
            </w:r>
          </w:p>
          <w:p w14:paraId="58A956DF">
            <w:pPr>
              <w:pStyle w:val="44"/>
              <w:jc w:val="left"/>
              <w:rPr>
                <w:color w:val="auto"/>
              </w:rPr>
            </w:pPr>
            <w:r>
              <w:rPr>
                <w:color w:val="auto"/>
              </w:rPr>
              <w:t>2</w:t>
            </w:r>
            <w:r>
              <w:rPr>
                <w:rFonts w:hint="eastAsia"/>
                <w:color w:val="auto"/>
              </w:rPr>
              <w:t>）监测项目不全，扣</w:t>
            </w:r>
            <w:r>
              <w:rPr>
                <w:color w:val="auto"/>
              </w:rPr>
              <w:t>5-10</w:t>
            </w:r>
            <w:r>
              <w:rPr>
                <w:rFonts w:hint="eastAsia"/>
                <w:color w:val="auto"/>
              </w:rPr>
              <w:t>分</w:t>
            </w:r>
          </w:p>
          <w:p w14:paraId="75ECD856">
            <w:pPr>
              <w:pStyle w:val="44"/>
              <w:jc w:val="left"/>
              <w:rPr>
                <w:color w:val="auto"/>
              </w:rPr>
            </w:pPr>
            <w:r>
              <w:rPr>
                <w:color w:val="auto"/>
              </w:rPr>
              <w:t>3</w:t>
            </w:r>
            <w:r>
              <w:rPr>
                <w:rFonts w:hint="eastAsia"/>
                <w:color w:val="auto"/>
              </w:rPr>
              <w:t>）监测的时间间隔不符合监测方案要求或监测结果变化速率较大未加密观测次数，扣</w:t>
            </w:r>
            <w:r>
              <w:rPr>
                <w:color w:val="auto"/>
              </w:rPr>
              <w:t>5-8</w:t>
            </w:r>
            <w:r>
              <w:rPr>
                <w:rFonts w:hint="eastAsia"/>
                <w:color w:val="auto"/>
              </w:rPr>
              <w:t>分</w:t>
            </w:r>
          </w:p>
          <w:p w14:paraId="61A2573F">
            <w:pPr>
              <w:pStyle w:val="44"/>
              <w:jc w:val="left"/>
              <w:rPr>
                <w:color w:val="auto"/>
              </w:rPr>
            </w:pPr>
            <w:r>
              <w:rPr>
                <w:color w:val="auto"/>
              </w:rPr>
              <w:t>4</w:t>
            </w:r>
            <w:r>
              <w:rPr>
                <w:rFonts w:hint="eastAsia"/>
                <w:color w:val="auto"/>
              </w:rPr>
              <w:t>）未提交监测报告或监测报告内容不完整，扣</w:t>
            </w:r>
            <w:r>
              <w:rPr>
                <w:color w:val="auto"/>
              </w:rPr>
              <w:t>5-8</w:t>
            </w:r>
            <w:r>
              <w:rPr>
                <w:rFonts w:hint="eastAsia"/>
                <w:color w:val="auto"/>
              </w:rPr>
              <w:t>分</w:t>
            </w:r>
          </w:p>
          <w:p w14:paraId="179EF949">
            <w:pPr>
              <w:pStyle w:val="44"/>
              <w:jc w:val="left"/>
              <w:rPr>
                <w:color w:val="auto"/>
              </w:rPr>
            </w:pPr>
            <w:r>
              <w:rPr>
                <w:color w:val="auto"/>
              </w:rPr>
              <w:t>5</w:t>
            </w:r>
            <w:r>
              <w:rPr>
                <w:rFonts w:hint="eastAsia"/>
                <w:color w:val="auto"/>
              </w:rPr>
              <w:t>）当监测值大于所规定的报警值时未停止施工，查明原因，采取补救措施，扣</w:t>
            </w:r>
            <w:r>
              <w:rPr>
                <w:color w:val="auto"/>
              </w:rPr>
              <w:t>5-10</w:t>
            </w:r>
            <w:r>
              <w:rPr>
                <w:rFonts w:hint="eastAsia"/>
                <w:color w:val="auto"/>
              </w:rPr>
              <w:t>分</w:t>
            </w:r>
          </w:p>
        </w:tc>
        <w:tc>
          <w:tcPr>
            <w:tcW w:w="736" w:type="dxa"/>
            <w:vAlign w:val="center"/>
          </w:tcPr>
          <w:p w14:paraId="4626E915">
            <w:pPr>
              <w:pStyle w:val="44"/>
              <w:rPr>
                <w:color w:val="auto"/>
              </w:rPr>
            </w:pPr>
            <w:r>
              <w:rPr>
                <w:color w:val="auto"/>
              </w:rPr>
              <w:t>10</w:t>
            </w:r>
          </w:p>
        </w:tc>
        <w:tc>
          <w:tcPr>
            <w:tcW w:w="720" w:type="dxa"/>
            <w:vAlign w:val="center"/>
          </w:tcPr>
          <w:p w14:paraId="5D453D61">
            <w:pPr>
              <w:pStyle w:val="44"/>
              <w:rPr>
                <w:color w:val="auto"/>
              </w:rPr>
            </w:pPr>
          </w:p>
        </w:tc>
        <w:tc>
          <w:tcPr>
            <w:tcW w:w="720" w:type="dxa"/>
            <w:vAlign w:val="center"/>
          </w:tcPr>
          <w:p w14:paraId="67D266A8">
            <w:pPr>
              <w:pStyle w:val="44"/>
              <w:rPr>
                <w:color w:val="auto"/>
              </w:rPr>
            </w:pPr>
          </w:p>
        </w:tc>
      </w:tr>
      <w:tr w14:paraId="38A89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4D4AB6D2">
            <w:pPr>
              <w:pStyle w:val="44"/>
              <w:rPr>
                <w:color w:val="auto"/>
              </w:rPr>
            </w:pPr>
          </w:p>
        </w:tc>
        <w:tc>
          <w:tcPr>
            <w:tcW w:w="543" w:type="dxa"/>
            <w:vMerge w:val="continue"/>
            <w:vAlign w:val="center"/>
          </w:tcPr>
          <w:p w14:paraId="305A02E7">
            <w:pPr>
              <w:pStyle w:val="44"/>
              <w:rPr>
                <w:color w:val="auto"/>
              </w:rPr>
            </w:pPr>
          </w:p>
        </w:tc>
        <w:tc>
          <w:tcPr>
            <w:tcW w:w="6462" w:type="dxa"/>
            <w:gridSpan w:val="2"/>
            <w:vAlign w:val="center"/>
          </w:tcPr>
          <w:p w14:paraId="7C6FE0B8">
            <w:pPr>
              <w:pStyle w:val="44"/>
              <w:rPr>
                <w:b/>
                <w:bCs w:val="0"/>
                <w:color w:val="auto"/>
              </w:rPr>
            </w:pPr>
            <w:r>
              <w:rPr>
                <w:rFonts w:hint="eastAsia"/>
                <w:b/>
                <w:bCs w:val="0"/>
                <w:color w:val="auto"/>
              </w:rPr>
              <w:t xml:space="preserve">小 </w:t>
            </w:r>
            <w:r>
              <w:rPr>
                <w:b/>
                <w:bCs w:val="0"/>
                <w:color w:val="auto"/>
              </w:rPr>
              <w:t xml:space="preserve"> </w:t>
            </w:r>
            <w:r>
              <w:rPr>
                <w:rFonts w:hint="eastAsia"/>
                <w:b/>
                <w:bCs w:val="0"/>
                <w:color w:val="auto"/>
              </w:rPr>
              <w:t>计</w:t>
            </w:r>
          </w:p>
        </w:tc>
        <w:tc>
          <w:tcPr>
            <w:tcW w:w="736" w:type="dxa"/>
            <w:vAlign w:val="center"/>
          </w:tcPr>
          <w:p w14:paraId="026433EF">
            <w:pPr>
              <w:pStyle w:val="44"/>
              <w:rPr>
                <w:color w:val="auto"/>
              </w:rPr>
            </w:pPr>
          </w:p>
        </w:tc>
        <w:tc>
          <w:tcPr>
            <w:tcW w:w="720" w:type="dxa"/>
            <w:vAlign w:val="center"/>
          </w:tcPr>
          <w:p w14:paraId="5DFF1ABE">
            <w:pPr>
              <w:pStyle w:val="44"/>
              <w:rPr>
                <w:color w:val="auto"/>
              </w:rPr>
            </w:pPr>
          </w:p>
        </w:tc>
        <w:tc>
          <w:tcPr>
            <w:tcW w:w="720" w:type="dxa"/>
            <w:vAlign w:val="center"/>
          </w:tcPr>
          <w:p w14:paraId="1524CA9F">
            <w:pPr>
              <w:pStyle w:val="44"/>
              <w:rPr>
                <w:color w:val="auto"/>
              </w:rPr>
            </w:pPr>
          </w:p>
        </w:tc>
      </w:tr>
      <w:tr w14:paraId="3A084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trPr>
        <w:tc>
          <w:tcPr>
            <w:tcW w:w="539" w:type="dxa"/>
            <w:vAlign w:val="center"/>
          </w:tcPr>
          <w:p w14:paraId="63307525">
            <w:pPr>
              <w:pStyle w:val="44"/>
              <w:rPr>
                <w:color w:val="auto"/>
              </w:rPr>
            </w:pPr>
            <w:r>
              <w:rPr>
                <w:color w:val="auto"/>
              </w:rPr>
              <w:t>1</w:t>
            </w:r>
          </w:p>
        </w:tc>
        <w:tc>
          <w:tcPr>
            <w:tcW w:w="543" w:type="dxa"/>
            <w:vMerge w:val="restart"/>
            <w:vAlign w:val="center"/>
          </w:tcPr>
          <w:p w14:paraId="60785BB0">
            <w:pPr>
              <w:pStyle w:val="44"/>
              <w:rPr>
                <w:color w:val="auto"/>
              </w:rPr>
            </w:pPr>
            <w:r>
              <w:rPr>
                <w:rFonts w:hint="eastAsia"/>
                <w:color w:val="auto"/>
              </w:rPr>
              <w:t>一</w:t>
            </w:r>
          </w:p>
          <w:p w14:paraId="0660D23A">
            <w:pPr>
              <w:pStyle w:val="44"/>
              <w:rPr>
                <w:color w:val="auto"/>
              </w:rPr>
            </w:pPr>
            <w:r>
              <w:rPr>
                <w:rFonts w:hint="eastAsia"/>
                <w:color w:val="auto"/>
              </w:rPr>
              <w:t>般</w:t>
            </w:r>
          </w:p>
          <w:p w14:paraId="08F16636">
            <w:pPr>
              <w:pStyle w:val="44"/>
              <w:rPr>
                <w:color w:val="auto"/>
              </w:rPr>
            </w:pPr>
            <w:r>
              <w:rPr>
                <w:rFonts w:hint="eastAsia"/>
                <w:color w:val="auto"/>
              </w:rPr>
              <w:t>项</w:t>
            </w:r>
          </w:p>
          <w:p w14:paraId="097434CE">
            <w:pPr>
              <w:pStyle w:val="44"/>
              <w:rPr>
                <w:color w:val="auto"/>
              </w:rPr>
            </w:pPr>
            <w:r>
              <w:rPr>
                <w:rFonts w:hint="eastAsia"/>
                <w:color w:val="auto"/>
              </w:rPr>
              <w:t>目</w:t>
            </w:r>
          </w:p>
        </w:tc>
        <w:tc>
          <w:tcPr>
            <w:tcW w:w="898" w:type="dxa"/>
            <w:vAlign w:val="center"/>
          </w:tcPr>
          <w:p w14:paraId="78F9ECF6">
            <w:pPr>
              <w:pStyle w:val="44"/>
              <w:rPr>
                <w:color w:val="auto"/>
              </w:rPr>
            </w:pPr>
            <w:r>
              <w:rPr>
                <w:rFonts w:hint="eastAsia"/>
                <w:color w:val="auto"/>
              </w:rPr>
              <w:t>验收</w:t>
            </w:r>
          </w:p>
        </w:tc>
        <w:tc>
          <w:tcPr>
            <w:tcW w:w="5564" w:type="dxa"/>
            <w:vAlign w:val="center"/>
          </w:tcPr>
          <w:p w14:paraId="478761AE">
            <w:pPr>
              <w:pStyle w:val="44"/>
              <w:jc w:val="left"/>
              <w:rPr>
                <w:color w:val="auto"/>
              </w:rPr>
            </w:pPr>
            <w:r>
              <w:rPr>
                <w:color w:val="auto"/>
              </w:rPr>
              <w:t>1</w:t>
            </w:r>
            <w:r>
              <w:rPr>
                <w:rFonts w:hint="eastAsia"/>
                <w:color w:val="auto"/>
              </w:rPr>
              <w:t>）顶进施工前，未按规定对顶管设备进行验收，扣</w:t>
            </w:r>
            <w:r>
              <w:rPr>
                <w:color w:val="auto"/>
              </w:rPr>
              <w:t>5</w:t>
            </w:r>
            <w:r>
              <w:rPr>
                <w:rFonts w:hint="eastAsia"/>
                <w:color w:val="auto"/>
              </w:rPr>
              <w:t>分</w:t>
            </w:r>
          </w:p>
          <w:p w14:paraId="7B793998">
            <w:pPr>
              <w:pStyle w:val="44"/>
              <w:jc w:val="left"/>
              <w:rPr>
                <w:color w:val="auto"/>
              </w:rPr>
            </w:pPr>
            <w:r>
              <w:rPr>
                <w:color w:val="auto"/>
              </w:rPr>
              <w:t>2</w:t>
            </w:r>
            <w:r>
              <w:rPr>
                <w:rFonts w:hint="eastAsia"/>
                <w:color w:val="auto"/>
              </w:rPr>
              <w:t>）工作井施工完毕，未组织验收或未办理验收手续，扣</w:t>
            </w:r>
            <w:r>
              <w:rPr>
                <w:color w:val="auto"/>
              </w:rPr>
              <w:t>5</w:t>
            </w:r>
            <w:r>
              <w:rPr>
                <w:rFonts w:hint="eastAsia"/>
                <w:color w:val="auto"/>
              </w:rPr>
              <w:t>分</w:t>
            </w:r>
          </w:p>
          <w:p w14:paraId="7373CFFD">
            <w:pPr>
              <w:pStyle w:val="44"/>
              <w:jc w:val="left"/>
              <w:rPr>
                <w:color w:val="auto"/>
              </w:rPr>
            </w:pPr>
            <w:r>
              <w:rPr>
                <w:color w:val="auto"/>
              </w:rPr>
              <w:t>3</w:t>
            </w:r>
            <w:r>
              <w:rPr>
                <w:rFonts w:hint="eastAsia"/>
                <w:color w:val="auto"/>
              </w:rPr>
              <w:t>）验收内容未进行量化，或未经责任人签字确认，扣</w:t>
            </w:r>
            <w:r>
              <w:rPr>
                <w:color w:val="auto"/>
              </w:rPr>
              <w:t>5</w:t>
            </w:r>
            <w:r>
              <w:rPr>
                <w:rFonts w:hint="eastAsia"/>
                <w:color w:val="auto"/>
              </w:rPr>
              <w:t>分</w:t>
            </w:r>
          </w:p>
          <w:p w14:paraId="0EF60C86">
            <w:pPr>
              <w:pStyle w:val="44"/>
              <w:jc w:val="left"/>
              <w:rPr>
                <w:color w:val="auto"/>
              </w:rPr>
            </w:pPr>
            <w:r>
              <w:rPr>
                <w:color w:val="auto"/>
              </w:rPr>
              <w:t>4</w:t>
            </w:r>
            <w:r>
              <w:rPr>
                <w:rFonts w:hint="eastAsia"/>
                <w:color w:val="auto"/>
              </w:rPr>
              <w:t>）验收合格后未在明显位置悬挂验收合格牌，扣</w:t>
            </w:r>
            <w:r>
              <w:rPr>
                <w:color w:val="auto"/>
              </w:rPr>
              <w:t>2</w:t>
            </w:r>
            <w:r>
              <w:rPr>
                <w:rFonts w:hint="eastAsia"/>
                <w:color w:val="auto"/>
              </w:rPr>
              <w:t>分</w:t>
            </w:r>
          </w:p>
        </w:tc>
        <w:tc>
          <w:tcPr>
            <w:tcW w:w="736" w:type="dxa"/>
            <w:vAlign w:val="center"/>
          </w:tcPr>
          <w:p w14:paraId="00111C21">
            <w:pPr>
              <w:pStyle w:val="44"/>
              <w:rPr>
                <w:color w:val="auto"/>
              </w:rPr>
            </w:pPr>
            <w:r>
              <w:rPr>
                <w:color w:val="auto"/>
              </w:rPr>
              <w:t>5</w:t>
            </w:r>
          </w:p>
        </w:tc>
        <w:tc>
          <w:tcPr>
            <w:tcW w:w="720" w:type="dxa"/>
            <w:vAlign w:val="center"/>
          </w:tcPr>
          <w:p w14:paraId="67F102D7">
            <w:pPr>
              <w:pStyle w:val="44"/>
              <w:rPr>
                <w:color w:val="auto"/>
              </w:rPr>
            </w:pPr>
          </w:p>
        </w:tc>
        <w:tc>
          <w:tcPr>
            <w:tcW w:w="720" w:type="dxa"/>
            <w:vAlign w:val="center"/>
          </w:tcPr>
          <w:p w14:paraId="0A044DBE">
            <w:pPr>
              <w:pStyle w:val="44"/>
              <w:rPr>
                <w:color w:val="auto"/>
              </w:rPr>
            </w:pPr>
          </w:p>
        </w:tc>
      </w:tr>
      <w:tr w14:paraId="6725B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4ED4F603">
            <w:pPr>
              <w:pStyle w:val="44"/>
              <w:rPr>
                <w:color w:val="auto"/>
              </w:rPr>
            </w:pPr>
            <w:r>
              <w:rPr>
                <w:color w:val="auto"/>
              </w:rPr>
              <w:t>2</w:t>
            </w:r>
          </w:p>
        </w:tc>
        <w:tc>
          <w:tcPr>
            <w:tcW w:w="543" w:type="dxa"/>
            <w:vMerge w:val="continue"/>
          </w:tcPr>
          <w:p w14:paraId="15815CCA">
            <w:pPr>
              <w:pStyle w:val="44"/>
              <w:rPr>
                <w:color w:val="auto"/>
              </w:rPr>
            </w:pPr>
          </w:p>
        </w:tc>
        <w:tc>
          <w:tcPr>
            <w:tcW w:w="898" w:type="dxa"/>
            <w:vAlign w:val="center"/>
          </w:tcPr>
          <w:p w14:paraId="1CD28BD0">
            <w:pPr>
              <w:pStyle w:val="44"/>
              <w:rPr>
                <w:color w:val="auto"/>
              </w:rPr>
            </w:pPr>
            <w:r>
              <w:rPr>
                <w:rFonts w:hint="eastAsia"/>
                <w:color w:val="auto"/>
              </w:rPr>
              <w:t>排水、排泥及通风</w:t>
            </w:r>
          </w:p>
        </w:tc>
        <w:tc>
          <w:tcPr>
            <w:tcW w:w="5564" w:type="dxa"/>
            <w:vAlign w:val="center"/>
          </w:tcPr>
          <w:p w14:paraId="769D39E6">
            <w:pPr>
              <w:pStyle w:val="44"/>
              <w:jc w:val="left"/>
              <w:rPr>
                <w:color w:val="auto"/>
              </w:rPr>
            </w:pPr>
            <w:r>
              <w:rPr>
                <w:color w:val="auto"/>
              </w:rPr>
              <w:t>1</w:t>
            </w:r>
            <w:r>
              <w:rPr>
                <w:rFonts w:hint="eastAsia"/>
                <w:color w:val="auto"/>
              </w:rPr>
              <w:t>）作业深度范围内有地下水时未采取有效降排水措施，扣</w:t>
            </w:r>
            <w:r>
              <w:rPr>
                <w:color w:val="auto"/>
              </w:rPr>
              <w:t>3-6</w:t>
            </w:r>
            <w:r>
              <w:rPr>
                <w:rFonts w:hint="eastAsia"/>
                <w:color w:val="auto"/>
              </w:rPr>
              <w:t>分</w:t>
            </w:r>
          </w:p>
          <w:p w14:paraId="286ACCF1">
            <w:pPr>
              <w:pStyle w:val="44"/>
              <w:jc w:val="left"/>
              <w:rPr>
                <w:color w:val="auto"/>
              </w:rPr>
            </w:pPr>
            <w:r>
              <w:rPr>
                <w:color w:val="auto"/>
              </w:rPr>
              <w:t>2</w:t>
            </w:r>
            <w:r>
              <w:rPr>
                <w:rFonts w:hint="eastAsia"/>
                <w:color w:val="auto"/>
              </w:rPr>
              <w:t>）井四周地面未设置防、排水设施，扣</w:t>
            </w:r>
            <w:r>
              <w:rPr>
                <w:color w:val="auto"/>
              </w:rPr>
              <w:t>2-5</w:t>
            </w:r>
            <w:r>
              <w:rPr>
                <w:rFonts w:hint="eastAsia"/>
                <w:color w:val="auto"/>
              </w:rPr>
              <w:t>分</w:t>
            </w:r>
          </w:p>
          <w:p w14:paraId="7AE19216">
            <w:pPr>
              <w:pStyle w:val="44"/>
              <w:jc w:val="left"/>
              <w:rPr>
                <w:color w:val="auto"/>
              </w:rPr>
            </w:pPr>
            <w:r>
              <w:rPr>
                <w:color w:val="auto"/>
              </w:rPr>
              <w:t>3</w:t>
            </w:r>
            <w:r>
              <w:rPr>
                <w:rFonts w:hint="eastAsia"/>
                <w:color w:val="auto"/>
              </w:rPr>
              <w:t>）井底封底前未设置带盖的集水坑，或积水坑内积水未及时排除，扣</w:t>
            </w:r>
            <w:r>
              <w:rPr>
                <w:color w:val="auto"/>
              </w:rPr>
              <w:t>2-5</w:t>
            </w:r>
            <w:r>
              <w:rPr>
                <w:rFonts w:hint="eastAsia"/>
                <w:color w:val="auto"/>
              </w:rPr>
              <w:t>分</w:t>
            </w:r>
          </w:p>
          <w:p w14:paraId="6893E1A3">
            <w:pPr>
              <w:pStyle w:val="44"/>
              <w:jc w:val="left"/>
              <w:rPr>
                <w:color w:val="auto"/>
              </w:rPr>
            </w:pPr>
            <w:r>
              <w:rPr>
                <w:color w:val="auto"/>
              </w:rPr>
              <w:t>4</w:t>
            </w:r>
            <w:r>
              <w:rPr>
                <w:rFonts w:hint="eastAsia"/>
                <w:color w:val="auto"/>
              </w:rPr>
              <w:t>）顶管产生的泥浆未按规定及时排放，扣</w:t>
            </w:r>
            <w:r>
              <w:rPr>
                <w:color w:val="auto"/>
              </w:rPr>
              <w:t>5-10</w:t>
            </w:r>
            <w:r>
              <w:rPr>
                <w:rFonts w:hint="eastAsia"/>
                <w:color w:val="auto"/>
              </w:rPr>
              <w:t>分</w:t>
            </w:r>
          </w:p>
          <w:p w14:paraId="7DB39A40">
            <w:pPr>
              <w:pStyle w:val="44"/>
              <w:jc w:val="left"/>
              <w:rPr>
                <w:color w:val="auto"/>
              </w:rPr>
            </w:pPr>
            <w:r>
              <w:rPr>
                <w:color w:val="auto"/>
              </w:rPr>
              <w:t>5</w:t>
            </w:r>
            <w:r>
              <w:rPr>
                <w:rFonts w:hint="eastAsia"/>
                <w:color w:val="auto"/>
              </w:rPr>
              <w:t>）管道内未设置通风装置，扣</w:t>
            </w:r>
            <w:r>
              <w:rPr>
                <w:color w:val="auto"/>
              </w:rPr>
              <w:t>10</w:t>
            </w:r>
            <w:r>
              <w:rPr>
                <w:rFonts w:hint="eastAsia"/>
                <w:color w:val="auto"/>
              </w:rPr>
              <w:t>分；通风量或空气质量不符合要求，扣</w:t>
            </w:r>
            <w:r>
              <w:rPr>
                <w:color w:val="auto"/>
              </w:rPr>
              <w:t>2-10</w:t>
            </w:r>
            <w:r>
              <w:rPr>
                <w:rFonts w:hint="eastAsia"/>
                <w:color w:val="auto"/>
              </w:rPr>
              <w:t>分</w:t>
            </w:r>
          </w:p>
          <w:p w14:paraId="5204D942">
            <w:pPr>
              <w:pStyle w:val="44"/>
              <w:jc w:val="left"/>
              <w:rPr>
                <w:color w:val="auto"/>
              </w:rPr>
            </w:pPr>
            <w:r>
              <w:rPr>
                <w:color w:val="auto"/>
              </w:rPr>
              <w:t>6</w:t>
            </w:r>
            <w:r>
              <w:rPr>
                <w:rFonts w:hint="eastAsia"/>
                <w:color w:val="auto"/>
              </w:rPr>
              <w:t>）管道内未设置有毒气体检测报警装置，扣</w:t>
            </w:r>
            <w:r>
              <w:rPr>
                <w:color w:val="auto"/>
              </w:rPr>
              <w:t>10</w:t>
            </w:r>
            <w:r>
              <w:rPr>
                <w:rFonts w:hint="eastAsia"/>
                <w:color w:val="auto"/>
              </w:rPr>
              <w:t>分</w:t>
            </w:r>
          </w:p>
          <w:p w14:paraId="061E0C57">
            <w:pPr>
              <w:pStyle w:val="44"/>
              <w:jc w:val="left"/>
              <w:rPr>
                <w:color w:val="auto"/>
              </w:rPr>
            </w:pPr>
            <w:r>
              <w:rPr>
                <w:color w:val="auto"/>
              </w:rPr>
              <w:t>7</w:t>
            </w:r>
            <w:r>
              <w:rPr>
                <w:rFonts w:hint="eastAsia"/>
                <w:color w:val="auto"/>
              </w:rPr>
              <w:t>）地层中存在有害气体时未采用封闭式顶管机，扣</w:t>
            </w:r>
            <w:r>
              <w:rPr>
                <w:color w:val="auto"/>
              </w:rPr>
              <w:t>10</w:t>
            </w:r>
            <w:r>
              <w:rPr>
                <w:rFonts w:hint="eastAsia"/>
                <w:color w:val="auto"/>
              </w:rPr>
              <w:t>分</w:t>
            </w:r>
          </w:p>
        </w:tc>
        <w:tc>
          <w:tcPr>
            <w:tcW w:w="736" w:type="dxa"/>
            <w:vAlign w:val="center"/>
          </w:tcPr>
          <w:p w14:paraId="262597A2">
            <w:pPr>
              <w:pStyle w:val="44"/>
              <w:rPr>
                <w:color w:val="auto"/>
              </w:rPr>
            </w:pPr>
            <w:r>
              <w:rPr>
                <w:color w:val="auto"/>
              </w:rPr>
              <w:t>10</w:t>
            </w:r>
          </w:p>
        </w:tc>
        <w:tc>
          <w:tcPr>
            <w:tcW w:w="720" w:type="dxa"/>
            <w:vAlign w:val="center"/>
          </w:tcPr>
          <w:p w14:paraId="1A5E03F0">
            <w:pPr>
              <w:pStyle w:val="44"/>
              <w:rPr>
                <w:color w:val="auto"/>
              </w:rPr>
            </w:pPr>
          </w:p>
        </w:tc>
        <w:tc>
          <w:tcPr>
            <w:tcW w:w="720" w:type="dxa"/>
            <w:vAlign w:val="center"/>
          </w:tcPr>
          <w:p w14:paraId="5862E27D">
            <w:pPr>
              <w:pStyle w:val="44"/>
              <w:rPr>
                <w:color w:val="auto"/>
              </w:rPr>
            </w:pPr>
          </w:p>
        </w:tc>
      </w:tr>
      <w:tr w14:paraId="4098E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6E6613CD">
            <w:pPr>
              <w:pStyle w:val="44"/>
              <w:rPr>
                <w:color w:val="auto"/>
              </w:rPr>
            </w:pPr>
            <w:r>
              <w:rPr>
                <w:color w:val="auto"/>
              </w:rPr>
              <w:t>3</w:t>
            </w:r>
          </w:p>
        </w:tc>
        <w:tc>
          <w:tcPr>
            <w:tcW w:w="543" w:type="dxa"/>
            <w:vMerge w:val="continue"/>
          </w:tcPr>
          <w:p w14:paraId="315E58C3">
            <w:pPr>
              <w:pStyle w:val="44"/>
              <w:rPr>
                <w:color w:val="auto"/>
              </w:rPr>
            </w:pPr>
          </w:p>
        </w:tc>
        <w:tc>
          <w:tcPr>
            <w:tcW w:w="898" w:type="dxa"/>
            <w:vAlign w:val="center"/>
          </w:tcPr>
          <w:p w14:paraId="37FBC1FE">
            <w:pPr>
              <w:pStyle w:val="44"/>
              <w:rPr>
                <w:color w:val="auto"/>
              </w:rPr>
            </w:pPr>
            <w:r>
              <w:rPr>
                <w:rFonts w:hint="eastAsia"/>
                <w:color w:val="auto"/>
              </w:rPr>
              <w:t>安全防护</w:t>
            </w:r>
          </w:p>
        </w:tc>
        <w:tc>
          <w:tcPr>
            <w:tcW w:w="5564" w:type="dxa"/>
            <w:vAlign w:val="center"/>
          </w:tcPr>
          <w:p w14:paraId="19D920E3">
            <w:pPr>
              <w:pStyle w:val="44"/>
              <w:jc w:val="left"/>
              <w:rPr>
                <w:color w:val="auto"/>
              </w:rPr>
            </w:pPr>
            <w:r>
              <w:rPr>
                <w:color w:val="auto"/>
              </w:rPr>
              <w:t>1</w:t>
            </w:r>
            <w:r>
              <w:rPr>
                <w:rFonts w:hint="eastAsia"/>
                <w:color w:val="auto"/>
              </w:rPr>
              <w:t>）工作井周边未按标准要求设置防护栏杆或栏杆设置不符合标准要求，扣</w:t>
            </w:r>
            <w:r>
              <w:rPr>
                <w:color w:val="auto"/>
              </w:rPr>
              <w:t>3-5</w:t>
            </w:r>
            <w:r>
              <w:rPr>
                <w:rFonts w:hint="eastAsia"/>
                <w:color w:val="auto"/>
              </w:rPr>
              <w:t>分</w:t>
            </w:r>
          </w:p>
          <w:p w14:paraId="6F65FF17">
            <w:pPr>
              <w:pStyle w:val="44"/>
              <w:jc w:val="left"/>
              <w:rPr>
                <w:color w:val="auto"/>
              </w:rPr>
            </w:pPr>
            <w:r>
              <w:rPr>
                <w:color w:val="auto"/>
              </w:rPr>
              <w:t>2</w:t>
            </w:r>
            <w:r>
              <w:rPr>
                <w:rFonts w:hint="eastAsia"/>
                <w:color w:val="auto"/>
              </w:rPr>
              <w:t>）地面井口周围未设置防汛墙和防雨设施，扣</w:t>
            </w:r>
            <w:r>
              <w:rPr>
                <w:color w:val="auto"/>
              </w:rPr>
              <w:t>3</w:t>
            </w:r>
            <w:r>
              <w:rPr>
                <w:rFonts w:hint="eastAsia"/>
                <w:color w:val="auto"/>
              </w:rPr>
              <w:t>分</w:t>
            </w:r>
          </w:p>
          <w:p w14:paraId="5C2DBD55">
            <w:pPr>
              <w:pStyle w:val="44"/>
              <w:jc w:val="left"/>
              <w:rPr>
                <w:color w:val="auto"/>
              </w:rPr>
            </w:pPr>
            <w:r>
              <w:rPr>
                <w:color w:val="auto"/>
              </w:rPr>
              <w:t>3</w:t>
            </w:r>
            <w:r>
              <w:rPr>
                <w:rFonts w:hint="eastAsia"/>
                <w:color w:val="auto"/>
              </w:rPr>
              <w:t>）作业区未设置警示标志、警戒区域，扣</w:t>
            </w:r>
            <w:r>
              <w:rPr>
                <w:color w:val="auto"/>
              </w:rPr>
              <w:t>5</w:t>
            </w:r>
            <w:r>
              <w:rPr>
                <w:rFonts w:hint="eastAsia"/>
                <w:color w:val="auto"/>
              </w:rPr>
              <w:t>分</w:t>
            </w:r>
          </w:p>
          <w:p w14:paraId="6BF2C91E">
            <w:pPr>
              <w:pStyle w:val="44"/>
              <w:jc w:val="left"/>
              <w:rPr>
                <w:color w:val="auto"/>
              </w:rPr>
            </w:pPr>
            <w:r>
              <w:rPr>
                <w:color w:val="auto"/>
              </w:rPr>
              <w:t>4</w:t>
            </w:r>
            <w:r>
              <w:rPr>
                <w:rFonts w:hint="eastAsia"/>
                <w:color w:val="auto"/>
              </w:rPr>
              <w:t>）工作井内未按标准要求设置人员上下的安全通道，扣</w:t>
            </w:r>
            <w:r>
              <w:rPr>
                <w:color w:val="auto"/>
              </w:rPr>
              <w:t>5</w:t>
            </w:r>
            <w:r>
              <w:rPr>
                <w:rFonts w:hint="eastAsia"/>
                <w:color w:val="auto"/>
              </w:rPr>
              <w:t>分</w:t>
            </w:r>
          </w:p>
          <w:p w14:paraId="6B7945CB">
            <w:pPr>
              <w:pStyle w:val="44"/>
              <w:jc w:val="left"/>
              <w:rPr>
                <w:color w:val="auto"/>
              </w:rPr>
            </w:pPr>
            <w:r>
              <w:rPr>
                <w:color w:val="auto"/>
              </w:rPr>
              <w:t>5</w:t>
            </w:r>
            <w:r>
              <w:rPr>
                <w:rFonts w:hint="eastAsia"/>
                <w:color w:val="auto"/>
              </w:rPr>
              <w:t>）降水井口未设置防护盖板或围栏，扣</w:t>
            </w:r>
            <w:r>
              <w:rPr>
                <w:color w:val="auto"/>
              </w:rPr>
              <w:t>5</w:t>
            </w:r>
            <w:r>
              <w:rPr>
                <w:rFonts w:hint="eastAsia"/>
                <w:color w:val="auto"/>
              </w:rPr>
              <w:t>分</w:t>
            </w:r>
          </w:p>
          <w:p w14:paraId="3324A77C">
            <w:pPr>
              <w:pStyle w:val="44"/>
              <w:jc w:val="left"/>
              <w:rPr>
                <w:color w:val="auto"/>
              </w:rPr>
            </w:pPr>
            <w:r>
              <w:rPr>
                <w:color w:val="auto"/>
              </w:rPr>
              <w:t>6</w:t>
            </w:r>
            <w:r>
              <w:rPr>
                <w:rFonts w:hint="eastAsia"/>
                <w:color w:val="auto"/>
              </w:rPr>
              <w:t>）地面与顶管工作面之间未设置联络通讯设备，扣</w:t>
            </w:r>
            <w:r>
              <w:rPr>
                <w:color w:val="auto"/>
              </w:rPr>
              <w:t>5</w:t>
            </w:r>
            <w:r>
              <w:rPr>
                <w:rFonts w:hint="eastAsia"/>
                <w:color w:val="auto"/>
              </w:rPr>
              <w:t>分</w:t>
            </w:r>
          </w:p>
        </w:tc>
        <w:tc>
          <w:tcPr>
            <w:tcW w:w="736" w:type="dxa"/>
            <w:vAlign w:val="center"/>
          </w:tcPr>
          <w:p w14:paraId="501F9CF6">
            <w:pPr>
              <w:pStyle w:val="44"/>
              <w:rPr>
                <w:color w:val="auto"/>
              </w:rPr>
            </w:pPr>
            <w:r>
              <w:rPr>
                <w:color w:val="auto"/>
              </w:rPr>
              <w:t>5</w:t>
            </w:r>
          </w:p>
        </w:tc>
        <w:tc>
          <w:tcPr>
            <w:tcW w:w="720" w:type="dxa"/>
            <w:vAlign w:val="center"/>
          </w:tcPr>
          <w:p w14:paraId="27196297">
            <w:pPr>
              <w:pStyle w:val="44"/>
              <w:rPr>
                <w:color w:val="auto"/>
              </w:rPr>
            </w:pPr>
          </w:p>
        </w:tc>
        <w:tc>
          <w:tcPr>
            <w:tcW w:w="720" w:type="dxa"/>
            <w:vAlign w:val="center"/>
          </w:tcPr>
          <w:p w14:paraId="17398FB3">
            <w:pPr>
              <w:pStyle w:val="44"/>
              <w:rPr>
                <w:color w:val="auto"/>
              </w:rPr>
            </w:pPr>
          </w:p>
        </w:tc>
      </w:tr>
      <w:tr w14:paraId="1D174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43F6FE8E">
            <w:pPr>
              <w:pStyle w:val="44"/>
              <w:rPr>
                <w:color w:val="auto"/>
              </w:rPr>
            </w:pPr>
            <w:r>
              <w:rPr>
                <w:color w:val="auto"/>
              </w:rPr>
              <w:t>4</w:t>
            </w:r>
          </w:p>
        </w:tc>
        <w:tc>
          <w:tcPr>
            <w:tcW w:w="543" w:type="dxa"/>
            <w:vMerge w:val="continue"/>
          </w:tcPr>
          <w:p w14:paraId="5288A2FF">
            <w:pPr>
              <w:pStyle w:val="44"/>
              <w:rPr>
                <w:color w:val="auto"/>
              </w:rPr>
            </w:pPr>
          </w:p>
        </w:tc>
        <w:tc>
          <w:tcPr>
            <w:tcW w:w="898" w:type="dxa"/>
            <w:vAlign w:val="center"/>
          </w:tcPr>
          <w:p w14:paraId="39AE1A3E">
            <w:pPr>
              <w:pStyle w:val="44"/>
              <w:rPr>
                <w:color w:val="auto"/>
              </w:rPr>
            </w:pPr>
            <w:r>
              <w:rPr>
                <w:rFonts w:hint="eastAsia"/>
                <w:color w:val="auto"/>
              </w:rPr>
              <w:t>供电</w:t>
            </w:r>
          </w:p>
        </w:tc>
        <w:tc>
          <w:tcPr>
            <w:tcW w:w="5564" w:type="dxa"/>
            <w:vAlign w:val="center"/>
          </w:tcPr>
          <w:p w14:paraId="2E718DDD">
            <w:pPr>
              <w:pStyle w:val="44"/>
              <w:jc w:val="left"/>
              <w:rPr>
                <w:color w:val="auto"/>
              </w:rPr>
            </w:pPr>
            <w:r>
              <w:rPr>
                <w:color w:val="auto"/>
              </w:rPr>
              <w:t>1</w:t>
            </w:r>
            <w:r>
              <w:rPr>
                <w:rFonts w:hint="eastAsia"/>
                <w:color w:val="auto"/>
              </w:rPr>
              <w:t>）顶管施工用电输出端未按动力、照明分别供电，扣</w:t>
            </w:r>
            <w:r>
              <w:rPr>
                <w:color w:val="auto"/>
              </w:rPr>
              <w:t>3</w:t>
            </w:r>
            <w:r>
              <w:rPr>
                <w:rFonts w:hint="eastAsia"/>
                <w:color w:val="auto"/>
              </w:rPr>
              <w:t>分</w:t>
            </w:r>
          </w:p>
          <w:p w14:paraId="08B9EAB7">
            <w:pPr>
              <w:pStyle w:val="44"/>
              <w:jc w:val="left"/>
              <w:rPr>
                <w:color w:val="auto"/>
              </w:rPr>
            </w:pPr>
            <w:r>
              <w:rPr>
                <w:color w:val="auto"/>
              </w:rPr>
              <w:t>2</w:t>
            </w:r>
            <w:r>
              <w:rPr>
                <w:rFonts w:hint="eastAsia"/>
                <w:color w:val="auto"/>
              </w:rPr>
              <w:t>）进管电缆未悬挂于管壁，扣</w:t>
            </w:r>
            <w:r>
              <w:rPr>
                <w:color w:val="auto"/>
              </w:rPr>
              <w:t>5</w:t>
            </w:r>
            <w:r>
              <w:rPr>
                <w:rFonts w:hint="eastAsia"/>
                <w:color w:val="auto"/>
              </w:rPr>
              <w:t>分</w:t>
            </w:r>
          </w:p>
          <w:p w14:paraId="1DC7CE52">
            <w:pPr>
              <w:pStyle w:val="44"/>
              <w:jc w:val="left"/>
              <w:rPr>
                <w:color w:val="auto"/>
              </w:rPr>
            </w:pPr>
            <w:r>
              <w:rPr>
                <w:color w:val="auto"/>
              </w:rPr>
              <w:t>3</w:t>
            </w:r>
            <w:r>
              <w:rPr>
                <w:rFonts w:hint="eastAsia"/>
                <w:color w:val="auto"/>
              </w:rPr>
              <w:t>）顶管距离超过</w:t>
            </w:r>
            <w:r>
              <w:rPr>
                <w:color w:val="auto"/>
              </w:rPr>
              <w:t>800m</w:t>
            </w:r>
            <w:r>
              <w:rPr>
                <w:rFonts w:hint="eastAsia"/>
                <w:color w:val="auto"/>
              </w:rPr>
              <w:t>时，未采用调压器配电或未将高压电引进并增设变压器供电，扣</w:t>
            </w:r>
            <w:r>
              <w:rPr>
                <w:color w:val="auto"/>
              </w:rPr>
              <w:t>2</w:t>
            </w:r>
            <w:r>
              <w:rPr>
                <w:rFonts w:hint="eastAsia"/>
                <w:color w:val="auto"/>
              </w:rPr>
              <w:t>分</w:t>
            </w:r>
          </w:p>
          <w:p w14:paraId="23412FAA">
            <w:pPr>
              <w:pStyle w:val="44"/>
              <w:jc w:val="left"/>
              <w:rPr>
                <w:color w:val="auto"/>
              </w:rPr>
            </w:pPr>
            <w:r>
              <w:rPr>
                <w:color w:val="auto"/>
              </w:rPr>
              <w:t>4</w:t>
            </w:r>
            <w:r>
              <w:rPr>
                <w:rFonts w:hint="eastAsia"/>
                <w:color w:val="auto"/>
              </w:rPr>
              <w:t>）井内与管内照明电压大于</w:t>
            </w:r>
            <w:r>
              <w:rPr>
                <w:color w:val="auto"/>
              </w:rPr>
              <w:t>36V</w:t>
            </w:r>
            <w:r>
              <w:rPr>
                <w:rFonts w:hint="eastAsia"/>
                <w:color w:val="auto"/>
              </w:rPr>
              <w:t>，或未采用低压防爆灯，扣</w:t>
            </w:r>
            <w:r>
              <w:rPr>
                <w:color w:val="auto"/>
              </w:rPr>
              <w:t>5</w:t>
            </w:r>
            <w:r>
              <w:rPr>
                <w:rFonts w:hint="eastAsia"/>
                <w:color w:val="auto"/>
              </w:rPr>
              <w:t>分</w:t>
            </w:r>
          </w:p>
          <w:p w14:paraId="0D66E965">
            <w:pPr>
              <w:pStyle w:val="44"/>
              <w:jc w:val="left"/>
              <w:rPr>
                <w:color w:val="auto"/>
              </w:rPr>
            </w:pPr>
            <w:r>
              <w:rPr>
                <w:color w:val="auto"/>
              </w:rPr>
              <w:t>5</w:t>
            </w:r>
            <w:r>
              <w:rPr>
                <w:rFonts w:hint="eastAsia"/>
                <w:color w:val="auto"/>
              </w:rPr>
              <w:t>）管内供电系统未按标准要求配备漏电保护装置，扣</w:t>
            </w:r>
            <w:r>
              <w:rPr>
                <w:color w:val="auto"/>
              </w:rPr>
              <w:t>5</w:t>
            </w:r>
            <w:r>
              <w:rPr>
                <w:rFonts w:hint="eastAsia"/>
                <w:color w:val="auto"/>
              </w:rPr>
              <w:t>分</w:t>
            </w:r>
          </w:p>
        </w:tc>
        <w:tc>
          <w:tcPr>
            <w:tcW w:w="736" w:type="dxa"/>
            <w:vAlign w:val="center"/>
          </w:tcPr>
          <w:p w14:paraId="6094DCE0">
            <w:pPr>
              <w:pStyle w:val="44"/>
              <w:rPr>
                <w:color w:val="auto"/>
              </w:rPr>
            </w:pPr>
            <w:r>
              <w:rPr>
                <w:color w:val="auto"/>
              </w:rPr>
              <w:t>5</w:t>
            </w:r>
          </w:p>
        </w:tc>
        <w:tc>
          <w:tcPr>
            <w:tcW w:w="720" w:type="dxa"/>
            <w:vAlign w:val="center"/>
          </w:tcPr>
          <w:p w14:paraId="5EAA859E">
            <w:pPr>
              <w:pStyle w:val="44"/>
              <w:rPr>
                <w:color w:val="auto"/>
              </w:rPr>
            </w:pPr>
          </w:p>
        </w:tc>
        <w:tc>
          <w:tcPr>
            <w:tcW w:w="720" w:type="dxa"/>
            <w:vAlign w:val="center"/>
          </w:tcPr>
          <w:p w14:paraId="6217D5EA">
            <w:pPr>
              <w:pStyle w:val="44"/>
              <w:rPr>
                <w:color w:val="auto"/>
              </w:rPr>
            </w:pPr>
          </w:p>
        </w:tc>
      </w:tr>
      <w:tr w14:paraId="584CD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6640FA29">
            <w:pPr>
              <w:pStyle w:val="44"/>
              <w:rPr>
                <w:color w:val="auto"/>
              </w:rPr>
            </w:pPr>
          </w:p>
          <w:p w14:paraId="74935C29">
            <w:pPr>
              <w:pStyle w:val="44"/>
              <w:rPr>
                <w:color w:val="auto"/>
              </w:rPr>
            </w:pPr>
            <w:r>
              <w:rPr>
                <w:color w:val="auto"/>
              </w:rPr>
              <w:t>5</w:t>
            </w:r>
          </w:p>
        </w:tc>
        <w:tc>
          <w:tcPr>
            <w:tcW w:w="543" w:type="dxa"/>
            <w:vMerge w:val="continue"/>
          </w:tcPr>
          <w:p w14:paraId="33387760">
            <w:pPr>
              <w:pStyle w:val="44"/>
              <w:rPr>
                <w:color w:val="auto"/>
              </w:rPr>
            </w:pPr>
          </w:p>
        </w:tc>
        <w:tc>
          <w:tcPr>
            <w:tcW w:w="898" w:type="dxa"/>
            <w:vAlign w:val="center"/>
          </w:tcPr>
          <w:p w14:paraId="3A02E2EB">
            <w:pPr>
              <w:pStyle w:val="44"/>
              <w:rPr>
                <w:color w:val="auto"/>
              </w:rPr>
            </w:pPr>
            <w:r>
              <w:rPr>
                <w:rFonts w:hint="eastAsia"/>
                <w:color w:val="auto"/>
              </w:rPr>
              <w:t>拆除</w:t>
            </w:r>
          </w:p>
        </w:tc>
        <w:tc>
          <w:tcPr>
            <w:tcW w:w="5564" w:type="dxa"/>
            <w:vAlign w:val="center"/>
          </w:tcPr>
          <w:p w14:paraId="5DA640CF">
            <w:pPr>
              <w:pStyle w:val="44"/>
              <w:jc w:val="left"/>
              <w:rPr>
                <w:color w:val="auto"/>
              </w:rPr>
            </w:pPr>
            <w:r>
              <w:rPr>
                <w:color w:val="auto"/>
              </w:rPr>
              <w:t>1</w:t>
            </w:r>
            <w:r>
              <w:rPr>
                <w:rFonts w:hint="eastAsia"/>
                <w:color w:val="auto"/>
              </w:rPr>
              <w:t>）工作井洞口封门拆除不符合相关规定，扣</w:t>
            </w:r>
            <w:r>
              <w:rPr>
                <w:color w:val="auto"/>
              </w:rPr>
              <w:t>2-5</w:t>
            </w:r>
            <w:r>
              <w:rPr>
                <w:rFonts w:hint="eastAsia"/>
                <w:color w:val="auto"/>
              </w:rPr>
              <w:t>分</w:t>
            </w:r>
          </w:p>
          <w:p w14:paraId="283A93FB">
            <w:pPr>
              <w:pStyle w:val="44"/>
              <w:jc w:val="left"/>
              <w:rPr>
                <w:color w:val="auto"/>
              </w:rPr>
            </w:pPr>
            <w:r>
              <w:rPr>
                <w:color w:val="auto"/>
              </w:rPr>
              <w:t>2</w:t>
            </w:r>
            <w:r>
              <w:rPr>
                <w:rFonts w:hint="eastAsia"/>
                <w:color w:val="auto"/>
              </w:rPr>
              <w:t>）工程顶管施工完成后，提升设备、顶进设备未按施工方案拆除顺序拆除，扣</w:t>
            </w:r>
            <w:r>
              <w:rPr>
                <w:color w:val="auto"/>
              </w:rPr>
              <w:t>2-5</w:t>
            </w:r>
            <w:r>
              <w:rPr>
                <w:rFonts w:hint="eastAsia"/>
                <w:color w:val="auto"/>
              </w:rPr>
              <w:t>分</w:t>
            </w:r>
          </w:p>
          <w:p w14:paraId="5974BD8D">
            <w:pPr>
              <w:pStyle w:val="44"/>
              <w:jc w:val="left"/>
              <w:rPr>
                <w:color w:val="auto"/>
              </w:rPr>
            </w:pPr>
            <w:r>
              <w:rPr>
                <w:color w:val="auto"/>
              </w:rPr>
              <w:t>3</w:t>
            </w:r>
            <w:r>
              <w:rPr>
                <w:rFonts w:hint="eastAsia"/>
                <w:color w:val="auto"/>
              </w:rPr>
              <w:t>）机械拆除的施工载荷大于支护结构承载力，扣</w:t>
            </w:r>
            <w:r>
              <w:rPr>
                <w:color w:val="auto"/>
              </w:rPr>
              <w:t>5</w:t>
            </w:r>
            <w:r>
              <w:rPr>
                <w:rFonts w:hint="eastAsia"/>
                <w:color w:val="auto"/>
              </w:rPr>
              <w:t>分</w:t>
            </w:r>
          </w:p>
        </w:tc>
        <w:tc>
          <w:tcPr>
            <w:tcW w:w="736" w:type="dxa"/>
            <w:vAlign w:val="center"/>
          </w:tcPr>
          <w:p w14:paraId="1E36DD50">
            <w:pPr>
              <w:pStyle w:val="44"/>
              <w:rPr>
                <w:color w:val="auto"/>
              </w:rPr>
            </w:pPr>
            <w:r>
              <w:rPr>
                <w:color w:val="auto"/>
              </w:rPr>
              <w:t>5</w:t>
            </w:r>
          </w:p>
        </w:tc>
        <w:tc>
          <w:tcPr>
            <w:tcW w:w="720" w:type="dxa"/>
            <w:vAlign w:val="center"/>
          </w:tcPr>
          <w:p w14:paraId="56D76AFA">
            <w:pPr>
              <w:pStyle w:val="44"/>
              <w:rPr>
                <w:color w:val="auto"/>
              </w:rPr>
            </w:pPr>
          </w:p>
        </w:tc>
        <w:tc>
          <w:tcPr>
            <w:tcW w:w="720" w:type="dxa"/>
            <w:vAlign w:val="center"/>
          </w:tcPr>
          <w:p w14:paraId="562BEFF8">
            <w:pPr>
              <w:pStyle w:val="44"/>
              <w:rPr>
                <w:color w:val="auto"/>
              </w:rPr>
            </w:pPr>
          </w:p>
        </w:tc>
      </w:tr>
      <w:tr w14:paraId="47891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7A212C60">
            <w:pPr>
              <w:pStyle w:val="44"/>
              <w:rPr>
                <w:color w:val="auto"/>
              </w:rPr>
            </w:pPr>
          </w:p>
        </w:tc>
        <w:tc>
          <w:tcPr>
            <w:tcW w:w="543" w:type="dxa"/>
            <w:vMerge w:val="continue"/>
          </w:tcPr>
          <w:p w14:paraId="1B0A24CE">
            <w:pPr>
              <w:pStyle w:val="44"/>
              <w:rPr>
                <w:color w:val="auto"/>
              </w:rPr>
            </w:pPr>
          </w:p>
        </w:tc>
        <w:tc>
          <w:tcPr>
            <w:tcW w:w="6462" w:type="dxa"/>
            <w:gridSpan w:val="2"/>
            <w:vAlign w:val="center"/>
          </w:tcPr>
          <w:p w14:paraId="52D4DAF9">
            <w:pPr>
              <w:pStyle w:val="44"/>
              <w:rPr>
                <w:b/>
                <w:bCs w:val="0"/>
                <w:color w:val="auto"/>
              </w:rPr>
            </w:pPr>
            <w:r>
              <w:rPr>
                <w:rFonts w:hint="eastAsia"/>
                <w:b/>
                <w:bCs w:val="0"/>
                <w:color w:val="auto"/>
              </w:rPr>
              <w:t xml:space="preserve">小 </w:t>
            </w:r>
            <w:r>
              <w:rPr>
                <w:b/>
                <w:bCs w:val="0"/>
                <w:color w:val="auto"/>
              </w:rPr>
              <w:t xml:space="preserve"> </w:t>
            </w:r>
            <w:r>
              <w:rPr>
                <w:rFonts w:hint="eastAsia"/>
                <w:b/>
                <w:bCs w:val="0"/>
                <w:color w:val="auto"/>
              </w:rPr>
              <w:t>计</w:t>
            </w:r>
          </w:p>
        </w:tc>
        <w:tc>
          <w:tcPr>
            <w:tcW w:w="736" w:type="dxa"/>
            <w:vAlign w:val="center"/>
          </w:tcPr>
          <w:p w14:paraId="06BED285">
            <w:pPr>
              <w:pStyle w:val="44"/>
              <w:rPr>
                <w:color w:val="auto"/>
              </w:rPr>
            </w:pPr>
            <w:r>
              <w:rPr>
                <w:color w:val="auto"/>
              </w:rPr>
              <w:t>30</w:t>
            </w:r>
          </w:p>
        </w:tc>
        <w:tc>
          <w:tcPr>
            <w:tcW w:w="720" w:type="dxa"/>
            <w:vAlign w:val="center"/>
          </w:tcPr>
          <w:p w14:paraId="7B26E152">
            <w:pPr>
              <w:pStyle w:val="44"/>
              <w:rPr>
                <w:color w:val="auto"/>
              </w:rPr>
            </w:pPr>
          </w:p>
        </w:tc>
        <w:tc>
          <w:tcPr>
            <w:tcW w:w="720" w:type="dxa"/>
            <w:vAlign w:val="center"/>
          </w:tcPr>
          <w:p w14:paraId="12448719">
            <w:pPr>
              <w:pStyle w:val="44"/>
              <w:rPr>
                <w:color w:val="auto"/>
              </w:rPr>
            </w:pPr>
          </w:p>
        </w:tc>
      </w:tr>
      <w:tr w14:paraId="18A41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trPr>
        <w:tc>
          <w:tcPr>
            <w:tcW w:w="7544" w:type="dxa"/>
            <w:gridSpan w:val="4"/>
            <w:vAlign w:val="center"/>
          </w:tcPr>
          <w:p w14:paraId="68850D3D">
            <w:pPr>
              <w:pStyle w:val="44"/>
              <w:rPr>
                <w:b/>
                <w:bCs w:val="0"/>
                <w:color w:val="auto"/>
              </w:rPr>
            </w:pPr>
            <w:r>
              <w:rPr>
                <w:rFonts w:hint="eastAsia"/>
                <w:b/>
                <w:bCs w:val="0"/>
                <w:color w:val="auto"/>
              </w:rPr>
              <w:t>检查项目合计</w:t>
            </w:r>
          </w:p>
        </w:tc>
        <w:tc>
          <w:tcPr>
            <w:tcW w:w="736" w:type="dxa"/>
            <w:vAlign w:val="center"/>
          </w:tcPr>
          <w:p w14:paraId="7C50052A">
            <w:pPr>
              <w:pStyle w:val="44"/>
              <w:rPr>
                <w:color w:val="auto"/>
              </w:rPr>
            </w:pPr>
            <w:r>
              <w:rPr>
                <w:color w:val="auto"/>
              </w:rPr>
              <w:t>100</w:t>
            </w:r>
          </w:p>
        </w:tc>
        <w:tc>
          <w:tcPr>
            <w:tcW w:w="720" w:type="dxa"/>
            <w:vAlign w:val="center"/>
          </w:tcPr>
          <w:p w14:paraId="104095A1">
            <w:pPr>
              <w:pStyle w:val="44"/>
              <w:rPr>
                <w:color w:val="auto"/>
              </w:rPr>
            </w:pPr>
          </w:p>
        </w:tc>
        <w:tc>
          <w:tcPr>
            <w:tcW w:w="720" w:type="dxa"/>
            <w:vAlign w:val="center"/>
          </w:tcPr>
          <w:p w14:paraId="12D0D0C4">
            <w:pPr>
              <w:pStyle w:val="44"/>
              <w:rPr>
                <w:color w:val="auto"/>
              </w:rPr>
            </w:pPr>
          </w:p>
        </w:tc>
      </w:tr>
    </w:tbl>
    <w:p w14:paraId="6CD822AC"/>
    <w:p w14:paraId="0DBEAB54">
      <w:pPr>
        <w:pStyle w:val="5"/>
      </w:pPr>
      <w:r>
        <w:rPr>
          <w:rFonts w:hint="eastAsia"/>
        </w:rPr>
        <w:br w:type="page"/>
      </w:r>
      <w:bookmarkStart w:id="85" w:name="_Toc8025"/>
      <w:bookmarkStart w:id="86" w:name="_Toc23878"/>
      <w:bookmarkStart w:id="87" w:name="_Toc23956"/>
      <w:r>
        <w:rPr>
          <w:rFonts w:hint="eastAsia"/>
        </w:rPr>
        <w:t>表B.</w:t>
      </w:r>
      <w:r>
        <w:t>2</w:t>
      </w:r>
      <w:r>
        <w:rPr>
          <w:rFonts w:hint="eastAsia"/>
        </w:rPr>
        <w:t>6  塔式起重机检查</w:t>
      </w:r>
      <w:r>
        <w:t>评分表</w:t>
      </w:r>
      <w:bookmarkEnd w:id="85"/>
      <w:bookmarkEnd w:id="86"/>
      <w:bookmarkEnd w:id="87"/>
    </w:p>
    <w:tbl>
      <w:tblPr>
        <w:tblStyle w:val="19"/>
        <w:tblpPr w:leftFromText="180" w:rightFromText="180" w:vertAnchor="text" w:horzAnchor="page" w:tblpX="1150" w:tblpY="631"/>
        <w:tblOverlap w:val="never"/>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40D3E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trPr>
        <w:tc>
          <w:tcPr>
            <w:tcW w:w="539" w:type="dxa"/>
            <w:vAlign w:val="center"/>
          </w:tcPr>
          <w:p w14:paraId="4C82D595">
            <w:pPr>
              <w:pStyle w:val="44"/>
              <w:rPr>
                <w:color w:val="auto"/>
              </w:rPr>
            </w:pPr>
            <w:r>
              <w:rPr>
                <w:rFonts w:hint="eastAsia"/>
                <w:color w:val="auto"/>
              </w:rPr>
              <w:t>序号</w:t>
            </w:r>
          </w:p>
        </w:tc>
        <w:tc>
          <w:tcPr>
            <w:tcW w:w="1441" w:type="dxa"/>
            <w:gridSpan w:val="2"/>
            <w:vAlign w:val="center"/>
          </w:tcPr>
          <w:p w14:paraId="0F9B13DE">
            <w:pPr>
              <w:pStyle w:val="44"/>
              <w:rPr>
                <w:color w:val="auto"/>
              </w:rPr>
            </w:pPr>
            <w:r>
              <w:rPr>
                <w:rFonts w:hint="eastAsia"/>
                <w:color w:val="auto"/>
              </w:rPr>
              <w:t>检查项目</w:t>
            </w:r>
          </w:p>
        </w:tc>
        <w:tc>
          <w:tcPr>
            <w:tcW w:w="5580" w:type="dxa"/>
            <w:vAlign w:val="center"/>
          </w:tcPr>
          <w:p w14:paraId="6B75F38D">
            <w:pPr>
              <w:pStyle w:val="44"/>
              <w:rPr>
                <w:color w:val="auto"/>
              </w:rPr>
            </w:pPr>
            <w:r>
              <w:rPr>
                <w:rFonts w:hint="eastAsia"/>
                <w:color w:val="auto"/>
              </w:rPr>
              <w:t>扣 分 标 准</w:t>
            </w:r>
          </w:p>
        </w:tc>
        <w:tc>
          <w:tcPr>
            <w:tcW w:w="720" w:type="dxa"/>
            <w:vAlign w:val="center"/>
          </w:tcPr>
          <w:p w14:paraId="03C4786E">
            <w:pPr>
              <w:pStyle w:val="44"/>
              <w:rPr>
                <w:color w:val="auto"/>
              </w:rPr>
            </w:pPr>
            <w:r>
              <w:rPr>
                <w:rFonts w:hint="eastAsia"/>
                <w:color w:val="auto"/>
              </w:rPr>
              <w:t>应得</w:t>
            </w:r>
          </w:p>
          <w:p w14:paraId="721CFC7D">
            <w:pPr>
              <w:pStyle w:val="44"/>
              <w:rPr>
                <w:color w:val="auto"/>
              </w:rPr>
            </w:pPr>
            <w:r>
              <w:rPr>
                <w:rFonts w:hint="eastAsia"/>
                <w:color w:val="auto"/>
              </w:rPr>
              <w:t>分数</w:t>
            </w:r>
          </w:p>
        </w:tc>
        <w:tc>
          <w:tcPr>
            <w:tcW w:w="720" w:type="dxa"/>
            <w:vAlign w:val="center"/>
          </w:tcPr>
          <w:p w14:paraId="32798444">
            <w:pPr>
              <w:pStyle w:val="44"/>
              <w:rPr>
                <w:color w:val="auto"/>
              </w:rPr>
            </w:pPr>
            <w:r>
              <w:rPr>
                <w:rFonts w:hint="eastAsia"/>
                <w:color w:val="auto"/>
              </w:rPr>
              <w:t>扣减</w:t>
            </w:r>
          </w:p>
          <w:p w14:paraId="27CA8546">
            <w:pPr>
              <w:pStyle w:val="44"/>
              <w:rPr>
                <w:color w:val="auto"/>
              </w:rPr>
            </w:pPr>
            <w:r>
              <w:rPr>
                <w:rFonts w:hint="eastAsia"/>
                <w:color w:val="auto"/>
              </w:rPr>
              <w:t>分数</w:t>
            </w:r>
          </w:p>
        </w:tc>
        <w:tc>
          <w:tcPr>
            <w:tcW w:w="720" w:type="dxa"/>
            <w:vAlign w:val="center"/>
          </w:tcPr>
          <w:p w14:paraId="47BD46E9">
            <w:pPr>
              <w:pStyle w:val="44"/>
              <w:rPr>
                <w:color w:val="auto"/>
              </w:rPr>
            </w:pPr>
            <w:r>
              <w:rPr>
                <w:rFonts w:hint="eastAsia"/>
                <w:color w:val="auto"/>
              </w:rPr>
              <w:t>实得</w:t>
            </w:r>
          </w:p>
          <w:p w14:paraId="36C3B743">
            <w:pPr>
              <w:pStyle w:val="44"/>
              <w:rPr>
                <w:color w:val="auto"/>
              </w:rPr>
            </w:pPr>
            <w:r>
              <w:rPr>
                <w:rFonts w:hint="eastAsia"/>
                <w:color w:val="auto"/>
              </w:rPr>
              <w:t>分数</w:t>
            </w:r>
          </w:p>
        </w:tc>
      </w:tr>
      <w:tr w14:paraId="0E88C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trPr>
        <w:tc>
          <w:tcPr>
            <w:tcW w:w="539" w:type="dxa"/>
            <w:vAlign w:val="center"/>
          </w:tcPr>
          <w:p w14:paraId="2E345733">
            <w:pPr>
              <w:pStyle w:val="44"/>
              <w:rPr>
                <w:color w:val="auto"/>
              </w:rPr>
            </w:pPr>
            <w:r>
              <w:rPr>
                <w:rFonts w:hint="eastAsia"/>
                <w:color w:val="auto"/>
              </w:rPr>
              <w:t>1</w:t>
            </w:r>
          </w:p>
        </w:tc>
        <w:tc>
          <w:tcPr>
            <w:tcW w:w="543" w:type="dxa"/>
            <w:vMerge w:val="restart"/>
            <w:vAlign w:val="center"/>
          </w:tcPr>
          <w:p w14:paraId="46288EB9">
            <w:pPr>
              <w:pStyle w:val="44"/>
              <w:rPr>
                <w:color w:val="auto"/>
              </w:rPr>
            </w:pPr>
            <w:r>
              <w:rPr>
                <w:rFonts w:hint="eastAsia"/>
                <w:color w:val="auto"/>
              </w:rPr>
              <w:t>保</w:t>
            </w:r>
          </w:p>
          <w:p w14:paraId="2EFEA4E7">
            <w:pPr>
              <w:pStyle w:val="44"/>
              <w:rPr>
                <w:color w:val="auto"/>
              </w:rPr>
            </w:pPr>
            <w:r>
              <w:rPr>
                <w:rFonts w:hint="eastAsia"/>
                <w:color w:val="auto"/>
              </w:rPr>
              <w:t>证</w:t>
            </w:r>
          </w:p>
          <w:p w14:paraId="7BD60886">
            <w:pPr>
              <w:pStyle w:val="44"/>
              <w:rPr>
                <w:color w:val="auto"/>
              </w:rPr>
            </w:pPr>
            <w:r>
              <w:rPr>
                <w:rFonts w:hint="eastAsia"/>
                <w:color w:val="auto"/>
              </w:rPr>
              <w:t>项</w:t>
            </w:r>
          </w:p>
          <w:p w14:paraId="0C6B5AE8">
            <w:pPr>
              <w:pStyle w:val="44"/>
              <w:rPr>
                <w:color w:val="auto"/>
              </w:rPr>
            </w:pPr>
            <w:r>
              <w:rPr>
                <w:rFonts w:hint="eastAsia"/>
                <w:color w:val="auto"/>
              </w:rPr>
              <w:t>目</w:t>
            </w:r>
          </w:p>
        </w:tc>
        <w:tc>
          <w:tcPr>
            <w:tcW w:w="898" w:type="dxa"/>
            <w:vAlign w:val="center"/>
          </w:tcPr>
          <w:p w14:paraId="1DDC5DF7">
            <w:pPr>
              <w:pStyle w:val="44"/>
              <w:rPr>
                <w:color w:val="auto"/>
              </w:rPr>
            </w:pPr>
            <w:r>
              <w:rPr>
                <w:rFonts w:hint="eastAsia"/>
                <w:color w:val="auto"/>
              </w:rPr>
              <w:t>方案与交底</w:t>
            </w:r>
          </w:p>
        </w:tc>
        <w:tc>
          <w:tcPr>
            <w:tcW w:w="5580" w:type="dxa"/>
            <w:vAlign w:val="center"/>
          </w:tcPr>
          <w:p w14:paraId="3925DB31">
            <w:pPr>
              <w:pStyle w:val="44"/>
              <w:jc w:val="left"/>
              <w:rPr>
                <w:color w:val="auto"/>
              </w:rPr>
            </w:pPr>
            <w:r>
              <w:rPr>
                <w:color w:val="auto"/>
              </w:rPr>
              <w:t>1</w:t>
            </w:r>
            <w:r>
              <w:rPr>
                <w:rFonts w:hint="eastAsia"/>
                <w:color w:val="auto"/>
              </w:rPr>
              <w:t>）未按规定编制专项施工方案，或未对地基基础进行设计计算，扣</w:t>
            </w:r>
            <w:r>
              <w:rPr>
                <w:color w:val="auto"/>
              </w:rPr>
              <w:t>10</w:t>
            </w:r>
            <w:r>
              <w:rPr>
                <w:rFonts w:hint="eastAsia"/>
                <w:color w:val="auto"/>
              </w:rPr>
              <w:t>分；方案编制内容不全或无针对性，扣</w:t>
            </w:r>
            <w:r>
              <w:rPr>
                <w:color w:val="auto"/>
              </w:rPr>
              <w:t>2-10</w:t>
            </w:r>
            <w:r>
              <w:rPr>
                <w:rFonts w:hint="eastAsia"/>
                <w:color w:val="auto"/>
              </w:rPr>
              <w:t>分</w:t>
            </w:r>
          </w:p>
          <w:p w14:paraId="228D61CF">
            <w:pPr>
              <w:pStyle w:val="44"/>
              <w:jc w:val="left"/>
              <w:rPr>
                <w:color w:val="auto"/>
              </w:rPr>
            </w:pPr>
            <w:r>
              <w:rPr>
                <w:color w:val="auto"/>
              </w:rPr>
              <w:t>2</w:t>
            </w:r>
            <w:r>
              <w:rPr>
                <w:rFonts w:hint="eastAsia"/>
                <w:color w:val="auto"/>
              </w:rPr>
              <w:t>）多塔作业未制定专项施工方案，扣</w:t>
            </w:r>
            <w:r>
              <w:rPr>
                <w:color w:val="auto"/>
              </w:rPr>
              <w:t>10</w:t>
            </w:r>
            <w:r>
              <w:rPr>
                <w:rFonts w:hint="eastAsia"/>
                <w:color w:val="auto"/>
              </w:rPr>
              <w:t>分</w:t>
            </w:r>
          </w:p>
          <w:p w14:paraId="12768C01">
            <w:pPr>
              <w:pStyle w:val="44"/>
              <w:jc w:val="left"/>
              <w:rPr>
                <w:color w:val="auto"/>
              </w:rPr>
            </w:pPr>
            <w:r>
              <w:rPr>
                <w:color w:val="auto"/>
              </w:rPr>
              <w:t>3</w:t>
            </w:r>
            <w:r>
              <w:rPr>
                <w:rFonts w:hint="eastAsia"/>
                <w:color w:val="auto"/>
              </w:rPr>
              <w:t>）专项施工方案未按规定进行审核、审批，扣</w:t>
            </w:r>
            <w:r>
              <w:rPr>
                <w:color w:val="auto"/>
              </w:rPr>
              <w:t>10</w:t>
            </w:r>
            <w:r>
              <w:rPr>
                <w:rFonts w:hint="eastAsia"/>
                <w:color w:val="auto"/>
              </w:rPr>
              <w:t>分</w:t>
            </w:r>
          </w:p>
          <w:p w14:paraId="4718E288">
            <w:pPr>
              <w:pStyle w:val="44"/>
              <w:jc w:val="left"/>
              <w:rPr>
                <w:color w:val="auto"/>
              </w:rPr>
            </w:pPr>
            <w:r>
              <w:rPr>
                <w:color w:val="auto"/>
              </w:rPr>
              <w:t>4</w:t>
            </w:r>
            <w:r>
              <w:rPr>
                <w:rFonts w:hint="eastAsia"/>
                <w:color w:val="auto"/>
              </w:rPr>
              <w:t>）高度</w:t>
            </w:r>
            <w:r>
              <w:rPr>
                <w:color w:val="auto"/>
              </w:rPr>
              <w:t>200m</w:t>
            </w:r>
            <w:r>
              <w:rPr>
                <w:rFonts w:hint="eastAsia"/>
                <w:color w:val="auto"/>
              </w:rPr>
              <w:t>及以上内爬塔吊的拆除方案未按规定组织专家论证，扣</w:t>
            </w:r>
            <w:r>
              <w:rPr>
                <w:color w:val="auto"/>
              </w:rPr>
              <w:t>10</w:t>
            </w:r>
            <w:r>
              <w:rPr>
                <w:rFonts w:hint="eastAsia"/>
                <w:color w:val="auto"/>
              </w:rPr>
              <w:t>分</w:t>
            </w:r>
          </w:p>
          <w:p w14:paraId="6C664624">
            <w:pPr>
              <w:pStyle w:val="44"/>
              <w:jc w:val="left"/>
              <w:rPr>
                <w:color w:val="auto"/>
              </w:rPr>
            </w:pPr>
            <w:r>
              <w:rPr>
                <w:color w:val="auto"/>
              </w:rPr>
              <w:t>5</w:t>
            </w:r>
            <w:r>
              <w:rPr>
                <w:rFonts w:hint="eastAsia"/>
                <w:color w:val="auto"/>
              </w:rPr>
              <w:t>）专项施工方案实施前未进行安全技术交底，扣</w:t>
            </w:r>
            <w:r>
              <w:rPr>
                <w:color w:val="auto"/>
              </w:rPr>
              <w:t>10</w:t>
            </w:r>
            <w:r>
              <w:rPr>
                <w:rFonts w:hint="eastAsia"/>
                <w:color w:val="auto"/>
              </w:rPr>
              <w:t>分；交底无针对性或无文字记录，扣</w:t>
            </w:r>
            <w:r>
              <w:rPr>
                <w:color w:val="auto"/>
              </w:rPr>
              <w:t>2-5</w:t>
            </w:r>
            <w:r>
              <w:rPr>
                <w:rFonts w:hint="eastAsia"/>
                <w:color w:val="auto"/>
              </w:rPr>
              <w:t>分</w:t>
            </w:r>
          </w:p>
        </w:tc>
        <w:tc>
          <w:tcPr>
            <w:tcW w:w="720" w:type="dxa"/>
            <w:vAlign w:val="center"/>
          </w:tcPr>
          <w:p w14:paraId="7317B49C">
            <w:pPr>
              <w:pStyle w:val="44"/>
              <w:rPr>
                <w:color w:val="auto"/>
              </w:rPr>
            </w:pPr>
            <w:r>
              <w:rPr>
                <w:rFonts w:hint="eastAsia"/>
                <w:color w:val="auto"/>
              </w:rPr>
              <w:t>10</w:t>
            </w:r>
          </w:p>
        </w:tc>
        <w:tc>
          <w:tcPr>
            <w:tcW w:w="720" w:type="dxa"/>
            <w:vAlign w:val="center"/>
          </w:tcPr>
          <w:p w14:paraId="0414A24C">
            <w:pPr>
              <w:pStyle w:val="44"/>
              <w:rPr>
                <w:color w:val="auto"/>
              </w:rPr>
            </w:pPr>
          </w:p>
        </w:tc>
        <w:tc>
          <w:tcPr>
            <w:tcW w:w="720" w:type="dxa"/>
            <w:vAlign w:val="center"/>
          </w:tcPr>
          <w:p w14:paraId="0B3CAE7D">
            <w:pPr>
              <w:pStyle w:val="44"/>
              <w:rPr>
                <w:color w:val="auto"/>
              </w:rPr>
            </w:pPr>
          </w:p>
        </w:tc>
      </w:tr>
      <w:tr w14:paraId="5DD53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trPr>
        <w:tc>
          <w:tcPr>
            <w:tcW w:w="539" w:type="dxa"/>
            <w:vAlign w:val="center"/>
          </w:tcPr>
          <w:p w14:paraId="4E04E42E">
            <w:pPr>
              <w:pStyle w:val="44"/>
              <w:rPr>
                <w:color w:val="auto"/>
              </w:rPr>
            </w:pPr>
            <w:r>
              <w:rPr>
                <w:rFonts w:hint="eastAsia"/>
                <w:color w:val="auto"/>
              </w:rPr>
              <w:t>2</w:t>
            </w:r>
          </w:p>
        </w:tc>
        <w:tc>
          <w:tcPr>
            <w:tcW w:w="543" w:type="dxa"/>
            <w:vMerge w:val="continue"/>
          </w:tcPr>
          <w:p w14:paraId="5DD4E5CE">
            <w:pPr>
              <w:pStyle w:val="44"/>
              <w:rPr>
                <w:color w:val="auto"/>
              </w:rPr>
            </w:pPr>
          </w:p>
        </w:tc>
        <w:tc>
          <w:tcPr>
            <w:tcW w:w="898" w:type="dxa"/>
            <w:vAlign w:val="center"/>
          </w:tcPr>
          <w:p w14:paraId="004C1BB9">
            <w:pPr>
              <w:pStyle w:val="44"/>
              <w:rPr>
                <w:color w:val="auto"/>
              </w:rPr>
            </w:pPr>
            <w:r>
              <w:rPr>
                <w:rFonts w:hint="eastAsia"/>
                <w:color w:val="auto"/>
              </w:rPr>
              <w:t>安全</w:t>
            </w:r>
            <w:r>
              <w:rPr>
                <w:color w:val="auto"/>
              </w:rPr>
              <w:t>装置</w:t>
            </w:r>
          </w:p>
        </w:tc>
        <w:tc>
          <w:tcPr>
            <w:tcW w:w="5580" w:type="dxa"/>
            <w:vAlign w:val="center"/>
          </w:tcPr>
          <w:p w14:paraId="595C86AC">
            <w:pPr>
              <w:pStyle w:val="44"/>
              <w:jc w:val="left"/>
              <w:rPr>
                <w:color w:val="auto"/>
              </w:rPr>
            </w:pPr>
            <w:r>
              <w:rPr>
                <w:color w:val="auto"/>
              </w:rPr>
              <w:t>1）未安装起重量限制器或不灵敏，扣10分</w:t>
            </w:r>
          </w:p>
          <w:p w14:paraId="1F69E539">
            <w:pPr>
              <w:pStyle w:val="44"/>
              <w:jc w:val="left"/>
              <w:rPr>
                <w:color w:val="auto"/>
              </w:rPr>
            </w:pPr>
            <w:r>
              <w:rPr>
                <w:color w:val="auto"/>
              </w:rPr>
              <w:t>2）未安装起重力矩限制器或不灵敏，扣10分</w:t>
            </w:r>
          </w:p>
          <w:p w14:paraId="6E699870">
            <w:pPr>
              <w:pStyle w:val="44"/>
              <w:jc w:val="left"/>
              <w:rPr>
                <w:color w:val="auto"/>
              </w:rPr>
            </w:pPr>
            <w:r>
              <w:rPr>
                <w:color w:val="auto"/>
              </w:rPr>
              <w:t>3</w:t>
            </w:r>
            <w:r>
              <w:rPr>
                <w:rFonts w:hint="eastAsia"/>
                <w:color w:val="auto"/>
              </w:rPr>
              <w:t>）未安装起升高度限位器或不灵敏，扣</w:t>
            </w:r>
            <w:r>
              <w:rPr>
                <w:color w:val="auto"/>
              </w:rPr>
              <w:t>10</w:t>
            </w:r>
            <w:r>
              <w:rPr>
                <w:rFonts w:hint="eastAsia"/>
                <w:color w:val="auto"/>
              </w:rPr>
              <w:t>分；安全越程不符合标准要求，扣</w:t>
            </w:r>
            <w:r>
              <w:rPr>
                <w:color w:val="auto"/>
              </w:rPr>
              <w:t>5</w:t>
            </w:r>
            <w:r>
              <w:rPr>
                <w:rFonts w:hint="eastAsia"/>
                <w:color w:val="auto"/>
              </w:rPr>
              <w:t>分</w:t>
            </w:r>
          </w:p>
          <w:p w14:paraId="3FC17331">
            <w:pPr>
              <w:pStyle w:val="44"/>
              <w:jc w:val="left"/>
              <w:rPr>
                <w:color w:val="auto"/>
              </w:rPr>
            </w:pPr>
            <w:r>
              <w:rPr>
                <w:color w:val="auto"/>
              </w:rPr>
              <w:t>4</w:t>
            </w:r>
            <w:r>
              <w:rPr>
                <w:rFonts w:hint="eastAsia"/>
                <w:color w:val="auto"/>
              </w:rPr>
              <w:t>）小车变幅的塔式起重机未安装小车行程限位开关或不灵敏，扣</w:t>
            </w:r>
            <w:r>
              <w:rPr>
                <w:color w:val="auto"/>
              </w:rPr>
              <w:t>10</w:t>
            </w:r>
            <w:r>
              <w:rPr>
                <w:rFonts w:hint="eastAsia"/>
                <w:color w:val="auto"/>
              </w:rPr>
              <w:t>分</w:t>
            </w:r>
          </w:p>
          <w:p w14:paraId="25F9B3CD">
            <w:pPr>
              <w:pStyle w:val="44"/>
              <w:jc w:val="left"/>
              <w:rPr>
                <w:color w:val="auto"/>
              </w:rPr>
            </w:pPr>
            <w:r>
              <w:rPr>
                <w:color w:val="auto"/>
              </w:rPr>
              <w:t>5</w:t>
            </w:r>
            <w:r>
              <w:rPr>
                <w:rFonts w:hint="eastAsia"/>
                <w:color w:val="auto"/>
              </w:rPr>
              <w:t>）动臂变幅的塔式起重机未安装臂架幅度限位开关或不灵敏，扣</w:t>
            </w:r>
            <w:r>
              <w:rPr>
                <w:color w:val="auto"/>
              </w:rPr>
              <w:t>10</w:t>
            </w:r>
            <w:r>
              <w:rPr>
                <w:rFonts w:hint="eastAsia"/>
                <w:color w:val="auto"/>
              </w:rPr>
              <w:t>分</w:t>
            </w:r>
          </w:p>
          <w:p w14:paraId="0EC03D8D">
            <w:pPr>
              <w:pStyle w:val="44"/>
              <w:jc w:val="left"/>
              <w:rPr>
                <w:color w:val="auto"/>
              </w:rPr>
            </w:pPr>
            <w:r>
              <w:rPr>
                <w:color w:val="auto"/>
              </w:rPr>
              <w:t>6</w:t>
            </w:r>
            <w:r>
              <w:rPr>
                <w:rFonts w:hint="eastAsia"/>
                <w:color w:val="auto"/>
              </w:rPr>
              <w:t>）回转部分不设集电器的塔式起重机未安装回转限位器或不灵敏，扣</w:t>
            </w:r>
            <w:r>
              <w:rPr>
                <w:color w:val="auto"/>
              </w:rPr>
              <w:t>5</w:t>
            </w:r>
            <w:r>
              <w:rPr>
                <w:rFonts w:hint="eastAsia"/>
                <w:color w:val="auto"/>
              </w:rPr>
              <w:t>分</w:t>
            </w:r>
          </w:p>
          <w:p w14:paraId="6D1BDD76">
            <w:pPr>
              <w:pStyle w:val="44"/>
              <w:jc w:val="left"/>
              <w:rPr>
                <w:color w:val="auto"/>
              </w:rPr>
            </w:pPr>
            <w:r>
              <w:rPr>
                <w:color w:val="auto"/>
              </w:rPr>
              <w:t>7</w:t>
            </w:r>
            <w:r>
              <w:rPr>
                <w:rFonts w:hint="eastAsia"/>
                <w:color w:val="auto"/>
              </w:rPr>
              <w:t>）行走式塔式起重机未安装行走限位器或不灵敏，扣</w:t>
            </w:r>
            <w:r>
              <w:rPr>
                <w:color w:val="auto"/>
              </w:rPr>
              <w:t>10</w:t>
            </w:r>
            <w:r>
              <w:rPr>
                <w:rFonts w:hint="eastAsia"/>
                <w:color w:val="auto"/>
              </w:rPr>
              <w:t>分</w:t>
            </w:r>
          </w:p>
        </w:tc>
        <w:tc>
          <w:tcPr>
            <w:tcW w:w="720" w:type="dxa"/>
            <w:vAlign w:val="center"/>
          </w:tcPr>
          <w:p w14:paraId="08E1B4CC">
            <w:pPr>
              <w:pStyle w:val="44"/>
              <w:rPr>
                <w:color w:val="auto"/>
              </w:rPr>
            </w:pPr>
            <w:r>
              <w:rPr>
                <w:rFonts w:hint="eastAsia"/>
                <w:color w:val="auto"/>
              </w:rPr>
              <w:t>10</w:t>
            </w:r>
          </w:p>
        </w:tc>
        <w:tc>
          <w:tcPr>
            <w:tcW w:w="720" w:type="dxa"/>
            <w:vAlign w:val="center"/>
          </w:tcPr>
          <w:p w14:paraId="79D516B6">
            <w:pPr>
              <w:pStyle w:val="44"/>
              <w:rPr>
                <w:color w:val="auto"/>
              </w:rPr>
            </w:pPr>
          </w:p>
        </w:tc>
        <w:tc>
          <w:tcPr>
            <w:tcW w:w="720" w:type="dxa"/>
            <w:vAlign w:val="center"/>
          </w:tcPr>
          <w:p w14:paraId="71E97F82">
            <w:pPr>
              <w:pStyle w:val="44"/>
              <w:rPr>
                <w:color w:val="auto"/>
              </w:rPr>
            </w:pPr>
          </w:p>
        </w:tc>
      </w:tr>
      <w:tr w14:paraId="3E6E8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04607E81">
            <w:pPr>
              <w:pStyle w:val="44"/>
              <w:rPr>
                <w:color w:val="auto"/>
              </w:rPr>
            </w:pPr>
            <w:r>
              <w:rPr>
                <w:rFonts w:hint="eastAsia"/>
                <w:color w:val="auto"/>
              </w:rPr>
              <w:t>3</w:t>
            </w:r>
          </w:p>
        </w:tc>
        <w:tc>
          <w:tcPr>
            <w:tcW w:w="543" w:type="dxa"/>
            <w:vMerge w:val="continue"/>
          </w:tcPr>
          <w:p w14:paraId="75ACDA75">
            <w:pPr>
              <w:pStyle w:val="44"/>
              <w:rPr>
                <w:color w:val="auto"/>
              </w:rPr>
            </w:pPr>
          </w:p>
        </w:tc>
        <w:tc>
          <w:tcPr>
            <w:tcW w:w="898" w:type="dxa"/>
            <w:vAlign w:val="center"/>
          </w:tcPr>
          <w:p w14:paraId="67ADD1B0">
            <w:pPr>
              <w:pStyle w:val="44"/>
              <w:rPr>
                <w:color w:val="auto"/>
              </w:rPr>
            </w:pPr>
            <w:r>
              <w:rPr>
                <w:rFonts w:hint="eastAsia"/>
                <w:color w:val="auto"/>
              </w:rPr>
              <w:t>保护装置</w:t>
            </w:r>
          </w:p>
        </w:tc>
        <w:tc>
          <w:tcPr>
            <w:tcW w:w="5580" w:type="dxa"/>
            <w:vAlign w:val="center"/>
          </w:tcPr>
          <w:p w14:paraId="469D3855">
            <w:pPr>
              <w:pStyle w:val="44"/>
              <w:jc w:val="left"/>
              <w:rPr>
                <w:color w:val="auto"/>
              </w:rPr>
            </w:pPr>
            <w:r>
              <w:rPr>
                <w:color w:val="auto"/>
              </w:rPr>
              <w:t>1</w:t>
            </w:r>
            <w:r>
              <w:rPr>
                <w:rFonts w:hint="eastAsia"/>
                <w:color w:val="auto"/>
              </w:rPr>
              <w:t>）小车变幅的塔式起重机未安装断绳保护装置或未安装断轴保护装置，扣</w:t>
            </w:r>
            <w:r>
              <w:rPr>
                <w:color w:val="auto"/>
              </w:rPr>
              <w:t>10</w:t>
            </w:r>
            <w:r>
              <w:rPr>
                <w:rFonts w:hint="eastAsia"/>
                <w:color w:val="auto"/>
              </w:rPr>
              <w:t>分</w:t>
            </w:r>
          </w:p>
          <w:p w14:paraId="632D3FA4">
            <w:pPr>
              <w:pStyle w:val="44"/>
              <w:jc w:val="left"/>
              <w:rPr>
                <w:color w:val="auto"/>
              </w:rPr>
            </w:pPr>
            <w:r>
              <w:rPr>
                <w:color w:val="auto"/>
              </w:rPr>
              <w:t>2</w:t>
            </w:r>
            <w:r>
              <w:rPr>
                <w:rFonts w:hint="eastAsia"/>
                <w:color w:val="auto"/>
              </w:rPr>
              <w:t>）塔机行走和小车变幅轨道行程末端未按标准要求安装缓冲器和止挡装置，扣</w:t>
            </w:r>
            <w:r>
              <w:rPr>
                <w:color w:val="auto"/>
              </w:rPr>
              <w:t>8</w:t>
            </w:r>
            <w:r>
              <w:rPr>
                <w:rFonts w:hint="eastAsia"/>
                <w:color w:val="auto"/>
              </w:rPr>
              <w:t>分</w:t>
            </w:r>
          </w:p>
          <w:p w14:paraId="3EBBA2FB">
            <w:pPr>
              <w:pStyle w:val="44"/>
              <w:jc w:val="left"/>
              <w:rPr>
                <w:color w:val="auto"/>
              </w:rPr>
            </w:pPr>
            <w:r>
              <w:rPr>
                <w:color w:val="auto"/>
              </w:rPr>
              <w:t>3</w:t>
            </w:r>
            <w:r>
              <w:rPr>
                <w:rFonts w:hint="eastAsia"/>
                <w:color w:val="auto"/>
              </w:rPr>
              <w:t>）塔式起重机顶高度大于</w:t>
            </w:r>
            <w:r>
              <w:rPr>
                <w:color w:val="auto"/>
              </w:rPr>
              <w:t>30m</w:t>
            </w:r>
            <w:r>
              <w:rPr>
                <w:rFonts w:hint="eastAsia"/>
                <w:color w:val="auto"/>
              </w:rPr>
              <w:t>且高于周围建筑物时，未按规定安装红色障碍指示灯，扣</w:t>
            </w:r>
            <w:r>
              <w:rPr>
                <w:color w:val="auto"/>
              </w:rPr>
              <w:t>5</w:t>
            </w:r>
            <w:r>
              <w:rPr>
                <w:rFonts w:hint="eastAsia"/>
                <w:color w:val="auto"/>
              </w:rPr>
              <w:t>分</w:t>
            </w:r>
          </w:p>
          <w:p w14:paraId="5A933101">
            <w:pPr>
              <w:pStyle w:val="44"/>
              <w:jc w:val="left"/>
              <w:rPr>
                <w:color w:val="auto"/>
              </w:rPr>
            </w:pPr>
            <w:r>
              <w:rPr>
                <w:color w:val="auto"/>
              </w:rPr>
              <w:t>4</w:t>
            </w:r>
            <w:r>
              <w:rPr>
                <w:rFonts w:hint="eastAsia"/>
                <w:color w:val="auto"/>
              </w:rPr>
              <w:t>）起重臂根部绞点高度大于</w:t>
            </w:r>
            <w:r>
              <w:rPr>
                <w:color w:val="auto"/>
              </w:rPr>
              <w:t>50m</w:t>
            </w:r>
            <w:r>
              <w:rPr>
                <w:rFonts w:hint="eastAsia"/>
                <w:color w:val="auto"/>
              </w:rPr>
              <w:t>的塔式起重机未安装风速仪或不灵敏，扣</w:t>
            </w:r>
            <w:r>
              <w:rPr>
                <w:color w:val="auto"/>
              </w:rPr>
              <w:t>5</w:t>
            </w:r>
            <w:r>
              <w:rPr>
                <w:rFonts w:hint="eastAsia"/>
                <w:color w:val="auto"/>
              </w:rPr>
              <w:t>分</w:t>
            </w:r>
          </w:p>
        </w:tc>
        <w:tc>
          <w:tcPr>
            <w:tcW w:w="720" w:type="dxa"/>
            <w:vAlign w:val="center"/>
          </w:tcPr>
          <w:p w14:paraId="19A1B386">
            <w:pPr>
              <w:pStyle w:val="44"/>
              <w:rPr>
                <w:color w:val="auto"/>
              </w:rPr>
            </w:pPr>
            <w:r>
              <w:rPr>
                <w:rFonts w:hint="eastAsia"/>
                <w:color w:val="auto"/>
              </w:rPr>
              <w:t>10</w:t>
            </w:r>
          </w:p>
        </w:tc>
        <w:tc>
          <w:tcPr>
            <w:tcW w:w="720" w:type="dxa"/>
            <w:vAlign w:val="center"/>
          </w:tcPr>
          <w:p w14:paraId="201E405E">
            <w:pPr>
              <w:pStyle w:val="44"/>
              <w:rPr>
                <w:color w:val="auto"/>
              </w:rPr>
            </w:pPr>
          </w:p>
        </w:tc>
        <w:tc>
          <w:tcPr>
            <w:tcW w:w="720" w:type="dxa"/>
            <w:vAlign w:val="center"/>
          </w:tcPr>
          <w:p w14:paraId="26E2322B">
            <w:pPr>
              <w:pStyle w:val="44"/>
              <w:rPr>
                <w:color w:val="auto"/>
              </w:rPr>
            </w:pPr>
          </w:p>
        </w:tc>
      </w:tr>
      <w:tr w14:paraId="59C6D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4B4BE964">
            <w:pPr>
              <w:pStyle w:val="44"/>
              <w:rPr>
                <w:color w:val="auto"/>
              </w:rPr>
            </w:pPr>
            <w:r>
              <w:rPr>
                <w:rFonts w:hint="eastAsia"/>
                <w:color w:val="auto"/>
              </w:rPr>
              <w:t>4</w:t>
            </w:r>
          </w:p>
        </w:tc>
        <w:tc>
          <w:tcPr>
            <w:tcW w:w="543" w:type="dxa"/>
            <w:vMerge w:val="continue"/>
          </w:tcPr>
          <w:p w14:paraId="0E0CDC41">
            <w:pPr>
              <w:pStyle w:val="44"/>
              <w:rPr>
                <w:color w:val="auto"/>
              </w:rPr>
            </w:pPr>
          </w:p>
        </w:tc>
        <w:tc>
          <w:tcPr>
            <w:tcW w:w="898" w:type="dxa"/>
            <w:vAlign w:val="center"/>
          </w:tcPr>
          <w:p w14:paraId="4252F23B">
            <w:pPr>
              <w:pStyle w:val="44"/>
              <w:rPr>
                <w:color w:val="auto"/>
              </w:rPr>
            </w:pPr>
            <w:r>
              <w:rPr>
                <w:rFonts w:hint="eastAsia"/>
                <w:color w:val="auto"/>
              </w:rPr>
              <w:t>吊钩、滑轮、钢丝绳与索具</w:t>
            </w:r>
          </w:p>
        </w:tc>
        <w:tc>
          <w:tcPr>
            <w:tcW w:w="5580" w:type="dxa"/>
            <w:vAlign w:val="center"/>
          </w:tcPr>
          <w:p w14:paraId="626551AC">
            <w:pPr>
              <w:pStyle w:val="44"/>
              <w:jc w:val="left"/>
              <w:rPr>
                <w:color w:val="auto"/>
              </w:rPr>
            </w:pPr>
            <w:r>
              <w:rPr>
                <w:color w:val="auto"/>
              </w:rPr>
              <w:t>1</w:t>
            </w:r>
            <w:r>
              <w:rPr>
                <w:rFonts w:hint="eastAsia"/>
                <w:color w:val="auto"/>
              </w:rPr>
              <w:t>）吊钩规格、型号不符合产品说明书要求或磨损、变形达到报废标准，扣</w:t>
            </w:r>
            <w:r>
              <w:rPr>
                <w:color w:val="auto"/>
              </w:rPr>
              <w:t>10</w:t>
            </w:r>
            <w:r>
              <w:rPr>
                <w:rFonts w:hint="eastAsia"/>
                <w:color w:val="auto"/>
              </w:rPr>
              <w:t>分</w:t>
            </w:r>
          </w:p>
          <w:p w14:paraId="4E1D2641">
            <w:pPr>
              <w:pStyle w:val="44"/>
              <w:jc w:val="left"/>
              <w:rPr>
                <w:color w:val="auto"/>
              </w:rPr>
            </w:pPr>
            <w:r>
              <w:rPr>
                <w:color w:val="auto"/>
              </w:rPr>
              <w:t>2</w:t>
            </w:r>
            <w:r>
              <w:rPr>
                <w:rFonts w:hint="eastAsia"/>
                <w:color w:val="auto"/>
              </w:rPr>
              <w:t>）滑轮、卷筒磨损达到报废标准，扣</w:t>
            </w:r>
            <w:r>
              <w:rPr>
                <w:color w:val="auto"/>
              </w:rPr>
              <w:t>10</w:t>
            </w:r>
            <w:r>
              <w:rPr>
                <w:rFonts w:hint="eastAsia"/>
                <w:color w:val="auto"/>
              </w:rPr>
              <w:t>分</w:t>
            </w:r>
          </w:p>
          <w:p w14:paraId="64B303D3">
            <w:pPr>
              <w:pStyle w:val="44"/>
              <w:jc w:val="left"/>
              <w:rPr>
                <w:color w:val="auto"/>
              </w:rPr>
            </w:pPr>
            <w:r>
              <w:rPr>
                <w:color w:val="auto"/>
              </w:rPr>
              <w:t>3</w:t>
            </w:r>
            <w:r>
              <w:rPr>
                <w:rFonts w:hint="eastAsia"/>
                <w:color w:val="auto"/>
              </w:rPr>
              <w:t>）吊钩、滑轮、卷筒未设置钢丝绳防脱装置或装置失效，扣</w:t>
            </w:r>
            <w:r>
              <w:rPr>
                <w:color w:val="auto"/>
              </w:rPr>
              <w:t>10</w:t>
            </w:r>
            <w:r>
              <w:rPr>
                <w:rFonts w:hint="eastAsia"/>
                <w:color w:val="auto"/>
              </w:rPr>
              <w:t>分</w:t>
            </w:r>
          </w:p>
          <w:p w14:paraId="594D1C73">
            <w:pPr>
              <w:pStyle w:val="44"/>
              <w:jc w:val="left"/>
              <w:rPr>
                <w:color w:val="auto"/>
              </w:rPr>
            </w:pPr>
            <w:r>
              <w:rPr>
                <w:color w:val="auto"/>
              </w:rPr>
              <w:t>4</w:t>
            </w:r>
            <w:r>
              <w:rPr>
                <w:rFonts w:hint="eastAsia"/>
                <w:color w:val="auto"/>
              </w:rPr>
              <w:t>）钢丝绳磨损、断丝、变形、锈蚀达到报废标准，扣</w:t>
            </w:r>
            <w:r>
              <w:rPr>
                <w:color w:val="auto"/>
              </w:rPr>
              <w:t>10</w:t>
            </w:r>
            <w:r>
              <w:rPr>
                <w:rFonts w:hint="eastAsia"/>
                <w:color w:val="auto"/>
              </w:rPr>
              <w:t>分</w:t>
            </w:r>
          </w:p>
          <w:p w14:paraId="42298B20">
            <w:pPr>
              <w:pStyle w:val="44"/>
              <w:jc w:val="left"/>
              <w:rPr>
                <w:color w:val="auto"/>
              </w:rPr>
            </w:pPr>
            <w:r>
              <w:rPr>
                <w:color w:val="auto"/>
              </w:rPr>
              <w:t>5</w:t>
            </w:r>
            <w:r>
              <w:rPr>
                <w:rFonts w:hint="eastAsia"/>
                <w:color w:val="auto"/>
              </w:rPr>
              <w:t>）钢丝绳的规格、型号不符合产品说明书要求或穿绕不正确，扣</w:t>
            </w:r>
            <w:r>
              <w:rPr>
                <w:color w:val="auto"/>
              </w:rPr>
              <w:t>10</w:t>
            </w:r>
            <w:r>
              <w:rPr>
                <w:rFonts w:hint="eastAsia"/>
                <w:color w:val="auto"/>
              </w:rPr>
              <w:t>分</w:t>
            </w:r>
          </w:p>
          <w:p w14:paraId="61B4CE67">
            <w:pPr>
              <w:pStyle w:val="44"/>
              <w:jc w:val="left"/>
              <w:rPr>
                <w:color w:val="auto"/>
              </w:rPr>
            </w:pPr>
            <w:r>
              <w:rPr>
                <w:color w:val="auto"/>
              </w:rPr>
              <w:t>6</w:t>
            </w:r>
            <w:r>
              <w:rPr>
                <w:rFonts w:hint="eastAsia"/>
                <w:color w:val="auto"/>
              </w:rPr>
              <w:t>）钢丝绳端部固接方式不符合标准要求，扣</w:t>
            </w:r>
            <w:r>
              <w:rPr>
                <w:color w:val="auto"/>
              </w:rPr>
              <w:t>10</w:t>
            </w:r>
            <w:r>
              <w:rPr>
                <w:rFonts w:hint="eastAsia"/>
                <w:color w:val="auto"/>
              </w:rPr>
              <w:t>分</w:t>
            </w:r>
          </w:p>
          <w:p w14:paraId="67076B63">
            <w:pPr>
              <w:pStyle w:val="44"/>
              <w:jc w:val="left"/>
              <w:rPr>
                <w:color w:val="auto"/>
              </w:rPr>
            </w:pPr>
            <w:r>
              <w:rPr>
                <w:color w:val="auto"/>
              </w:rPr>
              <w:t>7</w:t>
            </w:r>
            <w:r>
              <w:rPr>
                <w:rFonts w:hint="eastAsia"/>
                <w:color w:val="auto"/>
              </w:rPr>
              <w:t>）当吊钩处于最低位置时，卷筒上钢丝绳少于</w:t>
            </w:r>
            <w:r>
              <w:rPr>
                <w:color w:val="auto"/>
              </w:rPr>
              <w:t>3</w:t>
            </w:r>
            <w:r>
              <w:rPr>
                <w:rFonts w:hint="eastAsia"/>
                <w:color w:val="auto"/>
              </w:rPr>
              <w:t>圈，扣</w:t>
            </w:r>
            <w:r>
              <w:rPr>
                <w:color w:val="auto"/>
              </w:rPr>
              <w:t>10</w:t>
            </w:r>
            <w:r>
              <w:rPr>
                <w:rFonts w:hint="eastAsia"/>
                <w:color w:val="auto"/>
              </w:rPr>
              <w:t>分</w:t>
            </w:r>
          </w:p>
          <w:p w14:paraId="345A4093">
            <w:pPr>
              <w:pStyle w:val="44"/>
              <w:jc w:val="left"/>
              <w:rPr>
                <w:color w:val="auto"/>
              </w:rPr>
            </w:pPr>
            <w:r>
              <w:rPr>
                <w:color w:val="auto"/>
              </w:rPr>
              <w:t>8</w:t>
            </w:r>
            <w:r>
              <w:rPr>
                <w:rFonts w:hint="eastAsia"/>
                <w:color w:val="auto"/>
              </w:rPr>
              <w:t>）卷筒上钢丝绳尾端固定方式不符合产品说明书要求或设置安全可靠的固定装置，扣</w:t>
            </w:r>
            <w:r>
              <w:rPr>
                <w:color w:val="auto"/>
              </w:rPr>
              <w:t>10</w:t>
            </w:r>
            <w:r>
              <w:rPr>
                <w:rFonts w:hint="eastAsia"/>
                <w:color w:val="auto"/>
              </w:rPr>
              <w:t>分</w:t>
            </w:r>
          </w:p>
          <w:p w14:paraId="32318837">
            <w:pPr>
              <w:pStyle w:val="44"/>
              <w:jc w:val="left"/>
              <w:rPr>
                <w:color w:val="auto"/>
              </w:rPr>
            </w:pPr>
            <w:r>
              <w:rPr>
                <w:color w:val="auto"/>
              </w:rPr>
              <w:t>9</w:t>
            </w:r>
            <w:r>
              <w:rPr>
                <w:rFonts w:hint="eastAsia"/>
                <w:color w:val="auto"/>
              </w:rPr>
              <w:t>）索具安全系数不符合标准要求，扣</w:t>
            </w:r>
            <w:r>
              <w:rPr>
                <w:color w:val="auto"/>
              </w:rPr>
              <w:t>10</w:t>
            </w:r>
            <w:r>
              <w:rPr>
                <w:rFonts w:hint="eastAsia"/>
                <w:color w:val="auto"/>
              </w:rPr>
              <w:t>分</w:t>
            </w:r>
          </w:p>
          <w:p w14:paraId="6FD887DE">
            <w:pPr>
              <w:pStyle w:val="44"/>
              <w:jc w:val="left"/>
              <w:rPr>
                <w:color w:val="auto"/>
              </w:rPr>
            </w:pPr>
            <w:r>
              <w:rPr>
                <w:color w:val="auto"/>
              </w:rPr>
              <w:t>10</w:t>
            </w:r>
            <w:r>
              <w:rPr>
                <w:rFonts w:hint="eastAsia"/>
                <w:color w:val="auto"/>
              </w:rPr>
              <w:t>）索具端部固接方式应符合标准要求，扣</w:t>
            </w:r>
            <w:r>
              <w:rPr>
                <w:color w:val="auto"/>
              </w:rPr>
              <w:t>5-10</w:t>
            </w:r>
            <w:r>
              <w:rPr>
                <w:rFonts w:hint="eastAsia"/>
                <w:color w:val="auto"/>
              </w:rPr>
              <w:t>分</w:t>
            </w:r>
          </w:p>
        </w:tc>
        <w:tc>
          <w:tcPr>
            <w:tcW w:w="720" w:type="dxa"/>
            <w:vAlign w:val="center"/>
          </w:tcPr>
          <w:p w14:paraId="7C8A4285">
            <w:pPr>
              <w:pStyle w:val="44"/>
              <w:rPr>
                <w:color w:val="auto"/>
              </w:rPr>
            </w:pPr>
            <w:r>
              <w:rPr>
                <w:rFonts w:hint="eastAsia"/>
                <w:color w:val="auto"/>
              </w:rPr>
              <w:t>10</w:t>
            </w:r>
          </w:p>
        </w:tc>
        <w:tc>
          <w:tcPr>
            <w:tcW w:w="720" w:type="dxa"/>
            <w:vAlign w:val="center"/>
          </w:tcPr>
          <w:p w14:paraId="7EAAC6D6">
            <w:pPr>
              <w:pStyle w:val="44"/>
              <w:rPr>
                <w:color w:val="auto"/>
              </w:rPr>
            </w:pPr>
          </w:p>
        </w:tc>
        <w:tc>
          <w:tcPr>
            <w:tcW w:w="720" w:type="dxa"/>
            <w:vAlign w:val="center"/>
          </w:tcPr>
          <w:p w14:paraId="558523B4">
            <w:pPr>
              <w:pStyle w:val="44"/>
              <w:rPr>
                <w:color w:val="auto"/>
              </w:rPr>
            </w:pPr>
          </w:p>
        </w:tc>
      </w:tr>
      <w:tr w14:paraId="7B8FE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trPr>
        <w:tc>
          <w:tcPr>
            <w:tcW w:w="539" w:type="dxa"/>
            <w:vAlign w:val="center"/>
          </w:tcPr>
          <w:p w14:paraId="76886EE3">
            <w:pPr>
              <w:pStyle w:val="44"/>
              <w:rPr>
                <w:color w:val="auto"/>
              </w:rPr>
            </w:pPr>
            <w:r>
              <w:rPr>
                <w:rFonts w:hint="eastAsia"/>
                <w:color w:val="auto"/>
              </w:rPr>
              <w:t>5</w:t>
            </w:r>
          </w:p>
        </w:tc>
        <w:tc>
          <w:tcPr>
            <w:tcW w:w="543" w:type="dxa"/>
            <w:vMerge w:val="continue"/>
          </w:tcPr>
          <w:p w14:paraId="40818EAD">
            <w:pPr>
              <w:pStyle w:val="44"/>
              <w:rPr>
                <w:color w:val="auto"/>
              </w:rPr>
            </w:pPr>
          </w:p>
        </w:tc>
        <w:tc>
          <w:tcPr>
            <w:tcW w:w="898" w:type="dxa"/>
            <w:vAlign w:val="center"/>
          </w:tcPr>
          <w:p w14:paraId="485A8209">
            <w:pPr>
              <w:pStyle w:val="44"/>
              <w:rPr>
                <w:color w:val="auto"/>
              </w:rPr>
            </w:pPr>
            <w:r>
              <w:rPr>
                <w:color w:val="auto"/>
              </w:rPr>
              <w:t>附着</w:t>
            </w:r>
          </w:p>
        </w:tc>
        <w:tc>
          <w:tcPr>
            <w:tcW w:w="5580" w:type="dxa"/>
            <w:vAlign w:val="center"/>
          </w:tcPr>
          <w:p w14:paraId="4FC8BDAA">
            <w:pPr>
              <w:pStyle w:val="44"/>
              <w:jc w:val="left"/>
              <w:rPr>
                <w:color w:val="auto"/>
              </w:rPr>
            </w:pPr>
            <w:r>
              <w:rPr>
                <w:color w:val="auto"/>
              </w:rPr>
              <w:t>1）当塔式起重机高度超过产品说明书规定时未安装附着装置，扣10分</w:t>
            </w:r>
          </w:p>
          <w:p w14:paraId="3E2A8630">
            <w:pPr>
              <w:pStyle w:val="44"/>
              <w:jc w:val="left"/>
              <w:rPr>
                <w:color w:val="auto"/>
              </w:rPr>
            </w:pPr>
            <w:r>
              <w:rPr>
                <w:color w:val="auto"/>
              </w:rPr>
              <w:t>2</w:t>
            </w:r>
            <w:r>
              <w:rPr>
                <w:rFonts w:hint="eastAsia"/>
                <w:color w:val="auto"/>
              </w:rPr>
              <w:t>）附着装置水平距离不符合说明书要求时未进行设计计算和审批，扣</w:t>
            </w:r>
            <w:r>
              <w:rPr>
                <w:color w:val="auto"/>
              </w:rPr>
              <w:t>10</w:t>
            </w:r>
            <w:r>
              <w:rPr>
                <w:rFonts w:hint="eastAsia"/>
                <w:color w:val="auto"/>
              </w:rPr>
              <w:t>分</w:t>
            </w:r>
          </w:p>
          <w:p w14:paraId="79CD99FA">
            <w:pPr>
              <w:pStyle w:val="44"/>
              <w:jc w:val="left"/>
              <w:rPr>
                <w:color w:val="auto"/>
              </w:rPr>
            </w:pPr>
            <w:r>
              <w:rPr>
                <w:color w:val="auto"/>
              </w:rPr>
              <w:t>3</w:t>
            </w:r>
            <w:r>
              <w:rPr>
                <w:rFonts w:hint="eastAsia"/>
                <w:color w:val="auto"/>
              </w:rPr>
              <w:t>）附着前、附着后塔身垂直度不符合标准要求，扣</w:t>
            </w:r>
            <w:r>
              <w:rPr>
                <w:color w:val="auto"/>
              </w:rPr>
              <w:t>10</w:t>
            </w:r>
            <w:r>
              <w:rPr>
                <w:rFonts w:hint="eastAsia"/>
                <w:color w:val="auto"/>
              </w:rPr>
              <w:t>分</w:t>
            </w:r>
          </w:p>
          <w:p w14:paraId="6E67979F">
            <w:pPr>
              <w:pStyle w:val="44"/>
              <w:jc w:val="left"/>
              <w:rPr>
                <w:color w:val="auto"/>
              </w:rPr>
            </w:pPr>
            <w:r>
              <w:rPr>
                <w:color w:val="auto"/>
              </w:rPr>
              <w:t>4</w:t>
            </w:r>
            <w:r>
              <w:rPr>
                <w:rFonts w:hint="eastAsia"/>
                <w:color w:val="auto"/>
              </w:rPr>
              <w:t>）未对采用内爬式起重机的构筑物承载结构进行承载力验算，扣</w:t>
            </w:r>
            <w:r>
              <w:rPr>
                <w:color w:val="auto"/>
              </w:rPr>
              <w:t>10</w:t>
            </w:r>
            <w:r>
              <w:rPr>
                <w:rFonts w:hint="eastAsia"/>
                <w:color w:val="auto"/>
              </w:rPr>
              <w:t>分</w:t>
            </w:r>
          </w:p>
        </w:tc>
        <w:tc>
          <w:tcPr>
            <w:tcW w:w="720" w:type="dxa"/>
            <w:vAlign w:val="center"/>
          </w:tcPr>
          <w:p w14:paraId="1D4FF3B0">
            <w:pPr>
              <w:pStyle w:val="44"/>
              <w:rPr>
                <w:color w:val="auto"/>
              </w:rPr>
            </w:pPr>
            <w:r>
              <w:rPr>
                <w:rFonts w:hint="eastAsia"/>
                <w:color w:val="auto"/>
              </w:rPr>
              <w:t>10</w:t>
            </w:r>
          </w:p>
        </w:tc>
        <w:tc>
          <w:tcPr>
            <w:tcW w:w="720" w:type="dxa"/>
            <w:vAlign w:val="center"/>
          </w:tcPr>
          <w:p w14:paraId="1A26F722">
            <w:pPr>
              <w:pStyle w:val="44"/>
              <w:rPr>
                <w:color w:val="auto"/>
              </w:rPr>
            </w:pPr>
          </w:p>
        </w:tc>
        <w:tc>
          <w:tcPr>
            <w:tcW w:w="720" w:type="dxa"/>
            <w:vAlign w:val="center"/>
          </w:tcPr>
          <w:p w14:paraId="62363B6F">
            <w:pPr>
              <w:pStyle w:val="44"/>
              <w:rPr>
                <w:color w:val="auto"/>
              </w:rPr>
            </w:pPr>
          </w:p>
        </w:tc>
      </w:tr>
      <w:tr w14:paraId="5C29B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1CF0014A">
            <w:pPr>
              <w:pStyle w:val="44"/>
              <w:rPr>
                <w:color w:val="auto"/>
              </w:rPr>
            </w:pPr>
            <w:r>
              <w:rPr>
                <w:rFonts w:hint="eastAsia"/>
                <w:color w:val="auto"/>
              </w:rPr>
              <w:t>6</w:t>
            </w:r>
          </w:p>
        </w:tc>
        <w:tc>
          <w:tcPr>
            <w:tcW w:w="543" w:type="dxa"/>
            <w:vMerge w:val="continue"/>
            <w:vAlign w:val="center"/>
          </w:tcPr>
          <w:p w14:paraId="13E2551B">
            <w:pPr>
              <w:pStyle w:val="44"/>
              <w:rPr>
                <w:color w:val="auto"/>
              </w:rPr>
            </w:pPr>
          </w:p>
        </w:tc>
        <w:tc>
          <w:tcPr>
            <w:tcW w:w="898" w:type="dxa"/>
            <w:vAlign w:val="center"/>
          </w:tcPr>
          <w:p w14:paraId="2A733726">
            <w:pPr>
              <w:pStyle w:val="44"/>
              <w:rPr>
                <w:color w:val="auto"/>
              </w:rPr>
            </w:pPr>
            <w:r>
              <w:rPr>
                <w:color w:val="auto"/>
              </w:rPr>
              <w:t>安装、拆卸</w:t>
            </w:r>
          </w:p>
          <w:p w14:paraId="2D6D0A65">
            <w:pPr>
              <w:pStyle w:val="44"/>
              <w:rPr>
                <w:color w:val="auto"/>
              </w:rPr>
            </w:pPr>
            <w:r>
              <w:rPr>
                <w:color w:val="auto"/>
              </w:rPr>
              <w:t>与验收</w:t>
            </w:r>
          </w:p>
        </w:tc>
        <w:tc>
          <w:tcPr>
            <w:tcW w:w="5580" w:type="dxa"/>
            <w:vAlign w:val="center"/>
          </w:tcPr>
          <w:p w14:paraId="13D99E61">
            <w:pPr>
              <w:pStyle w:val="44"/>
              <w:jc w:val="left"/>
              <w:rPr>
                <w:color w:val="auto"/>
              </w:rPr>
            </w:pPr>
            <w:r>
              <w:rPr>
                <w:color w:val="auto"/>
              </w:rPr>
              <w:t>1</w:t>
            </w:r>
            <w:r>
              <w:rPr>
                <w:rFonts w:hint="eastAsia"/>
                <w:color w:val="auto"/>
              </w:rPr>
              <w:t>）无制造许可证、产品合格证、备案证明和产品说明书，扣</w:t>
            </w:r>
            <w:r>
              <w:rPr>
                <w:color w:val="auto"/>
              </w:rPr>
              <w:t>5</w:t>
            </w:r>
            <w:r>
              <w:rPr>
                <w:rFonts w:hint="eastAsia"/>
                <w:color w:val="auto"/>
              </w:rPr>
              <w:t>分</w:t>
            </w:r>
          </w:p>
          <w:p w14:paraId="4F69890A">
            <w:pPr>
              <w:pStyle w:val="44"/>
              <w:jc w:val="left"/>
              <w:rPr>
                <w:color w:val="auto"/>
              </w:rPr>
            </w:pPr>
            <w:r>
              <w:rPr>
                <w:color w:val="auto"/>
              </w:rPr>
              <w:t>2</w:t>
            </w:r>
            <w:r>
              <w:rPr>
                <w:rFonts w:hint="eastAsia"/>
                <w:color w:val="auto"/>
              </w:rPr>
              <w:t>）安装、拆卸单位未取得起重设备安装工程专业承包资质和安全生产许可证，扣</w:t>
            </w:r>
            <w:r>
              <w:rPr>
                <w:color w:val="auto"/>
              </w:rPr>
              <w:t>10</w:t>
            </w:r>
            <w:r>
              <w:rPr>
                <w:rFonts w:hint="eastAsia"/>
                <w:color w:val="auto"/>
              </w:rPr>
              <w:t>分</w:t>
            </w:r>
          </w:p>
          <w:p w14:paraId="6070B3DB">
            <w:pPr>
              <w:pStyle w:val="44"/>
              <w:jc w:val="left"/>
              <w:rPr>
                <w:color w:val="auto"/>
              </w:rPr>
            </w:pPr>
            <w:r>
              <w:rPr>
                <w:color w:val="auto"/>
              </w:rPr>
              <w:t>3</w:t>
            </w:r>
            <w:r>
              <w:rPr>
                <w:rFonts w:hint="eastAsia"/>
                <w:color w:val="auto"/>
              </w:rPr>
              <w:t>）安装、拆卸作业人员未取得特种作业资格证书，扣</w:t>
            </w:r>
            <w:r>
              <w:rPr>
                <w:color w:val="auto"/>
              </w:rPr>
              <w:t>10</w:t>
            </w:r>
            <w:r>
              <w:rPr>
                <w:rFonts w:hint="eastAsia"/>
                <w:color w:val="auto"/>
              </w:rPr>
              <w:t>分</w:t>
            </w:r>
          </w:p>
          <w:p w14:paraId="13E02E81">
            <w:pPr>
              <w:pStyle w:val="44"/>
              <w:jc w:val="left"/>
              <w:rPr>
                <w:color w:val="auto"/>
              </w:rPr>
            </w:pPr>
            <w:r>
              <w:rPr>
                <w:color w:val="auto"/>
              </w:rPr>
              <w:t>4</w:t>
            </w:r>
            <w:r>
              <w:rPr>
                <w:rFonts w:hint="eastAsia"/>
                <w:color w:val="auto"/>
              </w:rPr>
              <w:t>）恶劣气候条件下进行塔式起重机安拆，扣</w:t>
            </w:r>
            <w:r>
              <w:rPr>
                <w:color w:val="auto"/>
              </w:rPr>
              <w:t>10</w:t>
            </w:r>
            <w:r>
              <w:rPr>
                <w:rFonts w:hint="eastAsia"/>
                <w:color w:val="auto"/>
              </w:rPr>
              <w:t>分</w:t>
            </w:r>
          </w:p>
          <w:p w14:paraId="7C41C9B3">
            <w:pPr>
              <w:pStyle w:val="44"/>
              <w:jc w:val="left"/>
              <w:rPr>
                <w:color w:val="auto"/>
              </w:rPr>
            </w:pPr>
            <w:r>
              <w:rPr>
                <w:rFonts w:hint="eastAsia"/>
                <w:color w:val="auto"/>
              </w:rPr>
              <w:t>5</w:t>
            </w:r>
            <w:r>
              <w:rPr>
                <w:color w:val="auto"/>
              </w:rPr>
              <w:t>）未履行验收程序或未经责任人签字确认，扣10分</w:t>
            </w:r>
          </w:p>
          <w:p w14:paraId="01D9E292">
            <w:pPr>
              <w:pStyle w:val="44"/>
              <w:jc w:val="left"/>
              <w:rPr>
                <w:color w:val="auto"/>
              </w:rPr>
            </w:pPr>
            <w:r>
              <w:rPr>
                <w:color w:val="auto"/>
              </w:rPr>
              <w:t>6</w:t>
            </w:r>
            <w:r>
              <w:rPr>
                <w:rFonts w:hint="eastAsia"/>
                <w:color w:val="auto"/>
              </w:rPr>
              <w:t>）验收后未办理使用登记，扣</w:t>
            </w:r>
            <w:r>
              <w:rPr>
                <w:color w:val="auto"/>
              </w:rPr>
              <w:t>5</w:t>
            </w:r>
            <w:r>
              <w:rPr>
                <w:rFonts w:hint="eastAsia"/>
                <w:color w:val="auto"/>
              </w:rPr>
              <w:t>分</w:t>
            </w:r>
          </w:p>
        </w:tc>
        <w:tc>
          <w:tcPr>
            <w:tcW w:w="720" w:type="dxa"/>
            <w:vAlign w:val="center"/>
          </w:tcPr>
          <w:p w14:paraId="066550A0">
            <w:pPr>
              <w:pStyle w:val="44"/>
              <w:rPr>
                <w:color w:val="auto"/>
              </w:rPr>
            </w:pPr>
            <w:r>
              <w:rPr>
                <w:rFonts w:hint="eastAsia"/>
                <w:color w:val="auto"/>
              </w:rPr>
              <w:t>10</w:t>
            </w:r>
          </w:p>
        </w:tc>
        <w:tc>
          <w:tcPr>
            <w:tcW w:w="720" w:type="dxa"/>
            <w:vAlign w:val="center"/>
          </w:tcPr>
          <w:p w14:paraId="5F393AD8">
            <w:pPr>
              <w:pStyle w:val="44"/>
              <w:rPr>
                <w:color w:val="auto"/>
              </w:rPr>
            </w:pPr>
          </w:p>
        </w:tc>
        <w:tc>
          <w:tcPr>
            <w:tcW w:w="720" w:type="dxa"/>
            <w:vAlign w:val="center"/>
          </w:tcPr>
          <w:p w14:paraId="73C47552">
            <w:pPr>
              <w:pStyle w:val="44"/>
              <w:rPr>
                <w:color w:val="auto"/>
              </w:rPr>
            </w:pPr>
          </w:p>
        </w:tc>
      </w:tr>
      <w:tr w14:paraId="2583C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3E1E2176">
            <w:pPr>
              <w:pStyle w:val="44"/>
              <w:rPr>
                <w:color w:val="auto"/>
              </w:rPr>
            </w:pPr>
            <w:r>
              <w:rPr>
                <w:rFonts w:hint="eastAsia"/>
                <w:color w:val="auto"/>
              </w:rPr>
              <w:t>7</w:t>
            </w:r>
          </w:p>
        </w:tc>
        <w:tc>
          <w:tcPr>
            <w:tcW w:w="543" w:type="dxa"/>
            <w:vMerge w:val="continue"/>
            <w:vAlign w:val="center"/>
          </w:tcPr>
          <w:p w14:paraId="37B188D4">
            <w:pPr>
              <w:pStyle w:val="44"/>
              <w:rPr>
                <w:color w:val="auto"/>
              </w:rPr>
            </w:pPr>
          </w:p>
        </w:tc>
        <w:tc>
          <w:tcPr>
            <w:tcW w:w="898" w:type="dxa"/>
            <w:vAlign w:val="center"/>
          </w:tcPr>
          <w:p w14:paraId="1ABDEFFF">
            <w:pPr>
              <w:pStyle w:val="44"/>
              <w:rPr>
                <w:color w:val="auto"/>
              </w:rPr>
            </w:pPr>
            <w:r>
              <w:rPr>
                <w:rFonts w:hint="eastAsia"/>
                <w:color w:val="auto"/>
              </w:rPr>
              <w:t>使用</w:t>
            </w:r>
          </w:p>
        </w:tc>
        <w:tc>
          <w:tcPr>
            <w:tcW w:w="5580" w:type="dxa"/>
            <w:vAlign w:val="center"/>
          </w:tcPr>
          <w:p w14:paraId="12D1BD30">
            <w:pPr>
              <w:pStyle w:val="44"/>
              <w:jc w:val="left"/>
              <w:rPr>
                <w:color w:val="auto"/>
              </w:rPr>
            </w:pPr>
            <w:r>
              <w:rPr>
                <w:color w:val="auto"/>
              </w:rPr>
              <w:t>1</w:t>
            </w:r>
            <w:r>
              <w:rPr>
                <w:rFonts w:hint="eastAsia"/>
                <w:color w:val="auto"/>
              </w:rPr>
              <w:t>）起重司机、信号工、司索工未取得特种作业资格证书，扣</w:t>
            </w:r>
            <w:r>
              <w:rPr>
                <w:color w:val="auto"/>
              </w:rPr>
              <w:t>10</w:t>
            </w:r>
            <w:r>
              <w:rPr>
                <w:rFonts w:hint="eastAsia"/>
                <w:color w:val="auto"/>
              </w:rPr>
              <w:t>分</w:t>
            </w:r>
          </w:p>
          <w:p w14:paraId="31ECCBDB">
            <w:pPr>
              <w:pStyle w:val="44"/>
              <w:jc w:val="left"/>
              <w:rPr>
                <w:color w:val="auto"/>
              </w:rPr>
            </w:pPr>
            <w:r>
              <w:rPr>
                <w:color w:val="auto"/>
              </w:rPr>
              <w:t>2</w:t>
            </w:r>
            <w:r>
              <w:rPr>
                <w:rFonts w:hint="eastAsia"/>
                <w:color w:val="auto"/>
              </w:rPr>
              <w:t>）行走式塔式起重机停止作业时未锁紧夹轨器，扣</w:t>
            </w:r>
            <w:r>
              <w:rPr>
                <w:color w:val="auto"/>
              </w:rPr>
              <w:t>5</w:t>
            </w:r>
            <w:r>
              <w:rPr>
                <w:rFonts w:hint="eastAsia"/>
                <w:color w:val="auto"/>
              </w:rPr>
              <w:t>分</w:t>
            </w:r>
          </w:p>
          <w:p w14:paraId="1D7A0C5B">
            <w:pPr>
              <w:pStyle w:val="44"/>
              <w:jc w:val="left"/>
              <w:rPr>
                <w:color w:val="auto"/>
              </w:rPr>
            </w:pPr>
            <w:r>
              <w:rPr>
                <w:color w:val="auto"/>
              </w:rPr>
              <w:t>3</w:t>
            </w:r>
            <w:r>
              <w:rPr>
                <w:rFonts w:hint="eastAsia"/>
                <w:color w:val="auto"/>
              </w:rPr>
              <w:t>）作业前未按规定进行例行检查或未填写检查记录，扣</w:t>
            </w:r>
            <w:r>
              <w:rPr>
                <w:color w:val="auto"/>
              </w:rPr>
              <w:t>5</w:t>
            </w:r>
            <w:r>
              <w:rPr>
                <w:rFonts w:hint="eastAsia"/>
                <w:color w:val="auto"/>
              </w:rPr>
              <w:t>分</w:t>
            </w:r>
          </w:p>
          <w:p w14:paraId="1E69FF9C">
            <w:pPr>
              <w:pStyle w:val="44"/>
              <w:jc w:val="left"/>
              <w:rPr>
                <w:color w:val="auto"/>
              </w:rPr>
            </w:pPr>
            <w:r>
              <w:rPr>
                <w:color w:val="auto"/>
              </w:rPr>
              <w:t>4</w:t>
            </w:r>
            <w:r>
              <w:rPr>
                <w:rFonts w:hint="eastAsia"/>
                <w:color w:val="auto"/>
              </w:rPr>
              <w:t>）实行多班作业未按规定填写交接班记录，扣</w:t>
            </w:r>
            <w:r>
              <w:rPr>
                <w:color w:val="auto"/>
              </w:rPr>
              <w:t>5</w:t>
            </w:r>
            <w:r>
              <w:rPr>
                <w:rFonts w:hint="eastAsia"/>
                <w:color w:val="auto"/>
              </w:rPr>
              <w:t>分</w:t>
            </w:r>
          </w:p>
          <w:p w14:paraId="719817E4">
            <w:pPr>
              <w:pStyle w:val="44"/>
              <w:jc w:val="left"/>
              <w:rPr>
                <w:color w:val="auto"/>
              </w:rPr>
            </w:pPr>
            <w:r>
              <w:rPr>
                <w:color w:val="auto"/>
              </w:rPr>
              <w:t>5</w:t>
            </w:r>
            <w:r>
              <w:rPr>
                <w:rFonts w:hint="eastAsia"/>
                <w:color w:val="auto"/>
              </w:rPr>
              <w:t>）多台塔式起重机作业时，两台塔式起重机之间的最小架设距离不符合标准要求，扣</w:t>
            </w:r>
            <w:r>
              <w:rPr>
                <w:color w:val="auto"/>
              </w:rPr>
              <w:t>10</w:t>
            </w:r>
            <w:r>
              <w:rPr>
                <w:rFonts w:hint="eastAsia"/>
                <w:color w:val="auto"/>
              </w:rPr>
              <w:t>分</w:t>
            </w:r>
          </w:p>
          <w:p w14:paraId="466D6583">
            <w:pPr>
              <w:pStyle w:val="44"/>
              <w:jc w:val="left"/>
              <w:rPr>
                <w:color w:val="auto"/>
              </w:rPr>
            </w:pPr>
            <w:r>
              <w:rPr>
                <w:color w:val="auto"/>
              </w:rPr>
              <w:t>6</w:t>
            </w:r>
            <w:r>
              <w:rPr>
                <w:rFonts w:hint="eastAsia"/>
                <w:color w:val="auto"/>
              </w:rPr>
              <w:t>）采用吊具载运人员，扣</w:t>
            </w:r>
            <w:r>
              <w:rPr>
                <w:color w:val="auto"/>
              </w:rPr>
              <w:t>10</w:t>
            </w:r>
            <w:r>
              <w:rPr>
                <w:rFonts w:hint="eastAsia"/>
                <w:color w:val="auto"/>
              </w:rPr>
              <w:t>分</w:t>
            </w:r>
          </w:p>
        </w:tc>
        <w:tc>
          <w:tcPr>
            <w:tcW w:w="720" w:type="dxa"/>
            <w:vAlign w:val="center"/>
          </w:tcPr>
          <w:p w14:paraId="28FC5238">
            <w:pPr>
              <w:pStyle w:val="44"/>
              <w:rPr>
                <w:color w:val="auto"/>
              </w:rPr>
            </w:pPr>
            <w:r>
              <w:rPr>
                <w:rFonts w:hint="eastAsia"/>
                <w:color w:val="auto"/>
              </w:rPr>
              <w:t>10</w:t>
            </w:r>
          </w:p>
        </w:tc>
        <w:tc>
          <w:tcPr>
            <w:tcW w:w="720" w:type="dxa"/>
            <w:vAlign w:val="center"/>
          </w:tcPr>
          <w:p w14:paraId="60F3C0DB">
            <w:pPr>
              <w:pStyle w:val="44"/>
              <w:rPr>
                <w:color w:val="auto"/>
              </w:rPr>
            </w:pPr>
          </w:p>
        </w:tc>
        <w:tc>
          <w:tcPr>
            <w:tcW w:w="720" w:type="dxa"/>
            <w:vAlign w:val="center"/>
          </w:tcPr>
          <w:p w14:paraId="09107116">
            <w:pPr>
              <w:pStyle w:val="44"/>
              <w:rPr>
                <w:color w:val="auto"/>
              </w:rPr>
            </w:pPr>
          </w:p>
        </w:tc>
      </w:tr>
      <w:tr w14:paraId="65793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1E3F126A">
            <w:pPr>
              <w:pStyle w:val="44"/>
              <w:rPr>
                <w:color w:val="auto"/>
              </w:rPr>
            </w:pPr>
          </w:p>
        </w:tc>
        <w:tc>
          <w:tcPr>
            <w:tcW w:w="543" w:type="dxa"/>
            <w:vMerge w:val="continue"/>
            <w:vAlign w:val="center"/>
          </w:tcPr>
          <w:p w14:paraId="5B6A0034">
            <w:pPr>
              <w:pStyle w:val="44"/>
              <w:rPr>
                <w:color w:val="auto"/>
              </w:rPr>
            </w:pPr>
          </w:p>
        </w:tc>
        <w:tc>
          <w:tcPr>
            <w:tcW w:w="6478" w:type="dxa"/>
            <w:gridSpan w:val="2"/>
            <w:vAlign w:val="center"/>
          </w:tcPr>
          <w:p w14:paraId="5D44794F">
            <w:pPr>
              <w:pStyle w:val="44"/>
              <w:rPr>
                <w:b/>
                <w:bCs w:val="0"/>
                <w:color w:val="auto"/>
              </w:rPr>
            </w:pPr>
            <w:r>
              <w:rPr>
                <w:rFonts w:hint="eastAsia"/>
                <w:b/>
                <w:bCs w:val="0"/>
                <w:color w:val="auto"/>
              </w:rPr>
              <w:t xml:space="preserve">小 </w:t>
            </w:r>
            <w:r>
              <w:rPr>
                <w:b/>
                <w:bCs w:val="0"/>
                <w:color w:val="auto"/>
              </w:rPr>
              <w:t xml:space="preserve"> </w:t>
            </w:r>
            <w:r>
              <w:rPr>
                <w:rFonts w:hint="eastAsia"/>
                <w:b/>
                <w:bCs w:val="0"/>
                <w:color w:val="auto"/>
              </w:rPr>
              <w:t>计</w:t>
            </w:r>
          </w:p>
        </w:tc>
        <w:tc>
          <w:tcPr>
            <w:tcW w:w="720" w:type="dxa"/>
            <w:vAlign w:val="center"/>
          </w:tcPr>
          <w:p w14:paraId="0B8D4DBB">
            <w:pPr>
              <w:pStyle w:val="44"/>
              <w:rPr>
                <w:color w:val="auto"/>
              </w:rPr>
            </w:pPr>
            <w:r>
              <w:rPr>
                <w:rFonts w:hint="eastAsia"/>
                <w:color w:val="auto"/>
              </w:rPr>
              <w:t>70</w:t>
            </w:r>
          </w:p>
        </w:tc>
        <w:tc>
          <w:tcPr>
            <w:tcW w:w="720" w:type="dxa"/>
            <w:vAlign w:val="center"/>
          </w:tcPr>
          <w:p w14:paraId="34F993F3">
            <w:pPr>
              <w:pStyle w:val="44"/>
              <w:rPr>
                <w:color w:val="auto"/>
              </w:rPr>
            </w:pPr>
          </w:p>
        </w:tc>
        <w:tc>
          <w:tcPr>
            <w:tcW w:w="720" w:type="dxa"/>
            <w:vAlign w:val="center"/>
          </w:tcPr>
          <w:p w14:paraId="3850DEA8">
            <w:pPr>
              <w:pStyle w:val="44"/>
              <w:rPr>
                <w:color w:val="auto"/>
              </w:rPr>
            </w:pPr>
          </w:p>
        </w:tc>
      </w:tr>
      <w:tr w14:paraId="77587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trPr>
        <w:tc>
          <w:tcPr>
            <w:tcW w:w="539" w:type="dxa"/>
            <w:vAlign w:val="center"/>
          </w:tcPr>
          <w:p w14:paraId="0126BFB8">
            <w:pPr>
              <w:pStyle w:val="44"/>
              <w:rPr>
                <w:color w:val="auto"/>
              </w:rPr>
            </w:pPr>
            <w:r>
              <w:rPr>
                <w:rFonts w:hint="eastAsia"/>
                <w:color w:val="auto"/>
              </w:rPr>
              <w:t>1</w:t>
            </w:r>
          </w:p>
        </w:tc>
        <w:tc>
          <w:tcPr>
            <w:tcW w:w="543" w:type="dxa"/>
            <w:vMerge w:val="restart"/>
            <w:vAlign w:val="center"/>
          </w:tcPr>
          <w:p w14:paraId="7A9BA203">
            <w:pPr>
              <w:pStyle w:val="44"/>
              <w:rPr>
                <w:color w:val="auto"/>
              </w:rPr>
            </w:pPr>
            <w:r>
              <w:rPr>
                <w:rFonts w:hint="eastAsia"/>
                <w:color w:val="auto"/>
              </w:rPr>
              <w:t>一</w:t>
            </w:r>
          </w:p>
          <w:p w14:paraId="5A5E728C">
            <w:pPr>
              <w:pStyle w:val="44"/>
              <w:rPr>
                <w:color w:val="auto"/>
              </w:rPr>
            </w:pPr>
            <w:r>
              <w:rPr>
                <w:rFonts w:hint="eastAsia"/>
                <w:color w:val="auto"/>
              </w:rPr>
              <w:t>般</w:t>
            </w:r>
          </w:p>
          <w:p w14:paraId="26A39821">
            <w:pPr>
              <w:pStyle w:val="44"/>
              <w:rPr>
                <w:color w:val="auto"/>
              </w:rPr>
            </w:pPr>
            <w:r>
              <w:rPr>
                <w:rFonts w:hint="eastAsia"/>
                <w:color w:val="auto"/>
              </w:rPr>
              <w:t>项</w:t>
            </w:r>
          </w:p>
          <w:p w14:paraId="5295CB6E">
            <w:pPr>
              <w:pStyle w:val="44"/>
              <w:rPr>
                <w:color w:val="auto"/>
              </w:rPr>
            </w:pPr>
            <w:r>
              <w:rPr>
                <w:rFonts w:hint="eastAsia"/>
                <w:color w:val="auto"/>
              </w:rPr>
              <w:t>目</w:t>
            </w:r>
          </w:p>
        </w:tc>
        <w:tc>
          <w:tcPr>
            <w:tcW w:w="898" w:type="dxa"/>
            <w:vAlign w:val="center"/>
          </w:tcPr>
          <w:p w14:paraId="1F997E2E">
            <w:pPr>
              <w:pStyle w:val="44"/>
              <w:rPr>
                <w:color w:val="auto"/>
              </w:rPr>
            </w:pPr>
            <w:r>
              <w:rPr>
                <w:color w:val="auto"/>
              </w:rPr>
              <w:t>轨道与基础</w:t>
            </w:r>
          </w:p>
        </w:tc>
        <w:tc>
          <w:tcPr>
            <w:tcW w:w="5580" w:type="dxa"/>
            <w:vAlign w:val="center"/>
          </w:tcPr>
          <w:p w14:paraId="7771DDD4">
            <w:pPr>
              <w:pStyle w:val="44"/>
              <w:jc w:val="left"/>
              <w:rPr>
                <w:color w:val="auto"/>
              </w:rPr>
            </w:pPr>
            <w:r>
              <w:rPr>
                <w:color w:val="auto"/>
              </w:rPr>
              <w:t>1</w:t>
            </w:r>
            <w:r>
              <w:rPr>
                <w:rFonts w:hint="eastAsia"/>
                <w:color w:val="auto"/>
              </w:rPr>
              <w:t>）基础形式、材料、尺寸不符合产品说明书及标准要求，扣</w:t>
            </w:r>
            <w:r>
              <w:rPr>
                <w:color w:val="auto"/>
              </w:rPr>
              <w:t>10</w:t>
            </w:r>
            <w:r>
              <w:rPr>
                <w:rFonts w:hint="eastAsia"/>
                <w:color w:val="auto"/>
              </w:rPr>
              <w:t>分；未按标准要求进行验收，扣</w:t>
            </w:r>
            <w:r>
              <w:rPr>
                <w:color w:val="auto"/>
              </w:rPr>
              <w:t>5</w:t>
            </w:r>
            <w:r>
              <w:rPr>
                <w:rFonts w:hint="eastAsia"/>
                <w:color w:val="auto"/>
              </w:rPr>
              <w:t>分</w:t>
            </w:r>
          </w:p>
          <w:p w14:paraId="789DFD47">
            <w:pPr>
              <w:pStyle w:val="44"/>
              <w:jc w:val="left"/>
              <w:rPr>
                <w:color w:val="auto"/>
              </w:rPr>
            </w:pPr>
            <w:r>
              <w:rPr>
                <w:color w:val="auto"/>
              </w:rPr>
              <w:t>2）基础未设置防、排水措施，扣5分</w:t>
            </w:r>
          </w:p>
          <w:p w14:paraId="32B2C320">
            <w:pPr>
              <w:pStyle w:val="44"/>
              <w:jc w:val="left"/>
              <w:rPr>
                <w:color w:val="auto"/>
              </w:rPr>
            </w:pPr>
            <w:r>
              <w:rPr>
                <w:color w:val="auto"/>
              </w:rPr>
              <w:t>3）行走式塔式起重机的轨道、路基箱、枕木、道钉、压板等铺设不符合</w:t>
            </w:r>
            <w:r>
              <w:rPr>
                <w:rFonts w:hint="eastAsia"/>
                <w:color w:val="auto"/>
              </w:rPr>
              <w:t>产品</w:t>
            </w:r>
            <w:r>
              <w:rPr>
                <w:color w:val="auto"/>
              </w:rPr>
              <w:t>说明书及标准要求，扣3-8分</w:t>
            </w:r>
          </w:p>
        </w:tc>
        <w:tc>
          <w:tcPr>
            <w:tcW w:w="720" w:type="dxa"/>
            <w:vAlign w:val="center"/>
          </w:tcPr>
          <w:p w14:paraId="481D961A">
            <w:pPr>
              <w:pStyle w:val="44"/>
              <w:rPr>
                <w:color w:val="auto"/>
              </w:rPr>
            </w:pPr>
            <w:r>
              <w:rPr>
                <w:rFonts w:hint="eastAsia"/>
                <w:color w:val="auto"/>
              </w:rPr>
              <w:t>10</w:t>
            </w:r>
          </w:p>
        </w:tc>
        <w:tc>
          <w:tcPr>
            <w:tcW w:w="720" w:type="dxa"/>
            <w:vAlign w:val="center"/>
          </w:tcPr>
          <w:p w14:paraId="1860816E">
            <w:pPr>
              <w:pStyle w:val="44"/>
              <w:rPr>
                <w:color w:val="auto"/>
              </w:rPr>
            </w:pPr>
          </w:p>
        </w:tc>
        <w:tc>
          <w:tcPr>
            <w:tcW w:w="720" w:type="dxa"/>
            <w:vAlign w:val="center"/>
          </w:tcPr>
          <w:p w14:paraId="688AF1A5">
            <w:pPr>
              <w:pStyle w:val="44"/>
              <w:rPr>
                <w:color w:val="auto"/>
              </w:rPr>
            </w:pPr>
          </w:p>
        </w:tc>
      </w:tr>
      <w:tr w14:paraId="4A847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09145675">
            <w:pPr>
              <w:pStyle w:val="44"/>
              <w:rPr>
                <w:color w:val="auto"/>
              </w:rPr>
            </w:pPr>
            <w:r>
              <w:rPr>
                <w:rFonts w:hint="eastAsia"/>
                <w:color w:val="auto"/>
              </w:rPr>
              <w:t>2</w:t>
            </w:r>
          </w:p>
        </w:tc>
        <w:tc>
          <w:tcPr>
            <w:tcW w:w="543" w:type="dxa"/>
            <w:vMerge w:val="continue"/>
          </w:tcPr>
          <w:p w14:paraId="7D8726A6">
            <w:pPr>
              <w:pStyle w:val="44"/>
              <w:rPr>
                <w:color w:val="auto"/>
              </w:rPr>
            </w:pPr>
          </w:p>
        </w:tc>
        <w:tc>
          <w:tcPr>
            <w:tcW w:w="898" w:type="dxa"/>
            <w:vAlign w:val="center"/>
          </w:tcPr>
          <w:p w14:paraId="3D230ACF">
            <w:pPr>
              <w:pStyle w:val="44"/>
              <w:rPr>
                <w:color w:val="auto"/>
              </w:rPr>
            </w:pPr>
            <w:r>
              <w:rPr>
                <w:rFonts w:hint="eastAsia"/>
                <w:color w:val="auto"/>
              </w:rPr>
              <w:t>结构设施</w:t>
            </w:r>
          </w:p>
        </w:tc>
        <w:tc>
          <w:tcPr>
            <w:tcW w:w="5580" w:type="dxa"/>
            <w:vAlign w:val="center"/>
          </w:tcPr>
          <w:p w14:paraId="5B93209E">
            <w:pPr>
              <w:pStyle w:val="44"/>
              <w:jc w:val="left"/>
              <w:rPr>
                <w:color w:val="auto"/>
              </w:rPr>
            </w:pPr>
            <w:r>
              <w:rPr>
                <w:color w:val="auto"/>
              </w:rPr>
              <w:t>1</w:t>
            </w:r>
            <w:r>
              <w:rPr>
                <w:rFonts w:hint="eastAsia"/>
                <w:color w:val="auto"/>
              </w:rPr>
              <w:t>）主要受力结构件变形、锈蚀不符合相关标准要求，扣</w:t>
            </w:r>
            <w:r>
              <w:rPr>
                <w:color w:val="auto"/>
              </w:rPr>
              <w:t>10</w:t>
            </w:r>
            <w:r>
              <w:rPr>
                <w:rFonts w:hint="eastAsia"/>
                <w:color w:val="auto"/>
              </w:rPr>
              <w:t>分</w:t>
            </w:r>
          </w:p>
          <w:p w14:paraId="1DC0A1C4">
            <w:pPr>
              <w:pStyle w:val="44"/>
              <w:jc w:val="left"/>
              <w:rPr>
                <w:color w:val="auto"/>
              </w:rPr>
            </w:pPr>
            <w:r>
              <w:rPr>
                <w:color w:val="auto"/>
              </w:rPr>
              <w:t>2</w:t>
            </w:r>
            <w:r>
              <w:rPr>
                <w:rFonts w:hint="eastAsia"/>
                <w:color w:val="auto"/>
              </w:rPr>
              <w:t>）平台、起重臂走道、梯子、护栏、护圈设置不符合产品说明书及标准要求，扣</w:t>
            </w:r>
            <w:r>
              <w:rPr>
                <w:color w:val="auto"/>
              </w:rPr>
              <w:t>4-8</w:t>
            </w:r>
            <w:r>
              <w:rPr>
                <w:rFonts w:hint="eastAsia"/>
                <w:color w:val="auto"/>
              </w:rPr>
              <w:t>分</w:t>
            </w:r>
          </w:p>
          <w:p w14:paraId="6048C083">
            <w:pPr>
              <w:pStyle w:val="44"/>
              <w:jc w:val="left"/>
              <w:rPr>
                <w:color w:val="auto"/>
              </w:rPr>
            </w:pPr>
            <w:r>
              <w:rPr>
                <w:color w:val="auto"/>
              </w:rPr>
              <w:t>3</w:t>
            </w:r>
            <w:r>
              <w:rPr>
                <w:rFonts w:hint="eastAsia"/>
                <w:color w:val="auto"/>
              </w:rPr>
              <w:t>）高强螺栓、销轴、紧固件的紧固、连接不符合产品说明书及相关标准要求，扣</w:t>
            </w:r>
            <w:r>
              <w:rPr>
                <w:color w:val="auto"/>
              </w:rPr>
              <w:t>5-10</w:t>
            </w:r>
            <w:r>
              <w:rPr>
                <w:rFonts w:hint="eastAsia"/>
                <w:color w:val="auto"/>
              </w:rPr>
              <w:t>分</w:t>
            </w:r>
          </w:p>
          <w:p w14:paraId="428105A6">
            <w:pPr>
              <w:pStyle w:val="44"/>
              <w:jc w:val="left"/>
              <w:rPr>
                <w:color w:val="auto"/>
              </w:rPr>
            </w:pPr>
            <w:r>
              <w:rPr>
                <w:color w:val="auto"/>
              </w:rPr>
              <w:t>4</w:t>
            </w:r>
            <w:r>
              <w:rPr>
                <w:rFonts w:hint="eastAsia"/>
                <w:color w:val="auto"/>
              </w:rPr>
              <w:t>）司机室设置不符合相关标准要求，扣</w:t>
            </w:r>
            <w:r>
              <w:rPr>
                <w:color w:val="auto"/>
              </w:rPr>
              <w:t>3-8</w:t>
            </w:r>
            <w:r>
              <w:rPr>
                <w:rFonts w:hint="eastAsia"/>
                <w:color w:val="auto"/>
              </w:rPr>
              <w:t>分</w:t>
            </w:r>
          </w:p>
        </w:tc>
        <w:tc>
          <w:tcPr>
            <w:tcW w:w="720" w:type="dxa"/>
            <w:vAlign w:val="center"/>
          </w:tcPr>
          <w:p w14:paraId="6EC4D2F0">
            <w:pPr>
              <w:pStyle w:val="44"/>
              <w:rPr>
                <w:color w:val="auto"/>
              </w:rPr>
            </w:pPr>
            <w:r>
              <w:rPr>
                <w:rFonts w:hint="eastAsia"/>
                <w:color w:val="auto"/>
              </w:rPr>
              <w:t>10</w:t>
            </w:r>
          </w:p>
        </w:tc>
        <w:tc>
          <w:tcPr>
            <w:tcW w:w="720" w:type="dxa"/>
            <w:vAlign w:val="center"/>
          </w:tcPr>
          <w:p w14:paraId="391724F9">
            <w:pPr>
              <w:pStyle w:val="44"/>
              <w:rPr>
                <w:color w:val="auto"/>
              </w:rPr>
            </w:pPr>
          </w:p>
        </w:tc>
        <w:tc>
          <w:tcPr>
            <w:tcW w:w="720" w:type="dxa"/>
            <w:vAlign w:val="center"/>
          </w:tcPr>
          <w:p w14:paraId="19A8723A">
            <w:pPr>
              <w:pStyle w:val="44"/>
              <w:rPr>
                <w:color w:val="auto"/>
              </w:rPr>
            </w:pPr>
          </w:p>
        </w:tc>
      </w:tr>
      <w:tr w14:paraId="5BF79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793B0C76">
            <w:pPr>
              <w:pStyle w:val="44"/>
              <w:rPr>
                <w:color w:val="auto"/>
              </w:rPr>
            </w:pPr>
            <w:r>
              <w:rPr>
                <w:rFonts w:hint="eastAsia"/>
                <w:color w:val="auto"/>
              </w:rPr>
              <w:t>3</w:t>
            </w:r>
          </w:p>
        </w:tc>
        <w:tc>
          <w:tcPr>
            <w:tcW w:w="543" w:type="dxa"/>
            <w:vMerge w:val="continue"/>
          </w:tcPr>
          <w:p w14:paraId="5F133288">
            <w:pPr>
              <w:pStyle w:val="44"/>
              <w:rPr>
                <w:color w:val="auto"/>
              </w:rPr>
            </w:pPr>
          </w:p>
        </w:tc>
        <w:tc>
          <w:tcPr>
            <w:tcW w:w="898" w:type="dxa"/>
            <w:vAlign w:val="center"/>
          </w:tcPr>
          <w:p w14:paraId="101A8906">
            <w:pPr>
              <w:pStyle w:val="44"/>
              <w:rPr>
                <w:color w:val="auto"/>
              </w:rPr>
            </w:pPr>
            <w:r>
              <w:rPr>
                <w:rFonts w:hint="eastAsia"/>
                <w:color w:val="auto"/>
              </w:rPr>
              <w:t>电气安全</w:t>
            </w:r>
          </w:p>
        </w:tc>
        <w:tc>
          <w:tcPr>
            <w:tcW w:w="5580" w:type="dxa"/>
            <w:vAlign w:val="center"/>
          </w:tcPr>
          <w:p w14:paraId="6860EA57">
            <w:pPr>
              <w:pStyle w:val="44"/>
              <w:jc w:val="left"/>
              <w:rPr>
                <w:color w:val="auto"/>
              </w:rPr>
            </w:pPr>
            <w:r>
              <w:rPr>
                <w:color w:val="auto"/>
              </w:rPr>
              <w:t>1</w:t>
            </w:r>
            <w:r>
              <w:rPr>
                <w:rFonts w:hint="eastAsia"/>
                <w:color w:val="auto"/>
              </w:rPr>
              <w:t>）未采用</w:t>
            </w:r>
            <w:r>
              <w:rPr>
                <w:color w:val="auto"/>
              </w:rPr>
              <w:t>TN-S</w:t>
            </w:r>
            <w:r>
              <w:rPr>
                <w:rFonts w:hint="eastAsia"/>
                <w:color w:val="auto"/>
              </w:rPr>
              <w:t>接零保护系统供电，扣</w:t>
            </w:r>
            <w:r>
              <w:rPr>
                <w:color w:val="auto"/>
              </w:rPr>
              <w:t>10</w:t>
            </w:r>
            <w:r>
              <w:rPr>
                <w:rFonts w:hint="eastAsia"/>
                <w:color w:val="auto"/>
              </w:rPr>
              <w:t>分</w:t>
            </w:r>
          </w:p>
          <w:p w14:paraId="2A921309">
            <w:pPr>
              <w:pStyle w:val="44"/>
              <w:jc w:val="left"/>
              <w:rPr>
                <w:color w:val="auto"/>
              </w:rPr>
            </w:pPr>
            <w:r>
              <w:rPr>
                <w:color w:val="auto"/>
              </w:rPr>
              <w:t>2</w:t>
            </w:r>
            <w:r>
              <w:rPr>
                <w:rFonts w:hint="eastAsia"/>
                <w:color w:val="auto"/>
              </w:rPr>
              <w:t>）电缆使用及固定不符合相关标准要求，扣</w:t>
            </w:r>
            <w:r>
              <w:rPr>
                <w:color w:val="auto"/>
              </w:rPr>
              <w:t>5</w:t>
            </w:r>
            <w:r>
              <w:rPr>
                <w:rFonts w:hint="eastAsia"/>
                <w:color w:val="auto"/>
              </w:rPr>
              <w:t>分</w:t>
            </w:r>
          </w:p>
          <w:p w14:paraId="59367DE6">
            <w:pPr>
              <w:pStyle w:val="44"/>
              <w:jc w:val="left"/>
              <w:rPr>
                <w:color w:val="auto"/>
              </w:rPr>
            </w:pPr>
            <w:r>
              <w:rPr>
                <w:color w:val="auto"/>
              </w:rPr>
              <w:t>3</w:t>
            </w:r>
            <w:r>
              <w:rPr>
                <w:rFonts w:hint="eastAsia"/>
                <w:color w:val="auto"/>
              </w:rPr>
              <w:t>）未设置非自动复位型紧急断电开关或不灵敏，扣</w:t>
            </w:r>
            <w:r>
              <w:rPr>
                <w:color w:val="auto"/>
              </w:rPr>
              <w:t>5</w:t>
            </w:r>
            <w:r>
              <w:rPr>
                <w:rFonts w:hint="eastAsia"/>
                <w:color w:val="auto"/>
              </w:rPr>
              <w:t>分</w:t>
            </w:r>
          </w:p>
          <w:p w14:paraId="55D68588">
            <w:pPr>
              <w:pStyle w:val="44"/>
              <w:jc w:val="left"/>
              <w:rPr>
                <w:color w:val="auto"/>
              </w:rPr>
            </w:pPr>
            <w:r>
              <w:rPr>
                <w:color w:val="auto"/>
              </w:rPr>
              <w:t>4</w:t>
            </w:r>
            <w:r>
              <w:rPr>
                <w:rFonts w:hint="eastAsia"/>
                <w:color w:val="auto"/>
              </w:rPr>
              <w:t>）未按标准要求设置避雷装置，</w:t>
            </w:r>
            <w:r>
              <w:rPr>
                <w:color w:val="auto"/>
              </w:rPr>
              <w:t>5</w:t>
            </w:r>
            <w:r>
              <w:rPr>
                <w:rFonts w:hint="eastAsia"/>
                <w:color w:val="auto"/>
              </w:rPr>
              <w:t>分</w:t>
            </w:r>
          </w:p>
          <w:p w14:paraId="6F58BEF0">
            <w:pPr>
              <w:pStyle w:val="44"/>
              <w:jc w:val="left"/>
              <w:rPr>
                <w:color w:val="auto"/>
              </w:rPr>
            </w:pPr>
            <w:r>
              <w:rPr>
                <w:color w:val="auto"/>
              </w:rPr>
              <w:t>5</w:t>
            </w:r>
            <w:r>
              <w:rPr>
                <w:rFonts w:hint="eastAsia"/>
                <w:color w:val="auto"/>
              </w:rPr>
              <w:t>）塔式起重机与架空线路的安全距离不符合标准要求时，未采取防护措施，扣</w:t>
            </w:r>
            <w:r>
              <w:rPr>
                <w:color w:val="auto"/>
              </w:rPr>
              <w:t>10</w:t>
            </w:r>
            <w:r>
              <w:rPr>
                <w:rFonts w:hint="eastAsia"/>
                <w:color w:val="auto"/>
              </w:rPr>
              <w:t>分</w:t>
            </w:r>
          </w:p>
        </w:tc>
        <w:tc>
          <w:tcPr>
            <w:tcW w:w="720" w:type="dxa"/>
            <w:vAlign w:val="center"/>
          </w:tcPr>
          <w:p w14:paraId="419A05FB">
            <w:pPr>
              <w:pStyle w:val="44"/>
              <w:rPr>
                <w:color w:val="auto"/>
              </w:rPr>
            </w:pPr>
            <w:r>
              <w:rPr>
                <w:rFonts w:hint="eastAsia"/>
                <w:color w:val="auto"/>
              </w:rPr>
              <w:t>10</w:t>
            </w:r>
          </w:p>
        </w:tc>
        <w:tc>
          <w:tcPr>
            <w:tcW w:w="720" w:type="dxa"/>
            <w:vAlign w:val="center"/>
          </w:tcPr>
          <w:p w14:paraId="477BD34A">
            <w:pPr>
              <w:pStyle w:val="44"/>
              <w:rPr>
                <w:color w:val="auto"/>
              </w:rPr>
            </w:pPr>
          </w:p>
        </w:tc>
        <w:tc>
          <w:tcPr>
            <w:tcW w:w="720" w:type="dxa"/>
            <w:vAlign w:val="center"/>
          </w:tcPr>
          <w:p w14:paraId="393CC108">
            <w:pPr>
              <w:pStyle w:val="44"/>
              <w:rPr>
                <w:color w:val="auto"/>
              </w:rPr>
            </w:pPr>
          </w:p>
        </w:tc>
      </w:tr>
      <w:tr w14:paraId="344D6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3B37DE38">
            <w:pPr>
              <w:pStyle w:val="44"/>
              <w:rPr>
                <w:color w:val="auto"/>
              </w:rPr>
            </w:pPr>
          </w:p>
        </w:tc>
        <w:tc>
          <w:tcPr>
            <w:tcW w:w="543" w:type="dxa"/>
            <w:vMerge w:val="continue"/>
          </w:tcPr>
          <w:p w14:paraId="11439D6F">
            <w:pPr>
              <w:pStyle w:val="44"/>
              <w:rPr>
                <w:color w:val="auto"/>
              </w:rPr>
            </w:pPr>
          </w:p>
        </w:tc>
        <w:tc>
          <w:tcPr>
            <w:tcW w:w="6478" w:type="dxa"/>
            <w:gridSpan w:val="2"/>
            <w:vAlign w:val="center"/>
          </w:tcPr>
          <w:p w14:paraId="7F3619FD">
            <w:pPr>
              <w:pStyle w:val="44"/>
              <w:rPr>
                <w:b/>
                <w:bCs w:val="0"/>
                <w:color w:val="auto"/>
              </w:rPr>
            </w:pPr>
            <w:r>
              <w:rPr>
                <w:rFonts w:hint="eastAsia"/>
                <w:b/>
                <w:bCs w:val="0"/>
                <w:color w:val="auto"/>
              </w:rPr>
              <w:t xml:space="preserve">小 </w:t>
            </w:r>
            <w:r>
              <w:rPr>
                <w:b/>
                <w:bCs w:val="0"/>
                <w:color w:val="auto"/>
              </w:rPr>
              <w:t xml:space="preserve"> </w:t>
            </w:r>
            <w:r>
              <w:rPr>
                <w:rFonts w:hint="eastAsia"/>
                <w:b/>
                <w:bCs w:val="0"/>
                <w:color w:val="auto"/>
              </w:rPr>
              <w:t>计</w:t>
            </w:r>
          </w:p>
        </w:tc>
        <w:tc>
          <w:tcPr>
            <w:tcW w:w="720" w:type="dxa"/>
            <w:vAlign w:val="center"/>
          </w:tcPr>
          <w:p w14:paraId="2C81D5AB">
            <w:pPr>
              <w:pStyle w:val="44"/>
              <w:rPr>
                <w:color w:val="auto"/>
              </w:rPr>
            </w:pPr>
            <w:r>
              <w:rPr>
                <w:rFonts w:hint="eastAsia"/>
                <w:color w:val="auto"/>
              </w:rPr>
              <w:t>30</w:t>
            </w:r>
          </w:p>
        </w:tc>
        <w:tc>
          <w:tcPr>
            <w:tcW w:w="720" w:type="dxa"/>
            <w:vAlign w:val="center"/>
          </w:tcPr>
          <w:p w14:paraId="326CAB7B">
            <w:pPr>
              <w:pStyle w:val="44"/>
              <w:rPr>
                <w:color w:val="auto"/>
              </w:rPr>
            </w:pPr>
          </w:p>
        </w:tc>
        <w:tc>
          <w:tcPr>
            <w:tcW w:w="720" w:type="dxa"/>
            <w:vAlign w:val="center"/>
          </w:tcPr>
          <w:p w14:paraId="3E75BFAF">
            <w:pPr>
              <w:pStyle w:val="44"/>
              <w:rPr>
                <w:color w:val="auto"/>
              </w:rPr>
            </w:pPr>
          </w:p>
        </w:tc>
      </w:tr>
      <w:tr w14:paraId="14CFE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trPr>
        <w:tc>
          <w:tcPr>
            <w:tcW w:w="7560" w:type="dxa"/>
            <w:gridSpan w:val="4"/>
            <w:vAlign w:val="center"/>
          </w:tcPr>
          <w:p w14:paraId="1C9D4912">
            <w:pPr>
              <w:pStyle w:val="44"/>
              <w:rPr>
                <w:b/>
                <w:bCs w:val="0"/>
                <w:color w:val="auto"/>
              </w:rPr>
            </w:pPr>
            <w:r>
              <w:rPr>
                <w:rFonts w:hint="eastAsia"/>
                <w:b/>
                <w:bCs w:val="0"/>
                <w:color w:val="auto"/>
              </w:rPr>
              <w:t>检查项目合计</w:t>
            </w:r>
          </w:p>
        </w:tc>
        <w:tc>
          <w:tcPr>
            <w:tcW w:w="720" w:type="dxa"/>
            <w:vAlign w:val="center"/>
          </w:tcPr>
          <w:p w14:paraId="4FE01AF5">
            <w:pPr>
              <w:pStyle w:val="44"/>
              <w:rPr>
                <w:color w:val="auto"/>
              </w:rPr>
            </w:pPr>
            <w:r>
              <w:rPr>
                <w:rFonts w:hint="eastAsia"/>
                <w:color w:val="auto"/>
              </w:rPr>
              <w:t>100</w:t>
            </w:r>
          </w:p>
        </w:tc>
        <w:tc>
          <w:tcPr>
            <w:tcW w:w="720" w:type="dxa"/>
            <w:vAlign w:val="center"/>
          </w:tcPr>
          <w:p w14:paraId="7A9D7403">
            <w:pPr>
              <w:pStyle w:val="44"/>
              <w:rPr>
                <w:color w:val="auto"/>
              </w:rPr>
            </w:pPr>
          </w:p>
        </w:tc>
        <w:tc>
          <w:tcPr>
            <w:tcW w:w="720" w:type="dxa"/>
            <w:vAlign w:val="center"/>
          </w:tcPr>
          <w:p w14:paraId="1FA8BFCE">
            <w:pPr>
              <w:pStyle w:val="44"/>
              <w:rPr>
                <w:color w:val="auto"/>
              </w:rPr>
            </w:pPr>
          </w:p>
        </w:tc>
      </w:tr>
    </w:tbl>
    <w:p w14:paraId="09E1F1FA"/>
    <w:p w14:paraId="4874303E">
      <w:pPr>
        <w:pStyle w:val="5"/>
      </w:pPr>
      <w:r>
        <w:rPr>
          <w:rFonts w:hint="eastAsia"/>
        </w:rPr>
        <w:br w:type="page"/>
      </w:r>
      <w:bookmarkStart w:id="88" w:name="_Toc2654"/>
      <w:bookmarkStart w:id="89" w:name="_Toc1723"/>
      <w:bookmarkStart w:id="90" w:name="_Toc21851"/>
      <w:r>
        <w:rPr>
          <w:rFonts w:hint="eastAsia"/>
        </w:rPr>
        <w:t>表B.</w:t>
      </w:r>
      <w:r>
        <w:t>2</w:t>
      </w:r>
      <w:r>
        <w:rPr>
          <w:rFonts w:hint="eastAsia"/>
        </w:rPr>
        <w:t>7  门式起重机检查</w:t>
      </w:r>
      <w:r>
        <w:t>评分表</w:t>
      </w:r>
      <w:bookmarkEnd w:id="88"/>
      <w:bookmarkEnd w:id="89"/>
      <w:bookmarkEnd w:id="90"/>
    </w:p>
    <w:tbl>
      <w:tblPr>
        <w:tblStyle w:val="19"/>
        <w:tblpPr w:leftFromText="180" w:rightFromText="180" w:vertAnchor="text" w:horzAnchor="page" w:tblpX="1150" w:tblpY="631"/>
        <w:tblOverlap w:val="never"/>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1255E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trPr>
        <w:tc>
          <w:tcPr>
            <w:tcW w:w="539" w:type="dxa"/>
            <w:vAlign w:val="center"/>
          </w:tcPr>
          <w:p w14:paraId="04A5E9B9">
            <w:pPr>
              <w:pStyle w:val="44"/>
              <w:rPr>
                <w:color w:val="auto"/>
              </w:rPr>
            </w:pPr>
            <w:r>
              <w:rPr>
                <w:rFonts w:hint="eastAsia"/>
                <w:color w:val="auto"/>
              </w:rPr>
              <w:t>序号</w:t>
            </w:r>
          </w:p>
        </w:tc>
        <w:tc>
          <w:tcPr>
            <w:tcW w:w="1441" w:type="dxa"/>
            <w:gridSpan w:val="2"/>
            <w:vAlign w:val="center"/>
          </w:tcPr>
          <w:p w14:paraId="6CB89D09">
            <w:pPr>
              <w:pStyle w:val="44"/>
              <w:rPr>
                <w:color w:val="auto"/>
              </w:rPr>
            </w:pPr>
            <w:r>
              <w:rPr>
                <w:rFonts w:hint="eastAsia"/>
                <w:color w:val="auto"/>
              </w:rPr>
              <w:t>检查项目</w:t>
            </w:r>
          </w:p>
        </w:tc>
        <w:tc>
          <w:tcPr>
            <w:tcW w:w="5580" w:type="dxa"/>
            <w:vAlign w:val="center"/>
          </w:tcPr>
          <w:p w14:paraId="21542F6C">
            <w:pPr>
              <w:pStyle w:val="44"/>
              <w:rPr>
                <w:color w:val="auto"/>
              </w:rPr>
            </w:pPr>
            <w:r>
              <w:rPr>
                <w:rFonts w:hint="eastAsia"/>
                <w:color w:val="auto"/>
              </w:rPr>
              <w:t>扣</w:t>
            </w:r>
            <w:r>
              <w:rPr>
                <w:color w:val="auto"/>
              </w:rPr>
              <w:t xml:space="preserve"> </w:t>
            </w:r>
            <w:r>
              <w:rPr>
                <w:rFonts w:hint="eastAsia"/>
                <w:color w:val="auto"/>
              </w:rPr>
              <w:t>分</w:t>
            </w:r>
            <w:r>
              <w:rPr>
                <w:color w:val="auto"/>
              </w:rPr>
              <w:t xml:space="preserve"> </w:t>
            </w:r>
            <w:r>
              <w:rPr>
                <w:rFonts w:hint="eastAsia"/>
                <w:color w:val="auto"/>
              </w:rPr>
              <w:t>标</w:t>
            </w:r>
            <w:r>
              <w:rPr>
                <w:color w:val="auto"/>
              </w:rPr>
              <w:t xml:space="preserve"> </w:t>
            </w:r>
            <w:r>
              <w:rPr>
                <w:rFonts w:hint="eastAsia"/>
                <w:color w:val="auto"/>
              </w:rPr>
              <w:t>准</w:t>
            </w:r>
          </w:p>
        </w:tc>
        <w:tc>
          <w:tcPr>
            <w:tcW w:w="720" w:type="dxa"/>
            <w:vAlign w:val="center"/>
          </w:tcPr>
          <w:p w14:paraId="19B7ADCF">
            <w:pPr>
              <w:pStyle w:val="44"/>
              <w:rPr>
                <w:color w:val="auto"/>
              </w:rPr>
            </w:pPr>
            <w:r>
              <w:rPr>
                <w:rFonts w:hint="eastAsia"/>
                <w:color w:val="auto"/>
              </w:rPr>
              <w:t>应得</w:t>
            </w:r>
          </w:p>
          <w:p w14:paraId="1F6FAD94">
            <w:pPr>
              <w:pStyle w:val="44"/>
              <w:rPr>
                <w:color w:val="auto"/>
              </w:rPr>
            </w:pPr>
            <w:r>
              <w:rPr>
                <w:rFonts w:hint="eastAsia"/>
                <w:color w:val="auto"/>
              </w:rPr>
              <w:t>分数</w:t>
            </w:r>
          </w:p>
        </w:tc>
        <w:tc>
          <w:tcPr>
            <w:tcW w:w="720" w:type="dxa"/>
            <w:vAlign w:val="center"/>
          </w:tcPr>
          <w:p w14:paraId="0181F0EC">
            <w:pPr>
              <w:pStyle w:val="44"/>
              <w:rPr>
                <w:color w:val="auto"/>
              </w:rPr>
            </w:pPr>
            <w:r>
              <w:rPr>
                <w:rFonts w:hint="eastAsia"/>
                <w:color w:val="auto"/>
              </w:rPr>
              <w:t>扣减</w:t>
            </w:r>
          </w:p>
          <w:p w14:paraId="5D2311CA">
            <w:pPr>
              <w:pStyle w:val="44"/>
              <w:rPr>
                <w:color w:val="auto"/>
              </w:rPr>
            </w:pPr>
            <w:r>
              <w:rPr>
                <w:rFonts w:hint="eastAsia"/>
                <w:color w:val="auto"/>
              </w:rPr>
              <w:t>分数</w:t>
            </w:r>
          </w:p>
        </w:tc>
        <w:tc>
          <w:tcPr>
            <w:tcW w:w="720" w:type="dxa"/>
            <w:vAlign w:val="center"/>
          </w:tcPr>
          <w:p w14:paraId="19FB30CC">
            <w:pPr>
              <w:pStyle w:val="44"/>
              <w:rPr>
                <w:color w:val="auto"/>
              </w:rPr>
            </w:pPr>
            <w:r>
              <w:rPr>
                <w:rFonts w:hint="eastAsia"/>
                <w:color w:val="auto"/>
              </w:rPr>
              <w:t>实得</w:t>
            </w:r>
          </w:p>
          <w:p w14:paraId="003B80EC">
            <w:pPr>
              <w:pStyle w:val="44"/>
              <w:rPr>
                <w:color w:val="auto"/>
              </w:rPr>
            </w:pPr>
            <w:r>
              <w:rPr>
                <w:rFonts w:hint="eastAsia"/>
                <w:color w:val="auto"/>
              </w:rPr>
              <w:t>分数</w:t>
            </w:r>
          </w:p>
        </w:tc>
      </w:tr>
      <w:tr w14:paraId="032C0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trPr>
        <w:tc>
          <w:tcPr>
            <w:tcW w:w="539" w:type="dxa"/>
            <w:vAlign w:val="center"/>
          </w:tcPr>
          <w:p w14:paraId="09197C74">
            <w:pPr>
              <w:pStyle w:val="44"/>
              <w:rPr>
                <w:color w:val="auto"/>
              </w:rPr>
            </w:pPr>
            <w:r>
              <w:rPr>
                <w:color w:val="auto"/>
              </w:rPr>
              <w:t>1</w:t>
            </w:r>
          </w:p>
        </w:tc>
        <w:tc>
          <w:tcPr>
            <w:tcW w:w="543" w:type="dxa"/>
            <w:vMerge w:val="restart"/>
            <w:vAlign w:val="center"/>
          </w:tcPr>
          <w:p w14:paraId="6C415B8D">
            <w:pPr>
              <w:pStyle w:val="44"/>
              <w:rPr>
                <w:color w:val="auto"/>
              </w:rPr>
            </w:pPr>
            <w:r>
              <w:rPr>
                <w:rFonts w:hint="eastAsia"/>
                <w:color w:val="auto"/>
              </w:rPr>
              <w:t>保</w:t>
            </w:r>
          </w:p>
          <w:p w14:paraId="3AD66169">
            <w:pPr>
              <w:pStyle w:val="44"/>
              <w:rPr>
                <w:color w:val="auto"/>
              </w:rPr>
            </w:pPr>
            <w:r>
              <w:rPr>
                <w:rFonts w:hint="eastAsia"/>
                <w:color w:val="auto"/>
              </w:rPr>
              <w:t>证</w:t>
            </w:r>
          </w:p>
          <w:p w14:paraId="66D10284">
            <w:pPr>
              <w:pStyle w:val="44"/>
              <w:rPr>
                <w:color w:val="auto"/>
              </w:rPr>
            </w:pPr>
            <w:r>
              <w:rPr>
                <w:rFonts w:hint="eastAsia"/>
                <w:color w:val="auto"/>
              </w:rPr>
              <w:t>项</w:t>
            </w:r>
          </w:p>
          <w:p w14:paraId="7409CCC9">
            <w:pPr>
              <w:pStyle w:val="44"/>
              <w:rPr>
                <w:color w:val="auto"/>
              </w:rPr>
            </w:pPr>
            <w:r>
              <w:rPr>
                <w:rFonts w:hint="eastAsia"/>
                <w:color w:val="auto"/>
              </w:rPr>
              <w:t>目</w:t>
            </w:r>
          </w:p>
        </w:tc>
        <w:tc>
          <w:tcPr>
            <w:tcW w:w="898" w:type="dxa"/>
            <w:vAlign w:val="center"/>
          </w:tcPr>
          <w:p w14:paraId="3461E1B1">
            <w:pPr>
              <w:pStyle w:val="44"/>
              <w:rPr>
                <w:color w:val="auto"/>
              </w:rPr>
            </w:pPr>
            <w:r>
              <w:rPr>
                <w:rFonts w:hint="eastAsia"/>
                <w:color w:val="auto"/>
              </w:rPr>
              <w:t>方案与交底</w:t>
            </w:r>
          </w:p>
        </w:tc>
        <w:tc>
          <w:tcPr>
            <w:tcW w:w="5580" w:type="dxa"/>
            <w:vAlign w:val="center"/>
          </w:tcPr>
          <w:p w14:paraId="564742B6">
            <w:pPr>
              <w:pStyle w:val="44"/>
              <w:jc w:val="left"/>
              <w:rPr>
                <w:color w:val="auto"/>
              </w:rPr>
            </w:pPr>
            <w:r>
              <w:rPr>
                <w:color w:val="auto"/>
              </w:rPr>
              <w:t>1</w:t>
            </w:r>
            <w:r>
              <w:rPr>
                <w:rFonts w:hint="eastAsia"/>
                <w:color w:val="auto"/>
              </w:rPr>
              <w:t>）未按规定编制专项施工方案，或未进行相关计算，扣</w:t>
            </w:r>
            <w:r>
              <w:rPr>
                <w:color w:val="auto"/>
              </w:rPr>
              <w:t>10</w:t>
            </w:r>
            <w:r>
              <w:rPr>
                <w:rFonts w:hint="eastAsia"/>
                <w:color w:val="auto"/>
              </w:rPr>
              <w:t>分；方案编制内容不全或无针对性，扣</w:t>
            </w:r>
            <w:r>
              <w:rPr>
                <w:color w:val="auto"/>
              </w:rPr>
              <w:t>2-10</w:t>
            </w:r>
            <w:r>
              <w:rPr>
                <w:rFonts w:hint="eastAsia"/>
                <w:color w:val="auto"/>
              </w:rPr>
              <w:t>分</w:t>
            </w:r>
          </w:p>
          <w:p w14:paraId="4EB193BC">
            <w:pPr>
              <w:pStyle w:val="44"/>
              <w:jc w:val="left"/>
              <w:rPr>
                <w:color w:val="auto"/>
              </w:rPr>
            </w:pPr>
            <w:r>
              <w:rPr>
                <w:color w:val="auto"/>
              </w:rPr>
              <w:t>2</w:t>
            </w:r>
            <w:r>
              <w:rPr>
                <w:rFonts w:hint="eastAsia"/>
                <w:color w:val="auto"/>
              </w:rPr>
              <w:t>）专项施工方案未按规定进行审核、审批，扣</w:t>
            </w:r>
            <w:r>
              <w:rPr>
                <w:color w:val="auto"/>
              </w:rPr>
              <w:t>10</w:t>
            </w:r>
            <w:r>
              <w:rPr>
                <w:rFonts w:hint="eastAsia"/>
                <w:color w:val="auto"/>
              </w:rPr>
              <w:t>分</w:t>
            </w:r>
          </w:p>
          <w:p w14:paraId="590D7C20">
            <w:pPr>
              <w:pStyle w:val="44"/>
              <w:jc w:val="left"/>
              <w:rPr>
                <w:color w:val="auto"/>
              </w:rPr>
            </w:pPr>
            <w:r>
              <w:rPr>
                <w:color w:val="auto"/>
              </w:rPr>
              <w:t>3</w:t>
            </w:r>
            <w:r>
              <w:rPr>
                <w:rFonts w:hint="eastAsia"/>
                <w:color w:val="auto"/>
              </w:rPr>
              <w:t>）起重量</w:t>
            </w:r>
            <w:r>
              <w:rPr>
                <w:color w:val="auto"/>
              </w:rPr>
              <w:t>30t</w:t>
            </w:r>
            <w:r>
              <w:rPr>
                <w:rFonts w:hint="eastAsia"/>
                <w:color w:val="auto"/>
              </w:rPr>
              <w:t>及以上的门式起重机安装工程专项施工方案未按规定组织专家论证，扣</w:t>
            </w:r>
            <w:r>
              <w:rPr>
                <w:color w:val="auto"/>
              </w:rPr>
              <w:t>10</w:t>
            </w:r>
            <w:r>
              <w:rPr>
                <w:rFonts w:hint="eastAsia"/>
                <w:color w:val="auto"/>
              </w:rPr>
              <w:t>分</w:t>
            </w:r>
          </w:p>
          <w:p w14:paraId="3B9763D6">
            <w:pPr>
              <w:pStyle w:val="44"/>
              <w:jc w:val="left"/>
              <w:rPr>
                <w:color w:val="auto"/>
              </w:rPr>
            </w:pPr>
            <w:r>
              <w:rPr>
                <w:color w:val="auto"/>
              </w:rPr>
              <w:t>4</w:t>
            </w:r>
            <w:r>
              <w:rPr>
                <w:rFonts w:hint="eastAsia"/>
                <w:color w:val="auto"/>
              </w:rPr>
              <w:t>）专项施工方案实施前，未进行安全技术交底，扣</w:t>
            </w:r>
            <w:r>
              <w:rPr>
                <w:color w:val="auto"/>
              </w:rPr>
              <w:t>10</w:t>
            </w:r>
            <w:r>
              <w:rPr>
                <w:rFonts w:hint="eastAsia"/>
                <w:color w:val="auto"/>
              </w:rPr>
              <w:t>分；交底无针对性或无文字记录，扣</w:t>
            </w:r>
            <w:r>
              <w:rPr>
                <w:color w:val="auto"/>
              </w:rPr>
              <w:t>2-5</w:t>
            </w:r>
            <w:r>
              <w:rPr>
                <w:rFonts w:hint="eastAsia"/>
                <w:color w:val="auto"/>
              </w:rPr>
              <w:t>分</w:t>
            </w:r>
          </w:p>
        </w:tc>
        <w:tc>
          <w:tcPr>
            <w:tcW w:w="720" w:type="dxa"/>
            <w:vAlign w:val="center"/>
          </w:tcPr>
          <w:p w14:paraId="6072DE33">
            <w:pPr>
              <w:pStyle w:val="44"/>
              <w:rPr>
                <w:color w:val="auto"/>
              </w:rPr>
            </w:pPr>
            <w:r>
              <w:rPr>
                <w:color w:val="auto"/>
              </w:rPr>
              <w:t>10</w:t>
            </w:r>
          </w:p>
        </w:tc>
        <w:tc>
          <w:tcPr>
            <w:tcW w:w="720" w:type="dxa"/>
            <w:vAlign w:val="center"/>
          </w:tcPr>
          <w:p w14:paraId="107D4761">
            <w:pPr>
              <w:pStyle w:val="44"/>
              <w:rPr>
                <w:color w:val="auto"/>
              </w:rPr>
            </w:pPr>
          </w:p>
        </w:tc>
        <w:tc>
          <w:tcPr>
            <w:tcW w:w="720" w:type="dxa"/>
            <w:vAlign w:val="center"/>
          </w:tcPr>
          <w:p w14:paraId="164225E8">
            <w:pPr>
              <w:pStyle w:val="44"/>
              <w:rPr>
                <w:color w:val="auto"/>
              </w:rPr>
            </w:pPr>
          </w:p>
        </w:tc>
      </w:tr>
      <w:tr w14:paraId="50C1E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trPr>
        <w:tc>
          <w:tcPr>
            <w:tcW w:w="539" w:type="dxa"/>
            <w:vAlign w:val="center"/>
          </w:tcPr>
          <w:p w14:paraId="5B0272D7">
            <w:pPr>
              <w:pStyle w:val="44"/>
              <w:rPr>
                <w:color w:val="auto"/>
              </w:rPr>
            </w:pPr>
            <w:r>
              <w:rPr>
                <w:color w:val="auto"/>
              </w:rPr>
              <w:t>2</w:t>
            </w:r>
          </w:p>
        </w:tc>
        <w:tc>
          <w:tcPr>
            <w:tcW w:w="543" w:type="dxa"/>
            <w:vMerge w:val="continue"/>
          </w:tcPr>
          <w:p w14:paraId="31CA8EB0">
            <w:pPr>
              <w:pStyle w:val="44"/>
              <w:rPr>
                <w:color w:val="auto"/>
              </w:rPr>
            </w:pPr>
          </w:p>
        </w:tc>
        <w:tc>
          <w:tcPr>
            <w:tcW w:w="898" w:type="dxa"/>
            <w:vAlign w:val="center"/>
          </w:tcPr>
          <w:p w14:paraId="234730EC">
            <w:pPr>
              <w:pStyle w:val="44"/>
              <w:rPr>
                <w:color w:val="auto"/>
              </w:rPr>
            </w:pPr>
            <w:r>
              <w:rPr>
                <w:rFonts w:hint="eastAsia"/>
                <w:color w:val="auto"/>
              </w:rPr>
              <w:t>安全装置</w:t>
            </w:r>
          </w:p>
        </w:tc>
        <w:tc>
          <w:tcPr>
            <w:tcW w:w="5580" w:type="dxa"/>
            <w:vAlign w:val="center"/>
          </w:tcPr>
          <w:p w14:paraId="35D3BF71">
            <w:pPr>
              <w:pStyle w:val="44"/>
              <w:jc w:val="left"/>
              <w:rPr>
                <w:color w:val="auto"/>
              </w:rPr>
            </w:pPr>
            <w:r>
              <w:rPr>
                <w:color w:val="auto"/>
              </w:rPr>
              <w:t>1</w:t>
            </w:r>
            <w:r>
              <w:rPr>
                <w:rFonts w:hint="eastAsia"/>
                <w:color w:val="auto"/>
              </w:rPr>
              <w:t>）未安装起重量限制器或不灵敏，扣</w:t>
            </w:r>
            <w:r>
              <w:rPr>
                <w:color w:val="auto"/>
              </w:rPr>
              <w:t>10</w:t>
            </w:r>
            <w:r>
              <w:rPr>
                <w:rFonts w:hint="eastAsia"/>
                <w:color w:val="auto"/>
              </w:rPr>
              <w:t>分</w:t>
            </w:r>
          </w:p>
          <w:p w14:paraId="068F1A29">
            <w:pPr>
              <w:pStyle w:val="44"/>
              <w:jc w:val="left"/>
              <w:rPr>
                <w:color w:val="auto"/>
              </w:rPr>
            </w:pPr>
            <w:r>
              <w:rPr>
                <w:color w:val="auto"/>
              </w:rPr>
              <w:t>2</w:t>
            </w:r>
            <w:r>
              <w:rPr>
                <w:rFonts w:hint="eastAsia"/>
                <w:color w:val="auto"/>
              </w:rPr>
              <w:t>）未安装起升高度限位器或不灵敏，扣</w:t>
            </w:r>
            <w:r>
              <w:rPr>
                <w:color w:val="auto"/>
              </w:rPr>
              <w:t>10</w:t>
            </w:r>
            <w:r>
              <w:rPr>
                <w:rFonts w:hint="eastAsia"/>
                <w:color w:val="auto"/>
              </w:rPr>
              <w:t>分；安全越程不符合标准要求，扣</w:t>
            </w:r>
            <w:r>
              <w:rPr>
                <w:color w:val="auto"/>
              </w:rPr>
              <w:t>5</w:t>
            </w:r>
            <w:r>
              <w:rPr>
                <w:rFonts w:hint="eastAsia"/>
                <w:color w:val="auto"/>
              </w:rPr>
              <w:t>分</w:t>
            </w:r>
          </w:p>
          <w:p w14:paraId="22966349">
            <w:pPr>
              <w:pStyle w:val="44"/>
              <w:jc w:val="left"/>
              <w:rPr>
                <w:color w:val="auto"/>
              </w:rPr>
            </w:pPr>
            <w:r>
              <w:rPr>
                <w:color w:val="auto"/>
              </w:rPr>
              <w:t>3</w:t>
            </w:r>
            <w:r>
              <w:rPr>
                <w:rFonts w:hint="eastAsia"/>
                <w:color w:val="auto"/>
              </w:rPr>
              <w:t>）未安装运行行程限位器或不灵敏，扣</w:t>
            </w:r>
            <w:r>
              <w:rPr>
                <w:color w:val="auto"/>
              </w:rPr>
              <w:t>10</w:t>
            </w:r>
            <w:r>
              <w:rPr>
                <w:rFonts w:hint="eastAsia"/>
                <w:color w:val="auto"/>
              </w:rPr>
              <w:t>分</w:t>
            </w:r>
          </w:p>
        </w:tc>
        <w:tc>
          <w:tcPr>
            <w:tcW w:w="720" w:type="dxa"/>
            <w:vAlign w:val="center"/>
          </w:tcPr>
          <w:p w14:paraId="51423FCB">
            <w:pPr>
              <w:pStyle w:val="44"/>
              <w:rPr>
                <w:color w:val="auto"/>
              </w:rPr>
            </w:pPr>
            <w:r>
              <w:rPr>
                <w:color w:val="auto"/>
              </w:rPr>
              <w:t>10</w:t>
            </w:r>
          </w:p>
        </w:tc>
        <w:tc>
          <w:tcPr>
            <w:tcW w:w="720" w:type="dxa"/>
            <w:vAlign w:val="center"/>
          </w:tcPr>
          <w:p w14:paraId="1ACB3C9D">
            <w:pPr>
              <w:pStyle w:val="44"/>
              <w:rPr>
                <w:color w:val="auto"/>
              </w:rPr>
            </w:pPr>
          </w:p>
        </w:tc>
        <w:tc>
          <w:tcPr>
            <w:tcW w:w="720" w:type="dxa"/>
            <w:vAlign w:val="center"/>
          </w:tcPr>
          <w:p w14:paraId="6996C983">
            <w:pPr>
              <w:pStyle w:val="44"/>
              <w:rPr>
                <w:color w:val="auto"/>
              </w:rPr>
            </w:pPr>
          </w:p>
        </w:tc>
      </w:tr>
      <w:tr w14:paraId="4C1B6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5D42FAAB">
            <w:pPr>
              <w:pStyle w:val="44"/>
              <w:rPr>
                <w:color w:val="auto"/>
              </w:rPr>
            </w:pPr>
            <w:r>
              <w:rPr>
                <w:color w:val="auto"/>
              </w:rPr>
              <w:t>3</w:t>
            </w:r>
          </w:p>
        </w:tc>
        <w:tc>
          <w:tcPr>
            <w:tcW w:w="543" w:type="dxa"/>
            <w:vMerge w:val="continue"/>
          </w:tcPr>
          <w:p w14:paraId="30F7FE12">
            <w:pPr>
              <w:pStyle w:val="44"/>
              <w:rPr>
                <w:color w:val="auto"/>
              </w:rPr>
            </w:pPr>
          </w:p>
        </w:tc>
        <w:tc>
          <w:tcPr>
            <w:tcW w:w="898" w:type="dxa"/>
            <w:vAlign w:val="center"/>
          </w:tcPr>
          <w:p w14:paraId="29B2A1E1">
            <w:pPr>
              <w:pStyle w:val="44"/>
              <w:rPr>
                <w:color w:val="auto"/>
              </w:rPr>
            </w:pPr>
            <w:r>
              <w:rPr>
                <w:rFonts w:hint="eastAsia"/>
                <w:color w:val="auto"/>
              </w:rPr>
              <w:t>防护设施</w:t>
            </w:r>
          </w:p>
        </w:tc>
        <w:tc>
          <w:tcPr>
            <w:tcW w:w="5580" w:type="dxa"/>
          </w:tcPr>
          <w:p w14:paraId="6B54DEBD">
            <w:pPr>
              <w:pStyle w:val="44"/>
              <w:jc w:val="left"/>
              <w:rPr>
                <w:color w:val="auto"/>
              </w:rPr>
            </w:pPr>
            <w:r>
              <w:rPr>
                <w:color w:val="auto"/>
              </w:rPr>
              <w:t>1</w:t>
            </w:r>
            <w:r>
              <w:rPr>
                <w:rFonts w:hint="eastAsia"/>
                <w:color w:val="auto"/>
              </w:rPr>
              <w:t>）同轨运行的门式起重机之间未按标准要求安装防碰撞装置，扣</w:t>
            </w:r>
            <w:r>
              <w:rPr>
                <w:color w:val="auto"/>
              </w:rPr>
              <w:t>5</w:t>
            </w:r>
            <w:r>
              <w:rPr>
                <w:rFonts w:hint="eastAsia"/>
                <w:color w:val="auto"/>
              </w:rPr>
              <w:t>分</w:t>
            </w:r>
          </w:p>
          <w:p w14:paraId="390CC4FA">
            <w:pPr>
              <w:pStyle w:val="44"/>
              <w:jc w:val="left"/>
              <w:rPr>
                <w:color w:val="auto"/>
              </w:rPr>
            </w:pPr>
            <w:r>
              <w:rPr>
                <w:color w:val="auto"/>
              </w:rPr>
              <w:t>2</w:t>
            </w:r>
            <w:r>
              <w:rPr>
                <w:rFonts w:hint="eastAsia"/>
                <w:color w:val="auto"/>
              </w:rPr>
              <w:t>）门式起重机和小车行走轨道行程末端未按标准要求安装缓冲器和止挡装置，扣</w:t>
            </w:r>
            <w:r>
              <w:rPr>
                <w:color w:val="auto"/>
              </w:rPr>
              <w:t>8</w:t>
            </w:r>
            <w:r>
              <w:rPr>
                <w:rFonts w:hint="eastAsia"/>
                <w:color w:val="auto"/>
              </w:rPr>
              <w:t>分</w:t>
            </w:r>
          </w:p>
          <w:p w14:paraId="36225732">
            <w:pPr>
              <w:pStyle w:val="44"/>
              <w:jc w:val="left"/>
              <w:rPr>
                <w:color w:val="auto"/>
              </w:rPr>
            </w:pPr>
            <w:r>
              <w:rPr>
                <w:color w:val="auto"/>
              </w:rPr>
              <w:t>3</w:t>
            </w:r>
            <w:r>
              <w:rPr>
                <w:rFonts w:hint="eastAsia"/>
                <w:color w:val="auto"/>
              </w:rPr>
              <w:t>）起升高度大于</w:t>
            </w:r>
            <w:r>
              <w:rPr>
                <w:color w:val="auto"/>
              </w:rPr>
              <w:t>12m</w:t>
            </w:r>
            <w:r>
              <w:rPr>
                <w:rFonts w:hint="eastAsia"/>
                <w:color w:val="auto"/>
              </w:rPr>
              <w:t>时未安装风速风级报警器或不灵敏，扣</w:t>
            </w:r>
            <w:r>
              <w:rPr>
                <w:color w:val="auto"/>
              </w:rPr>
              <w:t>2-5</w:t>
            </w:r>
            <w:r>
              <w:rPr>
                <w:rFonts w:hint="eastAsia"/>
                <w:color w:val="auto"/>
              </w:rPr>
              <w:t>分</w:t>
            </w:r>
          </w:p>
          <w:p w14:paraId="55CCA0AD">
            <w:pPr>
              <w:pStyle w:val="44"/>
              <w:jc w:val="left"/>
              <w:rPr>
                <w:color w:val="auto"/>
              </w:rPr>
            </w:pPr>
            <w:r>
              <w:rPr>
                <w:color w:val="auto"/>
              </w:rPr>
              <w:t>4</w:t>
            </w:r>
            <w:r>
              <w:rPr>
                <w:rFonts w:hint="eastAsia"/>
                <w:color w:val="auto"/>
              </w:rPr>
              <w:t>）在主梁一侧落钩的单</w:t>
            </w:r>
            <w:r>
              <w:rPr>
                <w:color w:val="auto"/>
              </w:rPr>
              <w:t xml:space="preserve"> </w:t>
            </w:r>
            <w:r>
              <w:rPr>
                <w:rFonts w:hint="eastAsia"/>
                <w:color w:val="auto"/>
              </w:rPr>
              <w:t>梁起重机未设置防倾覆安全钩或失效，扣</w:t>
            </w:r>
            <w:r>
              <w:rPr>
                <w:color w:val="auto"/>
              </w:rPr>
              <w:t>5</w:t>
            </w:r>
            <w:r>
              <w:rPr>
                <w:rFonts w:hint="eastAsia"/>
                <w:color w:val="auto"/>
              </w:rPr>
              <w:t>分</w:t>
            </w:r>
          </w:p>
          <w:p w14:paraId="00502F1E">
            <w:pPr>
              <w:pStyle w:val="44"/>
              <w:jc w:val="left"/>
              <w:rPr>
                <w:color w:val="auto"/>
              </w:rPr>
            </w:pPr>
            <w:r>
              <w:rPr>
                <w:color w:val="auto"/>
              </w:rPr>
              <w:t>5</w:t>
            </w:r>
            <w:r>
              <w:rPr>
                <w:rFonts w:hint="eastAsia"/>
                <w:color w:val="auto"/>
              </w:rPr>
              <w:t>）未安装联锁保护安全装置或不灵敏，扣</w:t>
            </w:r>
            <w:r>
              <w:rPr>
                <w:color w:val="auto"/>
              </w:rPr>
              <w:t>10</w:t>
            </w:r>
            <w:r>
              <w:rPr>
                <w:rFonts w:hint="eastAsia"/>
                <w:color w:val="auto"/>
              </w:rPr>
              <w:t>分</w:t>
            </w:r>
          </w:p>
          <w:p w14:paraId="0B2FFF76">
            <w:pPr>
              <w:pStyle w:val="44"/>
              <w:jc w:val="left"/>
              <w:rPr>
                <w:color w:val="auto"/>
              </w:rPr>
            </w:pPr>
            <w:r>
              <w:rPr>
                <w:color w:val="auto"/>
              </w:rPr>
              <w:t>7</w:t>
            </w:r>
            <w:r>
              <w:rPr>
                <w:rFonts w:hint="eastAsia"/>
                <w:color w:val="auto"/>
              </w:rPr>
              <w:t>）未安装有效的抗风防滑装置或不牢固，扣</w:t>
            </w:r>
            <w:r>
              <w:rPr>
                <w:color w:val="auto"/>
              </w:rPr>
              <w:t>10</w:t>
            </w:r>
            <w:r>
              <w:rPr>
                <w:rFonts w:hint="eastAsia"/>
                <w:color w:val="auto"/>
              </w:rPr>
              <w:t>分</w:t>
            </w:r>
          </w:p>
        </w:tc>
        <w:tc>
          <w:tcPr>
            <w:tcW w:w="720" w:type="dxa"/>
            <w:vAlign w:val="center"/>
          </w:tcPr>
          <w:p w14:paraId="7A4F255F">
            <w:pPr>
              <w:pStyle w:val="44"/>
              <w:rPr>
                <w:color w:val="auto"/>
              </w:rPr>
            </w:pPr>
            <w:r>
              <w:rPr>
                <w:color w:val="auto"/>
              </w:rPr>
              <w:t>10</w:t>
            </w:r>
          </w:p>
        </w:tc>
        <w:tc>
          <w:tcPr>
            <w:tcW w:w="720" w:type="dxa"/>
            <w:vAlign w:val="center"/>
          </w:tcPr>
          <w:p w14:paraId="71558495">
            <w:pPr>
              <w:pStyle w:val="44"/>
              <w:rPr>
                <w:color w:val="auto"/>
              </w:rPr>
            </w:pPr>
          </w:p>
        </w:tc>
        <w:tc>
          <w:tcPr>
            <w:tcW w:w="720" w:type="dxa"/>
            <w:vAlign w:val="center"/>
          </w:tcPr>
          <w:p w14:paraId="6D3A7D89">
            <w:pPr>
              <w:pStyle w:val="44"/>
              <w:rPr>
                <w:color w:val="auto"/>
              </w:rPr>
            </w:pPr>
          </w:p>
        </w:tc>
      </w:tr>
      <w:tr w14:paraId="4C625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0954B476">
            <w:pPr>
              <w:pStyle w:val="44"/>
              <w:rPr>
                <w:color w:val="auto"/>
              </w:rPr>
            </w:pPr>
            <w:r>
              <w:rPr>
                <w:color w:val="auto"/>
              </w:rPr>
              <w:t>4</w:t>
            </w:r>
          </w:p>
        </w:tc>
        <w:tc>
          <w:tcPr>
            <w:tcW w:w="543" w:type="dxa"/>
            <w:vMerge w:val="continue"/>
          </w:tcPr>
          <w:p w14:paraId="4216115A">
            <w:pPr>
              <w:pStyle w:val="44"/>
              <w:rPr>
                <w:color w:val="auto"/>
              </w:rPr>
            </w:pPr>
          </w:p>
        </w:tc>
        <w:tc>
          <w:tcPr>
            <w:tcW w:w="898" w:type="dxa"/>
            <w:vAlign w:val="center"/>
          </w:tcPr>
          <w:p w14:paraId="47BD8A59">
            <w:pPr>
              <w:pStyle w:val="44"/>
              <w:rPr>
                <w:color w:val="auto"/>
              </w:rPr>
            </w:pPr>
            <w:r>
              <w:rPr>
                <w:rFonts w:hint="eastAsia"/>
                <w:color w:val="auto"/>
              </w:rPr>
              <w:t>吊钩、滑轮、钢丝绳与索具</w:t>
            </w:r>
          </w:p>
        </w:tc>
        <w:tc>
          <w:tcPr>
            <w:tcW w:w="5580" w:type="dxa"/>
            <w:vAlign w:val="center"/>
          </w:tcPr>
          <w:p w14:paraId="6C5DE3ED">
            <w:pPr>
              <w:pStyle w:val="44"/>
              <w:jc w:val="left"/>
              <w:rPr>
                <w:color w:val="auto"/>
              </w:rPr>
            </w:pPr>
            <w:r>
              <w:rPr>
                <w:color w:val="auto"/>
              </w:rPr>
              <w:t>1</w:t>
            </w:r>
            <w:r>
              <w:rPr>
                <w:rFonts w:hint="eastAsia"/>
                <w:color w:val="auto"/>
              </w:rPr>
              <w:t>）吊钩规格、型号不符合产品说明书要求或磨损、变形达到报废标准，扣</w:t>
            </w:r>
            <w:r>
              <w:rPr>
                <w:color w:val="auto"/>
              </w:rPr>
              <w:t>10</w:t>
            </w:r>
            <w:r>
              <w:rPr>
                <w:rFonts w:hint="eastAsia"/>
                <w:color w:val="auto"/>
              </w:rPr>
              <w:t>分</w:t>
            </w:r>
          </w:p>
          <w:p w14:paraId="6A3E2074">
            <w:pPr>
              <w:pStyle w:val="44"/>
              <w:jc w:val="left"/>
              <w:rPr>
                <w:color w:val="auto"/>
              </w:rPr>
            </w:pPr>
            <w:r>
              <w:rPr>
                <w:color w:val="auto"/>
              </w:rPr>
              <w:t>2</w:t>
            </w:r>
            <w:r>
              <w:rPr>
                <w:rFonts w:hint="eastAsia"/>
                <w:color w:val="auto"/>
              </w:rPr>
              <w:t>）滑轮、卷筒磨损达到报废标准，扣</w:t>
            </w:r>
            <w:r>
              <w:rPr>
                <w:color w:val="auto"/>
              </w:rPr>
              <w:t>10</w:t>
            </w:r>
            <w:r>
              <w:rPr>
                <w:rFonts w:hint="eastAsia"/>
                <w:color w:val="auto"/>
              </w:rPr>
              <w:t>分</w:t>
            </w:r>
          </w:p>
          <w:p w14:paraId="64C48BF8">
            <w:pPr>
              <w:pStyle w:val="44"/>
              <w:jc w:val="left"/>
              <w:rPr>
                <w:color w:val="auto"/>
              </w:rPr>
            </w:pPr>
            <w:r>
              <w:rPr>
                <w:color w:val="auto"/>
              </w:rPr>
              <w:t>3</w:t>
            </w:r>
            <w:r>
              <w:rPr>
                <w:rFonts w:hint="eastAsia"/>
                <w:color w:val="auto"/>
              </w:rPr>
              <w:t>）吊钩、滑轮、卷筒未设置钢丝绳防脱装置或装置失效，扣</w:t>
            </w:r>
            <w:r>
              <w:rPr>
                <w:color w:val="auto"/>
              </w:rPr>
              <w:t>10</w:t>
            </w:r>
            <w:r>
              <w:rPr>
                <w:rFonts w:hint="eastAsia"/>
                <w:color w:val="auto"/>
              </w:rPr>
              <w:t>分</w:t>
            </w:r>
          </w:p>
          <w:p w14:paraId="450EF21E">
            <w:pPr>
              <w:pStyle w:val="44"/>
              <w:jc w:val="left"/>
              <w:rPr>
                <w:color w:val="auto"/>
              </w:rPr>
            </w:pPr>
            <w:r>
              <w:rPr>
                <w:color w:val="auto"/>
              </w:rPr>
              <w:t>4</w:t>
            </w:r>
            <w:r>
              <w:rPr>
                <w:rFonts w:hint="eastAsia"/>
                <w:color w:val="auto"/>
              </w:rPr>
              <w:t>）钢丝绳磨损、断丝、变形、锈蚀达到报废标准，扣</w:t>
            </w:r>
            <w:r>
              <w:rPr>
                <w:color w:val="auto"/>
              </w:rPr>
              <w:t>10</w:t>
            </w:r>
            <w:r>
              <w:rPr>
                <w:rFonts w:hint="eastAsia"/>
                <w:color w:val="auto"/>
              </w:rPr>
              <w:t>分</w:t>
            </w:r>
          </w:p>
          <w:p w14:paraId="08AFC89A">
            <w:pPr>
              <w:pStyle w:val="44"/>
              <w:jc w:val="left"/>
              <w:rPr>
                <w:color w:val="auto"/>
              </w:rPr>
            </w:pPr>
            <w:r>
              <w:rPr>
                <w:color w:val="auto"/>
              </w:rPr>
              <w:t>5</w:t>
            </w:r>
            <w:r>
              <w:rPr>
                <w:rFonts w:hint="eastAsia"/>
                <w:color w:val="auto"/>
              </w:rPr>
              <w:t>）钢丝绳的规格、型号不符合产品说明书要求或穿绕不正确，扣</w:t>
            </w:r>
            <w:r>
              <w:rPr>
                <w:color w:val="auto"/>
              </w:rPr>
              <w:t>10</w:t>
            </w:r>
            <w:r>
              <w:rPr>
                <w:rFonts w:hint="eastAsia"/>
                <w:color w:val="auto"/>
              </w:rPr>
              <w:t>分</w:t>
            </w:r>
          </w:p>
          <w:p w14:paraId="70B0D447">
            <w:pPr>
              <w:pStyle w:val="44"/>
              <w:jc w:val="left"/>
              <w:rPr>
                <w:color w:val="auto"/>
              </w:rPr>
            </w:pPr>
            <w:r>
              <w:rPr>
                <w:color w:val="auto"/>
              </w:rPr>
              <w:t>6</w:t>
            </w:r>
            <w:r>
              <w:rPr>
                <w:rFonts w:hint="eastAsia"/>
                <w:color w:val="auto"/>
              </w:rPr>
              <w:t>）钢丝绳端部固接方式不符合标准要求，扣</w:t>
            </w:r>
            <w:r>
              <w:rPr>
                <w:color w:val="auto"/>
              </w:rPr>
              <w:t>10</w:t>
            </w:r>
            <w:r>
              <w:rPr>
                <w:rFonts w:hint="eastAsia"/>
                <w:color w:val="auto"/>
              </w:rPr>
              <w:t>分</w:t>
            </w:r>
          </w:p>
          <w:p w14:paraId="59AB9472">
            <w:pPr>
              <w:pStyle w:val="44"/>
              <w:jc w:val="left"/>
              <w:rPr>
                <w:color w:val="auto"/>
              </w:rPr>
            </w:pPr>
            <w:r>
              <w:rPr>
                <w:color w:val="auto"/>
              </w:rPr>
              <w:t>7</w:t>
            </w:r>
            <w:r>
              <w:rPr>
                <w:rFonts w:hint="eastAsia"/>
                <w:color w:val="auto"/>
              </w:rPr>
              <w:t>）当吊钩处于最低位置时，卷筒上钢丝绳少于</w:t>
            </w:r>
            <w:r>
              <w:rPr>
                <w:color w:val="auto"/>
              </w:rPr>
              <w:t>3</w:t>
            </w:r>
            <w:r>
              <w:rPr>
                <w:rFonts w:hint="eastAsia"/>
                <w:color w:val="auto"/>
              </w:rPr>
              <w:t>圈，扣</w:t>
            </w:r>
            <w:r>
              <w:rPr>
                <w:color w:val="auto"/>
              </w:rPr>
              <w:t>10</w:t>
            </w:r>
            <w:r>
              <w:rPr>
                <w:rFonts w:hint="eastAsia"/>
                <w:color w:val="auto"/>
              </w:rPr>
              <w:t>分</w:t>
            </w:r>
          </w:p>
          <w:p w14:paraId="22691687">
            <w:pPr>
              <w:pStyle w:val="44"/>
              <w:jc w:val="left"/>
              <w:rPr>
                <w:color w:val="auto"/>
              </w:rPr>
            </w:pPr>
            <w:r>
              <w:rPr>
                <w:color w:val="auto"/>
              </w:rPr>
              <w:t>8</w:t>
            </w:r>
            <w:r>
              <w:rPr>
                <w:rFonts w:hint="eastAsia"/>
                <w:color w:val="auto"/>
              </w:rPr>
              <w:t>）卷筒上钢丝绳尾端固定方式不符合产品说明书要求或未设置安全可靠的固定装置，扣</w:t>
            </w:r>
            <w:r>
              <w:rPr>
                <w:color w:val="auto"/>
              </w:rPr>
              <w:t>10</w:t>
            </w:r>
            <w:r>
              <w:rPr>
                <w:rFonts w:hint="eastAsia"/>
                <w:color w:val="auto"/>
              </w:rPr>
              <w:t>分</w:t>
            </w:r>
          </w:p>
          <w:p w14:paraId="61A1F523">
            <w:pPr>
              <w:pStyle w:val="44"/>
              <w:jc w:val="left"/>
              <w:rPr>
                <w:color w:val="auto"/>
              </w:rPr>
            </w:pPr>
            <w:r>
              <w:rPr>
                <w:color w:val="auto"/>
              </w:rPr>
              <w:t>9</w:t>
            </w:r>
            <w:r>
              <w:rPr>
                <w:rFonts w:hint="eastAsia"/>
                <w:color w:val="auto"/>
              </w:rPr>
              <w:t>）索具安全系数不符合标准要求，扣</w:t>
            </w:r>
            <w:r>
              <w:rPr>
                <w:color w:val="auto"/>
              </w:rPr>
              <w:t>10</w:t>
            </w:r>
            <w:r>
              <w:rPr>
                <w:rFonts w:hint="eastAsia"/>
                <w:color w:val="auto"/>
              </w:rPr>
              <w:t>分</w:t>
            </w:r>
          </w:p>
          <w:p w14:paraId="62904C31">
            <w:pPr>
              <w:pStyle w:val="44"/>
              <w:jc w:val="left"/>
              <w:rPr>
                <w:color w:val="auto"/>
              </w:rPr>
            </w:pPr>
            <w:r>
              <w:rPr>
                <w:color w:val="auto"/>
              </w:rPr>
              <w:t>10</w:t>
            </w:r>
            <w:r>
              <w:rPr>
                <w:rFonts w:hint="eastAsia"/>
                <w:color w:val="auto"/>
              </w:rPr>
              <w:t>）索具端部固接方式不符合标准要求，扣</w:t>
            </w:r>
            <w:r>
              <w:rPr>
                <w:color w:val="auto"/>
              </w:rPr>
              <w:t>5-10</w:t>
            </w:r>
            <w:r>
              <w:rPr>
                <w:rFonts w:hint="eastAsia"/>
                <w:color w:val="auto"/>
              </w:rPr>
              <w:t>分</w:t>
            </w:r>
          </w:p>
        </w:tc>
        <w:tc>
          <w:tcPr>
            <w:tcW w:w="720" w:type="dxa"/>
            <w:vAlign w:val="center"/>
          </w:tcPr>
          <w:p w14:paraId="257B1F62">
            <w:pPr>
              <w:pStyle w:val="44"/>
              <w:rPr>
                <w:color w:val="auto"/>
              </w:rPr>
            </w:pPr>
            <w:r>
              <w:rPr>
                <w:color w:val="auto"/>
              </w:rPr>
              <w:t>10</w:t>
            </w:r>
          </w:p>
        </w:tc>
        <w:tc>
          <w:tcPr>
            <w:tcW w:w="720" w:type="dxa"/>
            <w:vAlign w:val="center"/>
          </w:tcPr>
          <w:p w14:paraId="06D376A5">
            <w:pPr>
              <w:pStyle w:val="44"/>
              <w:rPr>
                <w:color w:val="auto"/>
              </w:rPr>
            </w:pPr>
          </w:p>
        </w:tc>
        <w:tc>
          <w:tcPr>
            <w:tcW w:w="720" w:type="dxa"/>
            <w:vAlign w:val="center"/>
          </w:tcPr>
          <w:p w14:paraId="773700F0">
            <w:pPr>
              <w:pStyle w:val="44"/>
              <w:rPr>
                <w:color w:val="auto"/>
              </w:rPr>
            </w:pPr>
          </w:p>
        </w:tc>
      </w:tr>
      <w:tr w14:paraId="2EC7C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trPr>
        <w:tc>
          <w:tcPr>
            <w:tcW w:w="539" w:type="dxa"/>
            <w:vAlign w:val="center"/>
          </w:tcPr>
          <w:p w14:paraId="0C0A642E">
            <w:pPr>
              <w:pStyle w:val="44"/>
              <w:rPr>
                <w:color w:val="auto"/>
              </w:rPr>
            </w:pPr>
            <w:r>
              <w:rPr>
                <w:color w:val="auto"/>
              </w:rPr>
              <w:t>5</w:t>
            </w:r>
          </w:p>
        </w:tc>
        <w:tc>
          <w:tcPr>
            <w:tcW w:w="543" w:type="dxa"/>
            <w:vMerge w:val="continue"/>
          </w:tcPr>
          <w:p w14:paraId="5DDE1540">
            <w:pPr>
              <w:pStyle w:val="44"/>
              <w:rPr>
                <w:color w:val="auto"/>
              </w:rPr>
            </w:pPr>
          </w:p>
        </w:tc>
        <w:tc>
          <w:tcPr>
            <w:tcW w:w="898" w:type="dxa"/>
            <w:vAlign w:val="center"/>
          </w:tcPr>
          <w:p w14:paraId="503F2DE0">
            <w:pPr>
              <w:pStyle w:val="44"/>
              <w:rPr>
                <w:color w:val="auto"/>
              </w:rPr>
            </w:pPr>
            <w:r>
              <w:rPr>
                <w:rFonts w:hint="eastAsia"/>
                <w:color w:val="auto"/>
              </w:rPr>
              <w:t>基础与轨道</w:t>
            </w:r>
          </w:p>
        </w:tc>
        <w:tc>
          <w:tcPr>
            <w:tcW w:w="5580" w:type="dxa"/>
          </w:tcPr>
          <w:p w14:paraId="190AE8EA">
            <w:pPr>
              <w:pStyle w:val="44"/>
              <w:jc w:val="left"/>
              <w:rPr>
                <w:color w:val="auto"/>
              </w:rPr>
            </w:pPr>
            <w:r>
              <w:rPr>
                <w:color w:val="auto"/>
              </w:rPr>
              <w:t>1</w:t>
            </w:r>
            <w:r>
              <w:rPr>
                <w:rFonts w:hint="eastAsia"/>
                <w:color w:val="auto"/>
              </w:rPr>
              <w:t>）地基未经验算或承载力不符合产品说明书规定，扣</w:t>
            </w:r>
            <w:r>
              <w:rPr>
                <w:color w:val="auto"/>
              </w:rPr>
              <w:t>10</w:t>
            </w:r>
            <w:r>
              <w:rPr>
                <w:rFonts w:hint="eastAsia"/>
                <w:color w:val="auto"/>
              </w:rPr>
              <w:t>分</w:t>
            </w:r>
          </w:p>
          <w:p w14:paraId="5599CE5E">
            <w:pPr>
              <w:pStyle w:val="44"/>
              <w:jc w:val="left"/>
              <w:rPr>
                <w:color w:val="auto"/>
              </w:rPr>
            </w:pPr>
            <w:r>
              <w:rPr>
                <w:color w:val="auto"/>
              </w:rPr>
              <w:t>2</w:t>
            </w:r>
            <w:r>
              <w:rPr>
                <w:rFonts w:hint="eastAsia"/>
                <w:color w:val="auto"/>
              </w:rPr>
              <w:t>）基础不坚实稳固或未设置防、排水设施，扣</w:t>
            </w:r>
            <w:r>
              <w:rPr>
                <w:color w:val="auto"/>
              </w:rPr>
              <w:t>4</w:t>
            </w:r>
            <w:r>
              <w:rPr>
                <w:rFonts w:hint="eastAsia"/>
                <w:color w:val="auto"/>
              </w:rPr>
              <w:t>分</w:t>
            </w:r>
          </w:p>
          <w:p w14:paraId="6EB4F1FA">
            <w:pPr>
              <w:pStyle w:val="44"/>
              <w:jc w:val="left"/>
              <w:rPr>
                <w:color w:val="auto"/>
              </w:rPr>
            </w:pPr>
            <w:r>
              <w:rPr>
                <w:color w:val="auto"/>
              </w:rPr>
              <w:t>3</w:t>
            </w:r>
            <w:r>
              <w:rPr>
                <w:rFonts w:hint="eastAsia"/>
                <w:color w:val="auto"/>
              </w:rPr>
              <w:t>）基础与轨道的固定方式不符合产品说明书及标准要求或固定不牢固，扣</w:t>
            </w:r>
            <w:r>
              <w:rPr>
                <w:color w:val="auto"/>
              </w:rPr>
              <w:t>5-8</w:t>
            </w:r>
            <w:r>
              <w:rPr>
                <w:rFonts w:hint="eastAsia"/>
                <w:color w:val="auto"/>
              </w:rPr>
              <w:t>分</w:t>
            </w:r>
          </w:p>
          <w:p w14:paraId="3D826F6A">
            <w:pPr>
              <w:pStyle w:val="44"/>
              <w:jc w:val="left"/>
              <w:rPr>
                <w:color w:val="auto"/>
              </w:rPr>
            </w:pPr>
            <w:r>
              <w:rPr>
                <w:color w:val="auto"/>
              </w:rPr>
              <w:t>4</w:t>
            </w:r>
            <w:r>
              <w:rPr>
                <w:rFonts w:hint="eastAsia"/>
                <w:color w:val="auto"/>
              </w:rPr>
              <w:t>）轨道铺设跨距偏差、弯曲偏差、接头处高低偏差、左右错位偏差不符合产品说明书及标准要求，扣</w:t>
            </w:r>
            <w:r>
              <w:rPr>
                <w:color w:val="auto"/>
              </w:rPr>
              <w:t>5-8</w:t>
            </w:r>
            <w:r>
              <w:rPr>
                <w:rFonts w:hint="eastAsia"/>
                <w:color w:val="auto"/>
              </w:rPr>
              <w:t>分</w:t>
            </w:r>
          </w:p>
          <w:p w14:paraId="1B2F73E5">
            <w:pPr>
              <w:pStyle w:val="44"/>
              <w:jc w:val="left"/>
              <w:rPr>
                <w:color w:val="auto"/>
              </w:rPr>
            </w:pPr>
            <w:r>
              <w:rPr>
                <w:color w:val="auto"/>
              </w:rPr>
              <w:t>5</w:t>
            </w:r>
            <w:r>
              <w:rPr>
                <w:rFonts w:hint="eastAsia"/>
                <w:color w:val="auto"/>
              </w:rPr>
              <w:t>）轨道有明显扭度或接头处间隙过大，扣</w:t>
            </w:r>
            <w:r>
              <w:rPr>
                <w:color w:val="auto"/>
              </w:rPr>
              <w:t>3</w:t>
            </w:r>
            <w:r>
              <w:rPr>
                <w:rFonts w:hint="eastAsia"/>
                <w:color w:val="auto"/>
              </w:rPr>
              <w:t>分</w:t>
            </w:r>
          </w:p>
          <w:p w14:paraId="5C9AF5ED">
            <w:pPr>
              <w:pStyle w:val="44"/>
              <w:jc w:val="left"/>
              <w:rPr>
                <w:color w:val="auto"/>
              </w:rPr>
            </w:pPr>
            <w:r>
              <w:rPr>
                <w:color w:val="auto"/>
              </w:rPr>
              <w:t>6</w:t>
            </w:r>
            <w:r>
              <w:rPr>
                <w:rFonts w:hint="eastAsia"/>
                <w:color w:val="auto"/>
              </w:rPr>
              <w:t>）轨顶面或侧面磨损量过大，扣</w:t>
            </w:r>
            <w:r>
              <w:rPr>
                <w:color w:val="auto"/>
              </w:rPr>
              <w:t>2</w:t>
            </w:r>
            <w:r>
              <w:rPr>
                <w:rFonts w:hint="eastAsia"/>
                <w:color w:val="auto"/>
              </w:rPr>
              <w:t>分</w:t>
            </w:r>
          </w:p>
          <w:p w14:paraId="2A1327CC">
            <w:pPr>
              <w:pStyle w:val="44"/>
              <w:jc w:val="left"/>
              <w:rPr>
                <w:color w:val="auto"/>
              </w:rPr>
            </w:pPr>
            <w:r>
              <w:rPr>
                <w:color w:val="auto"/>
              </w:rPr>
              <w:t>7</w:t>
            </w:r>
            <w:r>
              <w:rPr>
                <w:rFonts w:hint="eastAsia"/>
                <w:color w:val="auto"/>
              </w:rPr>
              <w:t>）路基箱、枕木、道钉、压板等设施不符合产品说明书及标准要求，扣</w:t>
            </w:r>
            <w:r>
              <w:rPr>
                <w:color w:val="auto"/>
              </w:rPr>
              <w:t>3-6</w:t>
            </w:r>
            <w:r>
              <w:rPr>
                <w:rFonts w:hint="eastAsia"/>
                <w:color w:val="auto"/>
              </w:rPr>
              <w:t>分</w:t>
            </w:r>
          </w:p>
          <w:p w14:paraId="0DFFFE01">
            <w:pPr>
              <w:pStyle w:val="44"/>
              <w:jc w:val="left"/>
              <w:rPr>
                <w:color w:val="auto"/>
              </w:rPr>
            </w:pPr>
            <w:r>
              <w:rPr>
                <w:color w:val="auto"/>
              </w:rPr>
              <w:t>8</w:t>
            </w:r>
            <w:r>
              <w:rPr>
                <w:rFonts w:hint="eastAsia"/>
                <w:color w:val="auto"/>
              </w:rPr>
              <w:t>）当门式起重机支撑在既有结构上时，未对既有结构的承载力进行确认或验算，扣</w:t>
            </w:r>
            <w:r>
              <w:rPr>
                <w:color w:val="auto"/>
              </w:rPr>
              <w:t>10</w:t>
            </w:r>
            <w:r>
              <w:rPr>
                <w:rFonts w:hint="eastAsia"/>
                <w:color w:val="auto"/>
              </w:rPr>
              <w:t>分</w:t>
            </w:r>
          </w:p>
        </w:tc>
        <w:tc>
          <w:tcPr>
            <w:tcW w:w="720" w:type="dxa"/>
            <w:vAlign w:val="center"/>
          </w:tcPr>
          <w:p w14:paraId="32A3B3D8">
            <w:pPr>
              <w:pStyle w:val="44"/>
              <w:rPr>
                <w:color w:val="auto"/>
              </w:rPr>
            </w:pPr>
            <w:r>
              <w:rPr>
                <w:color w:val="auto"/>
              </w:rPr>
              <w:t>10</w:t>
            </w:r>
          </w:p>
        </w:tc>
        <w:tc>
          <w:tcPr>
            <w:tcW w:w="720" w:type="dxa"/>
            <w:vAlign w:val="center"/>
          </w:tcPr>
          <w:p w14:paraId="1FABDF94">
            <w:pPr>
              <w:pStyle w:val="44"/>
              <w:rPr>
                <w:color w:val="auto"/>
              </w:rPr>
            </w:pPr>
          </w:p>
        </w:tc>
        <w:tc>
          <w:tcPr>
            <w:tcW w:w="720" w:type="dxa"/>
            <w:vAlign w:val="center"/>
          </w:tcPr>
          <w:p w14:paraId="18C330AC">
            <w:pPr>
              <w:pStyle w:val="44"/>
              <w:rPr>
                <w:color w:val="auto"/>
              </w:rPr>
            </w:pPr>
          </w:p>
        </w:tc>
      </w:tr>
      <w:tr w14:paraId="202FF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435CCEF4">
            <w:pPr>
              <w:pStyle w:val="44"/>
              <w:rPr>
                <w:color w:val="auto"/>
              </w:rPr>
            </w:pPr>
            <w:r>
              <w:rPr>
                <w:color w:val="auto"/>
              </w:rPr>
              <w:t>6</w:t>
            </w:r>
          </w:p>
        </w:tc>
        <w:tc>
          <w:tcPr>
            <w:tcW w:w="543" w:type="dxa"/>
            <w:vMerge w:val="continue"/>
            <w:vAlign w:val="center"/>
          </w:tcPr>
          <w:p w14:paraId="192B7150">
            <w:pPr>
              <w:pStyle w:val="44"/>
              <w:rPr>
                <w:color w:val="auto"/>
              </w:rPr>
            </w:pPr>
          </w:p>
        </w:tc>
        <w:tc>
          <w:tcPr>
            <w:tcW w:w="898" w:type="dxa"/>
            <w:vAlign w:val="center"/>
          </w:tcPr>
          <w:p w14:paraId="353E7798">
            <w:pPr>
              <w:pStyle w:val="44"/>
              <w:rPr>
                <w:color w:val="auto"/>
              </w:rPr>
            </w:pPr>
            <w:r>
              <w:rPr>
                <w:rFonts w:hint="eastAsia"/>
                <w:color w:val="auto"/>
              </w:rPr>
              <w:t>安装、拆卸</w:t>
            </w:r>
          </w:p>
          <w:p w14:paraId="3CADC00E">
            <w:pPr>
              <w:pStyle w:val="44"/>
              <w:rPr>
                <w:color w:val="auto"/>
              </w:rPr>
            </w:pPr>
            <w:r>
              <w:rPr>
                <w:rFonts w:hint="eastAsia"/>
                <w:color w:val="auto"/>
              </w:rPr>
              <w:t>与验收</w:t>
            </w:r>
          </w:p>
        </w:tc>
        <w:tc>
          <w:tcPr>
            <w:tcW w:w="5580" w:type="dxa"/>
            <w:vAlign w:val="center"/>
          </w:tcPr>
          <w:p w14:paraId="72E15899">
            <w:pPr>
              <w:pStyle w:val="44"/>
              <w:jc w:val="left"/>
              <w:rPr>
                <w:color w:val="auto"/>
              </w:rPr>
            </w:pPr>
            <w:r>
              <w:rPr>
                <w:color w:val="auto"/>
              </w:rPr>
              <w:t>1</w:t>
            </w:r>
            <w:r>
              <w:rPr>
                <w:rFonts w:hint="eastAsia"/>
                <w:color w:val="auto"/>
              </w:rPr>
              <w:t>）无制造许可证、产品合格证、备案证明和产品说明书，扣</w:t>
            </w:r>
            <w:r>
              <w:rPr>
                <w:color w:val="auto"/>
              </w:rPr>
              <w:t>5</w:t>
            </w:r>
            <w:r>
              <w:rPr>
                <w:rFonts w:hint="eastAsia"/>
                <w:color w:val="auto"/>
              </w:rPr>
              <w:t>分</w:t>
            </w:r>
          </w:p>
          <w:p w14:paraId="6D2F9C57">
            <w:pPr>
              <w:pStyle w:val="44"/>
              <w:jc w:val="left"/>
              <w:rPr>
                <w:color w:val="auto"/>
              </w:rPr>
            </w:pPr>
            <w:r>
              <w:rPr>
                <w:color w:val="auto"/>
              </w:rPr>
              <w:t>2</w:t>
            </w:r>
            <w:r>
              <w:rPr>
                <w:rFonts w:hint="eastAsia"/>
                <w:color w:val="auto"/>
              </w:rPr>
              <w:t>）安装、拆卸单位未取得起重设备安装工程专业承包资质和安全生产许可证，扣</w:t>
            </w:r>
            <w:r>
              <w:rPr>
                <w:color w:val="auto"/>
              </w:rPr>
              <w:t>10</w:t>
            </w:r>
            <w:r>
              <w:rPr>
                <w:rFonts w:hint="eastAsia"/>
                <w:color w:val="auto"/>
              </w:rPr>
              <w:t>分</w:t>
            </w:r>
          </w:p>
          <w:p w14:paraId="51E0AD64">
            <w:pPr>
              <w:pStyle w:val="44"/>
              <w:jc w:val="left"/>
              <w:rPr>
                <w:color w:val="auto"/>
              </w:rPr>
            </w:pPr>
            <w:r>
              <w:rPr>
                <w:color w:val="auto"/>
              </w:rPr>
              <w:t>3</w:t>
            </w:r>
            <w:r>
              <w:rPr>
                <w:rFonts w:hint="eastAsia"/>
                <w:color w:val="auto"/>
              </w:rPr>
              <w:t>）安装、拆卸作业人员未取得特种作业资格证书，扣</w:t>
            </w:r>
            <w:r>
              <w:rPr>
                <w:color w:val="auto"/>
              </w:rPr>
              <w:t>10</w:t>
            </w:r>
            <w:r>
              <w:rPr>
                <w:rFonts w:hint="eastAsia"/>
                <w:color w:val="auto"/>
              </w:rPr>
              <w:t>分</w:t>
            </w:r>
          </w:p>
          <w:p w14:paraId="23EB9617">
            <w:pPr>
              <w:pStyle w:val="44"/>
              <w:jc w:val="left"/>
              <w:rPr>
                <w:color w:val="auto"/>
              </w:rPr>
            </w:pPr>
            <w:r>
              <w:rPr>
                <w:color w:val="auto"/>
              </w:rPr>
              <w:t>4</w:t>
            </w:r>
            <w:r>
              <w:rPr>
                <w:rFonts w:hint="eastAsia"/>
                <w:color w:val="auto"/>
              </w:rPr>
              <w:t>）中途停止安装时未对已安装或尚未拆除部分采取固定措施，扣</w:t>
            </w:r>
            <w:r>
              <w:rPr>
                <w:color w:val="auto"/>
              </w:rPr>
              <w:t>5-8</w:t>
            </w:r>
            <w:r>
              <w:rPr>
                <w:rFonts w:hint="eastAsia"/>
                <w:color w:val="auto"/>
              </w:rPr>
              <w:t>分</w:t>
            </w:r>
          </w:p>
          <w:p w14:paraId="756C73AC">
            <w:pPr>
              <w:pStyle w:val="44"/>
              <w:jc w:val="left"/>
              <w:rPr>
                <w:color w:val="auto"/>
              </w:rPr>
            </w:pPr>
            <w:r>
              <w:rPr>
                <w:color w:val="auto"/>
              </w:rPr>
              <w:t>5</w:t>
            </w:r>
            <w:r>
              <w:rPr>
                <w:rFonts w:hint="eastAsia"/>
                <w:color w:val="auto"/>
              </w:rPr>
              <w:t>）未履行验收程序或未经责任人签字确认，扣</w:t>
            </w:r>
            <w:r>
              <w:rPr>
                <w:color w:val="auto"/>
              </w:rPr>
              <w:t>10</w:t>
            </w:r>
            <w:r>
              <w:rPr>
                <w:rFonts w:hint="eastAsia"/>
                <w:color w:val="auto"/>
              </w:rPr>
              <w:t>分</w:t>
            </w:r>
          </w:p>
          <w:p w14:paraId="379703D6">
            <w:pPr>
              <w:pStyle w:val="44"/>
              <w:jc w:val="left"/>
              <w:rPr>
                <w:color w:val="auto"/>
              </w:rPr>
            </w:pPr>
            <w:r>
              <w:rPr>
                <w:color w:val="auto"/>
              </w:rPr>
              <w:t>6</w:t>
            </w:r>
            <w:r>
              <w:rPr>
                <w:rFonts w:hint="eastAsia"/>
                <w:color w:val="auto"/>
              </w:rPr>
              <w:t>）验收后未办理使用登记，扣</w:t>
            </w:r>
            <w:r>
              <w:rPr>
                <w:color w:val="auto"/>
              </w:rPr>
              <w:t>5</w:t>
            </w:r>
            <w:r>
              <w:rPr>
                <w:rFonts w:hint="eastAsia"/>
                <w:color w:val="auto"/>
              </w:rPr>
              <w:t>分</w:t>
            </w:r>
          </w:p>
        </w:tc>
        <w:tc>
          <w:tcPr>
            <w:tcW w:w="720" w:type="dxa"/>
            <w:vAlign w:val="center"/>
          </w:tcPr>
          <w:p w14:paraId="4627957C">
            <w:pPr>
              <w:pStyle w:val="44"/>
              <w:rPr>
                <w:color w:val="auto"/>
              </w:rPr>
            </w:pPr>
            <w:r>
              <w:rPr>
                <w:color w:val="auto"/>
              </w:rPr>
              <w:t>10</w:t>
            </w:r>
          </w:p>
        </w:tc>
        <w:tc>
          <w:tcPr>
            <w:tcW w:w="720" w:type="dxa"/>
            <w:vAlign w:val="center"/>
          </w:tcPr>
          <w:p w14:paraId="34165097">
            <w:pPr>
              <w:pStyle w:val="44"/>
              <w:rPr>
                <w:color w:val="auto"/>
              </w:rPr>
            </w:pPr>
          </w:p>
        </w:tc>
        <w:tc>
          <w:tcPr>
            <w:tcW w:w="720" w:type="dxa"/>
            <w:vAlign w:val="center"/>
          </w:tcPr>
          <w:p w14:paraId="4B8B5500">
            <w:pPr>
              <w:pStyle w:val="44"/>
              <w:rPr>
                <w:color w:val="auto"/>
              </w:rPr>
            </w:pPr>
          </w:p>
        </w:tc>
      </w:tr>
      <w:tr w14:paraId="2D8A1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280BD15E">
            <w:pPr>
              <w:pStyle w:val="44"/>
              <w:rPr>
                <w:color w:val="auto"/>
              </w:rPr>
            </w:pPr>
            <w:r>
              <w:rPr>
                <w:color w:val="auto"/>
              </w:rPr>
              <w:t>7</w:t>
            </w:r>
          </w:p>
        </w:tc>
        <w:tc>
          <w:tcPr>
            <w:tcW w:w="543" w:type="dxa"/>
            <w:vAlign w:val="center"/>
          </w:tcPr>
          <w:p w14:paraId="32D866F4">
            <w:pPr>
              <w:pStyle w:val="44"/>
              <w:rPr>
                <w:color w:val="auto"/>
              </w:rPr>
            </w:pPr>
          </w:p>
        </w:tc>
        <w:tc>
          <w:tcPr>
            <w:tcW w:w="898" w:type="dxa"/>
            <w:vAlign w:val="center"/>
          </w:tcPr>
          <w:p w14:paraId="789242CA">
            <w:pPr>
              <w:pStyle w:val="44"/>
              <w:rPr>
                <w:color w:val="auto"/>
              </w:rPr>
            </w:pPr>
            <w:r>
              <w:rPr>
                <w:rFonts w:hint="eastAsia"/>
                <w:color w:val="auto"/>
              </w:rPr>
              <w:t>使用</w:t>
            </w:r>
          </w:p>
        </w:tc>
        <w:tc>
          <w:tcPr>
            <w:tcW w:w="5580" w:type="dxa"/>
            <w:vAlign w:val="center"/>
          </w:tcPr>
          <w:p w14:paraId="6ACC7126">
            <w:pPr>
              <w:pStyle w:val="44"/>
              <w:jc w:val="left"/>
              <w:rPr>
                <w:color w:val="auto"/>
              </w:rPr>
            </w:pPr>
            <w:r>
              <w:rPr>
                <w:color w:val="auto"/>
              </w:rPr>
              <w:t>1</w:t>
            </w:r>
            <w:r>
              <w:rPr>
                <w:rFonts w:hint="eastAsia"/>
                <w:color w:val="auto"/>
              </w:rPr>
              <w:t>）使用前未按标准进行调试和试运行，扣</w:t>
            </w:r>
            <w:r>
              <w:rPr>
                <w:color w:val="auto"/>
              </w:rPr>
              <w:t>5-10</w:t>
            </w:r>
            <w:r>
              <w:rPr>
                <w:rFonts w:hint="eastAsia"/>
                <w:color w:val="auto"/>
              </w:rPr>
              <w:t>分</w:t>
            </w:r>
          </w:p>
          <w:p w14:paraId="0E823B51">
            <w:pPr>
              <w:pStyle w:val="44"/>
              <w:jc w:val="left"/>
              <w:rPr>
                <w:color w:val="auto"/>
              </w:rPr>
            </w:pPr>
            <w:r>
              <w:rPr>
                <w:color w:val="auto"/>
              </w:rPr>
              <w:t>2</w:t>
            </w:r>
            <w:r>
              <w:rPr>
                <w:rFonts w:hint="eastAsia"/>
                <w:color w:val="auto"/>
              </w:rPr>
              <w:t>）起重司机、信号工、司索工未取得特种作业资格证书，扣</w:t>
            </w:r>
            <w:r>
              <w:rPr>
                <w:color w:val="auto"/>
              </w:rPr>
              <w:t>10</w:t>
            </w:r>
            <w:r>
              <w:rPr>
                <w:rFonts w:hint="eastAsia"/>
                <w:color w:val="auto"/>
              </w:rPr>
              <w:t>分</w:t>
            </w:r>
          </w:p>
          <w:p w14:paraId="38BDBA53">
            <w:pPr>
              <w:pStyle w:val="44"/>
              <w:jc w:val="left"/>
              <w:rPr>
                <w:color w:val="auto"/>
              </w:rPr>
            </w:pPr>
            <w:r>
              <w:rPr>
                <w:color w:val="auto"/>
              </w:rPr>
              <w:t>3</w:t>
            </w:r>
            <w:r>
              <w:rPr>
                <w:rFonts w:hint="eastAsia"/>
                <w:color w:val="auto"/>
              </w:rPr>
              <w:t>）使用期间未按规定形成交接班检查、日常检查和周期检查记录，扣</w:t>
            </w:r>
            <w:r>
              <w:rPr>
                <w:color w:val="auto"/>
              </w:rPr>
              <w:t>3-8</w:t>
            </w:r>
            <w:r>
              <w:rPr>
                <w:rFonts w:hint="eastAsia"/>
                <w:color w:val="auto"/>
              </w:rPr>
              <w:t>分</w:t>
            </w:r>
          </w:p>
          <w:p w14:paraId="5E508973">
            <w:pPr>
              <w:pStyle w:val="44"/>
              <w:jc w:val="left"/>
              <w:rPr>
                <w:color w:val="auto"/>
              </w:rPr>
            </w:pPr>
            <w:r>
              <w:rPr>
                <w:color w:val="auto"/>
              </w:rPr>
              <w:t>4</w:t>
            </w:r>
            <w:r>
              <w:rPr>
                <w:rFonts w:hint="eastAsia"/>
                <w:color w:val="auto"/>
              </w:rPr>
              <w:t>）起重机停止作业时，未锁紧夹轨器，扣</w:t>
            </w:r>
            <w:r>
              <w:rPr>
                <w:color w:val="auto"/>
              </w:rPr>
              <w:t>5</w:t>
            </w:r>
            <w:r>
              <w:rPr>
                <w:rFonts w:hint="eastAsia"/>
                <w:color w:val="auto"/>
              </w:rPr>
              <w:t>分</w:t>
            </w:r>
          </w:p>
        </w:tc>
        <w:tc>
          <w:tcPr>
            <w:tcW w:w="720" w:type="dxa"/>
            <w:vAlign w:val="center"/>
          </w:tcPr>
          <w:p w14:paraId="3CB8DC58">
            <w:pPr>
              <w:pStyle w:val="44"/>
              <w:rPr>
                <w:color w:val="auto"/>
              </w:rPr>
            </w:pPr>
            <w:r>
              <w:rPr>
                <w:color w:val="auto"/>
              </w:rPr>
              <w:t>10</w:t>
            </w:r>
          </w:p>
        </w:tc>
        <w:tc>
          <w:tcPr>
            <w:tcW w:w="720" w:type="dxa"/>
            <w:vAlign w:val="center"/>
          </w:tcPr>
          <w:p w14:paraId="23B42151">
            <w:pPr>
              <w:pStyle w:val="44"/>
              <w:rPr>
                <w:color w:val="auto"/>
              </w:rPr>
            </w:pPr>
          </w:p>
        </w:tc>
        <w:tc>
          <w:tcPr>
            <w:tcW w:w="720" w:type="dxa"/>
            <w:vAlign w:val="center"/>
          </w:tcPr>
          <w:p w14:paraId="46525E5F">
            <w:pPr>
              <w:pStyle w:val="44"/>
              <w:rPr>
                <w:color w:val="auto"/>
              </w:rPr>
            </w:pPr>
          </w:p>
        </w:tc>
      </w:tr>
      <w:tr w14:paraId="6D0FF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trPr>
        <w:tc>
          <w:tcPr>
            <w:tcW w:w="539" w:type="dxa"/>
            <w:vAlign w:val="center"/>
          </w:tcPr>
          <w:p w14:paraId="5B44ED62">
            <w:pPr>
              <w:pStyle w:val="44"/>
              <w:rPr>
                <w:color w:val="auto"/>
              </w:rPr>
            </w:pPr>
            <w:r>
              <w:rPr>
                <w:color w:val="auto"/>
              </w:rPr>
              <w:t>1</w:t>
            </w:r>
          </w:p>
        </w:tc>
        <w:tc>
          <w:tcPr>
            <w:tcW w:w="543" w:type="dxa"/>
            <w:vMerge w:val="restart"/>
            <w:vAlign w:val="center"/>
          </w:tcPr>
          <w:p w14:paraId="19700EC6">
            <w:pPr>
              <w:pStyle w:val="44"/>
              <w:rPr>
                <w:color w:val="auto"/>
              </w:rPr>
            </w:pPr>
            <w:r>
              <w:rPr>
                <w:rFonts w:hint="eastAsia"/>
                <w:color w:val="auto"/>
              </w:rPr>
              <w:t>一</w:t>
            </w:r>
          </w:p>
          <w:p w14:paraId="04549D5B">
            <w:pPr>
              <w:pStyle w:val="44"/>
              <w:rPr>
                <w:color w:val="auto"/>
              </w:rPr>
            </w:pPr>
            <w:r>
              <w:rPr>
                <w:rFonts w:hint="eastAsia"/>
                <w:color w:val="auto"/>
              </w:rPr>
              <w:t>般</w:t>
            </w:r>
          </w:p>
          <w:p w14:paraId="1857147D">
            <w:pPr>
              <w:pStyle w:val="44"/>
              <w:rPr>
                <w:color w:val="auto"/>
              </w:rPr>
            </w:pPr>
            <w:r>
              <w:rPr>
                <w:rFonts w:hint="eastAsia"/>
                <w:color w:val="auto"/>
              </w:rPr>
              <w:t>项</w:t>
            </w:r>
          </w:p>
          <w:p w14:paraId="47C6CEBA">
            <w:pPr>
              <w:pStyle w:val="44"/>
              <w:rPr>
                <w:color w:val="auto"/>
              </w:rPr>
            </w:pPr>
            <w:r>
              <w:rPr>
                <w:rFonts w:hint="eastAsia"/>
                <w:color w:val="auto"/>
              </w:rPr>
              <w:t>目</w:t>
            </w:r>
          </w:p>
        </w:tc>
        <w:tc>
          <w:tcPr>
            <w:tcW w:w="898" w:type="dxa"/>
            <w:vAlign w:val="center"/>
          </w:tcPr>
          <w:p w14:paraId="53145877">
            <w:pPr>
              <w:pStyle w:val="44"/>
              <w:rPr>
                <w:color w:val="auto"/>
              </w:rPr>
            </w:pPr>
            <w:r>
              <w:rPr>
                <w:rFonts w:hint="eastAsia"/>
                <w:color w:val="auto"/>
              </w:rPr>
              <w:t>安全防护及警示标识</w:t>
            </w:r>
          </w:p>
        </w:tc>
        <w:tc>
          <w:tcPr>
            <w:tcW w:w="5580" w:type="dxa"/>
          </w:tcPr>
          <w:p w14:paraId="2D650B3A">
            <w:pPr>
              <w:pStyle w:val="44"/>
              <w:jc w:val="left"/>
              <w:rPr>
                <w:color w:val="auto"/>
              </w:rPr>
            </w:pPr>
            <w:r>
              <w:rPr>
                <w:color w:val="auto"/>
              </w:rPr>
              <w:t>1</w:t>
            </w:r>
            <w:r>
              <w:rPr>
                <w:rFonts w:hint="eastAsia"/>
                <w:color w:val="auto"/>
              </w:rPr>
              <w:t>）未在明显位置设置主要性能标志和安全警示标志，扣</w:t>
            </w:r>
            <w:r>
              <w:rPr>
                <w:color w:val="auto"/>
              </w:rPr>
              <w:t>3-5</w:t>
            </w:r>
            <w:r>
              <w:rPr>
                <w:rFonts w:hint="eastAsia"/>
                <w:color w:val="auto"/>
              </w:rPr>
              <w:t>分</w:t>
            </w:r>
          </w:p>
          <w:p w14:paraId="147CF7FE">
            <w:pPr>
              <w:pStyle w:val="44"/>
              <w:jc w:val="left"/>
              <w:rPr>
                <w:color w:val="auto"/>
              </w:rPr>
            </w:pPr>
            <w:r>
              <w:rPr>
                <w:color w:val="auto"/>
              </w:rPr>
              <w:t>2</w:t>
            </w:r>
            <w:r>
              <w:rPr>
                <w:rFonts w:hint="eastAsia"/>
                <w:color w:val="auto"/>
              </w:rPr>
              <w:t>）未按规定安装警示灯，或警示灯失效，扣</w:t>
            </w:r>
            <w:r>
              <w:rPr>
                <w:color w:val="auto"/>
              </w:rPr>
              <w:t>5</w:t>
            </w:r>
            <w:r>
              <w:rPr>
                <w:rFonts w:hint="eastAsia"/>
                <w:color w:val="auto"/>
              </w:rPr>
              <w:t>分</w:t>
            </w:r>
          </w:p>
          <w:p w14:paraId="7C875143">
            <w:pPr>
              <w:pStyle w:val="44"/>
              <w:jc w:val="left"/>
              <w:rPr>
                <w:color w:val="auto"/>
              </w:rPr>
            </w:pPr>
            <w:r>
              <w:rPr>
                <w:color w:val="auto"/>
              </w:rPr>
              <w:t>3</w:t>
            </w:r>
            <w:r>
              <w:rPr>
                <w:rFonts w:hint="eastAsia"/>
                <w:color w:val="auto"/>
              </w:rPr>
              <w:t>）安拆及使用场地安全区域位置未设置围栏或警戒线，扣</w:t>
            </w:r>
            <w:r>
              <w:rPr>
                <w:color w:val="auto"/>
              </w:rPr>
              <w:t>5-10</w:t>
            </w:r>
            <w:r>
              <w:rPr>
                <w:rFonts w:hint="eastAsia"/>
                <w:color w:val="auto"/>
              </w:rPr>
              <w:t>分</w:t>
            </w:r>
          </w:p>
        </w:tc>
        <w:tc>
          <w:tcPr>
            <w:tcW w:w="720" w:type="dxa"/>
            <w:vAlign w:val="center"/>
          </w:tcPr>
          <w:p w14:paraId="6EA22FFA">
            <w:pPr>
              <w:pStyle w:val="44"/>
              <w:rPr>
                <w:color w:val="auto"/>
              </w:rPr>
            </w:pPr>
            <w:r>
              <w:rPr>
                <w:color w:val="auto"/>
              </w:rPr>
              <w:t>10</w:t>
            </w:r>
          </w:p>
        </w:tc>
        <w:tc>
          <w:tcPr>
            <w:tcW w:w="720" w:type="dxa"/>
            <w:vAlign w:val="center"/>
          </w:tcPr>
          <w:p w14:paraId="3F09045F">
            <w:pPr>
              <w:pStyle w:val="44"/>
              <w:rPr>
                <w:color w:val="auto"/>
              </w:rPr>
            </w:pPr>
          </w:p>
        </w:tc>
        <w:tc>
          <w:tcPr>
            <w:tcW w:w="720" w:type="dxa"/>
            <w:vAlign w:val="center"/>
          </w:tcPr>
          <w:p w14:paraId="5DF6EBF1">
            <w:pPr>
              <w:pStyle w:val="44"/>
              <w:rPr>
                <w:color w:val="auto"/>
              </w:rPr>
            </w:pPr>
          </w:p>
        </w:tc>
      </w:tr>
      <w:tr w14:paraId="5B302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75805701">
            <w:pPr>
              <w:pStyle w:val="44"/>
              <w:rPr>
                <w:color w:val="auto"/>
              </w:rPr>
            </w:pPr>
            <w:r>
              <w:rPr>
                <w:color w:val="auto"/>
              </w:rPr>
              <w:t>2</w:t>
            </w:r>
          </w:p>
        </w:tc>
        <w:tc>
          <w:tcPr>
            <w:tcW w:w="543" w:type="dxa"/>
            <w:vMerge w:val="continue"/>
          </w:tcPr>
          <w:p w14:paraId="3D48F33B">
            <w:pPr>
              <w:pStyle w:val="44"/>
              <w:rPr>
                <w:color w:val="auto"/>
              </w:rPr>
            </w:pPr>
          </w:p>
        </w:tc>
        <w:tc>
          <w:tcPr>
            <w:tcW w:w="898" w:type="dxa"/>
            <w:vAlign w:val="center"/>
          </w:tcPr>
          <w:p w14:paraId="1861449B">
            <w:pPr>
              <w:pStyle w:val="44"/>
              <w:rPr>
                <w:color w:val="auto"/>
              </w:rPr>
            </w:pPr>
            <w:r>
              <w:rPr>
                <w:rFonts w:hint="eastAsia"/>
                <w:color w:val="auto"/>
              </w:rPr>
              <w:t>结构设施</w:t>
            </w:r>
          </w:p>
        </w:tc>
        <w:tc>
          <w:tcPr>
            <w:tcW w:w="5580" w:type="dxa"/>
            <w:vAlign w:val="center"/>
          </w:tcPr>
          <w:p w14:paraId="255A62A8">
            <w:pPr>
              <w:pStyle w:val="44"/>
              <w:jc w:val="left"/>
              <w:rPr>
                <w:color w:val="auto"/>
              </w:rPr>
            </w:pPr>
            <w:r>
              <w:rPr>
                <w:color w:val="auto"/>
              </w:rPr>
              <w:t>1</w:t>
            </w:r>
            <w:r>
              <w:rPr>
                <w:rFonts w:hint="eastAsia"/>
                <w:color w:val="auto"/>
              </w:rPr>
              <w:t>）门式起重机主要受力结构件有明显变形、开焊、裂缝及严重锈蚀等现象，扣</w:t>
            </w:r>
            <w:r>
              <w:rPr>
                <w:color w:val="auto"/>
              </w:rPr>
              <w:t>10</w:t>
            </w:r>
            <w:r>
              <w:rPr>
                <w:rFonts w:hint="eastAsia"/>
                <w:color w:val="auto"/>
              </w:rPr>
              <w:t>分</w:t>
            </w:r>
          </w:p>
          <w:p w14:paraId="4803688C">
            <w:pPr>
              <w:pStyle w:val="44"/>
              <w:jc w:val="left"/>
              <w:rPr>
                <w:color w:val="auto"/>
              </w:rPr>
            </w:pPr>
            <w:r>
              <w:rPr>
                <w:color w:val="auto"/>
              </w:rPr>
              <w:t>2</w:t>
            </w:r>
            <w:r>
              <w:rPr>
                <w:rFonts w:hint="eastAsia"/>
                <w:color w:val="auto"/>
              </w:rPr>
              <w:t>）平台、通道、梯子、护栏设置不符合产品说明书及标准要求，扣</w:t>
            </w:r>
            <w:r>
              <w:rPr>
                <w:color w:val="auto"/>
              </w:rPr>
              <w:t>4-8</w:t>
            </w:r>
            <w:r>
              <w:rPr>
                <w:rFonts w:hint="eastAsia"/>
                <w:color w:val="auto"/>
              </w:rPr>
              <w:t>分</w:t>
            </w:r>
          </w:p>
          <w:p w14:paraId="721FAF62">
            <w:pPr>
              <w:pStyle w:val="44"/>
              <w:jc w:val="left"/>
              <w:rPr>
                <w:color w:val="auto"/>
              </w:rPr>
            </w:pPr>
            <w:r>
              <w:rPr>
                <w:color w:val="auto"/>
              </w:rPr>
              <w:t>3</w:t>
            </w:r>
            <w:r>
              <w:rPr>
                <w:rFonts w:hint="eastAsia"/>
                <w:color w:val="auto"/>
              </w:rPr>
              <w:t>）高强螺栓、销轴、紧固件的紧固、连接不符合产品说明书及标准要求，扣</w:t>
            </w:r>
            <w:r>
              <w:rPr>
                <w:color w:val="auto"/>
              </w:rPr>
              <w:t>5-10</w:t>
            </w:r>
            <w:r>
              <w:rPr>
                <w:rFonts w:hint="eastAsia"/>
                <w:color w:val="auto"/>
              </w:rPr>
              <w:t>分</w:t>
            </w:r>
          </w:p>
        </w:tc>
        <w:tc>
          <w:tcPr>
            <w:tcW w:w="720" w:type="dxa"/>
            <w:vAlign w:val="center"/>
          </w:tcPr>
          <w:p w14:paraId="5B3DE67D">
            <w:pPr>
              <w:pStyle w:val="44"/>
              <w:rPr>
                <w:color w:val="auto"/>
              </w:rPr>
            </w:pPr>
            <w:r>
              <w:rPr>
                <w:color w:val="auto"/>
              </w:rPr>
              <w:t>10</w:t>
            </w:r>
          </w:p>
        </w:tc>
        <w:tc>
          <w:tcPr>
            <w:tcW w:w="720" w:type="dxa"/>
            <w:vAlign w:val="center"/>
          </w:tcPr>
          <w:p w14:paraId="21E306E9">
            <w:pPr>
              <w:pStyle w:val="44"/>
              <w:rPr>
                <w:color w:val="auto"/>
              </w:rPr>
            </w:pPr>
          </w:p>
        </w:tc>
        <w:tc>
          <w:tcPr>
            <w:tcW w:w="720" w:type="dxa"/>
            <w:vAlign w:val="center"/>
          </w:tcPr>
          <w:p w14:paraId="17A5440F">
            <w:pPr>
              <w:pStyle w:val="44"/>
              <w:rPr>
                <w:color w:val="auto"/>
              </w:rPr>
            </w:pPr>
          </w:p>
        </w:tc>
      </w:tr>
      <w:tr w14:paraId="636CD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71CAF95D">
            <w:pPr>
              <w:pStyle w:val="44"/>
              <w:rPr>
                <w:color w:val="auto"/>
              </w:rPr>
            </w:pPr>
            <w:r>
              <w:rPr>
                <w:color w:val="auto"/>
              </w:rPr>
              <w:t>3</w:t>
            </w:r>
          </w:p>
        </w:tc>
        <w:tc>
          <w:tcPr>
            <w:tcW w:w="543" w:type="dxa"/>
            <w:vMerge w:val="continue"/>
          </w:tcPr>
          <w:p w14:paraId="5BFD7BE8">
            <w:pPr>
              <w:pStyle w:val="44"/>
              <w:rPr>
                <w:color w:val="auto"/>
              </w:rPr>
            </w:pPr>
          </w:p>
        </w:tc>
        <w:tc>
          <w:tcPr>
            <w:tcW w:w="898" w:type="dxa"/>
            <w:vAlign w:val="center"/>
          </w:tcPr>
          <w:p w14:paraId="58E61CA1">
            <w:pPr>
              <w:pStyle w:val="44"/>
              <w:rPr>
                <w:color w:val="auto"/>
              </w:rPr>
            </w:pPr>
            <w:r>
              <w:rPr>
                <w:rFonts w:hint="eastAsia"/>
                <w:color w:val="auto"/>
              </w:rPr>
              <w:t>电气控制与保护</w:t>
            </w:r>
          </w:p>
        </w:tc>
        <w:tc>
          <w:tcPr>
            <w:tcW w:w="5580" w:type="dxa"/>
          </w:tcPr>
          <w:p w14:paraId="1480135D">
            <w:pPr>
              <w:pStyle w:val="44"/>
              <w:jc w:val="left"/>
              <w:rPr>
                <w:color w:val="auto"/>
              </w:rPr>
            </w:pPr>
            <w:r>
              <w:rPr>
                <w:color w:val="auto"/>
              </w:rPr>
              <w:t>1</w:t>
            </w:r>
            <w:r>
              <w:rPr>
                <w:rFonts w:hint="eastAsia"/>
                <w:color w:val="auto"/>
              </w:rPr>
              <w:t>）未安装非自动复位型急停开关或不灵敏，扣</w:t>
            </w:r>
            <w:r>
              <w:rPr>
                <w:color w:val="auto"/>
              </w:rPr>
              <w:t>5</w:t>
            </w:r>
            <w:r>
              <w:rPr>
                <w:rFonts w:hint="eastAsia"/>
                <w:color w:val="auto"/>
              </w:rPr>
              <w:t>分</w:t>
            </w:r>
          </w:p>
          <w:p w14:paraId="7FCCC836">
            <w:pPr>
              <w:pStyle w:val="44"/>
              <w:jc w:val="left"/>
              <w:rPr>
                <w:color w:val="auto"/>
              </w:rPr>
            </w:pPr>
            <w:r>
              <w:rPr>
                <w:color w:val="auto"/>
              </w:rPr>
              <w:t>2</w:t>
            </w:r>
            <w:r>
              <w:rPr>
                <w:rFonts w:hint="eastAsia"/>
                <w:color w:val="auto"/>
              </w:rPr>
              <w:t>）门式起重机在其他防雷保护范围以外未设置避雷装置，扣</w:t>
            </w:r>
            <w:r>
              <w:rPr>
                <w:color w:val="auto"/>
              </w:rPr>
              <w:t>10</w:t>
            </w:r>
            <w:r>
              <w:rPr>
                <w:rFonts w:hint="eastAsia"/>
                <w:color w:val="auto"/>
              </w:rPr>
              <w:t>分，避雷装置不符合相关标准要求，扣</w:t>
            </w:r>
            <w:r>
              <w:rPr>
                <w:color w:val="auto"/>
              </w:rPr>
              <w:t>5</w:t>
            </w:r>
            <w:r>
              <w:rPr>
                <w:rFonts w:hint="eastAsia"/>
                <w:color w:val="auto"/>
              </w:rPr>
              <w:t>分</w:t>
            </w:r>
          </w:p>
          <w:p w14:paraId="4F8ED7AD">
            <w:pPr>
              <w:pStyle w:val="44"/>
              <w:jc w:val="left"/>
              <w:rPr>
                <w:color w:val="auto"/>
              </w:rPr>
            </w:pPr>
            <w:r>
              <w:rPr>
                <w:color w:val="auto"/>
              </w:rPr>
              <w:t>3</w:t>
            </w:r>
            <w:r>
              <w:rPr>
                <w:rFonts w:hint="eastAsia"/>
                <w:color w:val="auto"/>
              </w:rPr>
              <w:t>）金属结构和所有电气设备系统金属外壳未进行可靠接地，扣</w:t>
            </w:r>
            <w:r>
              <w:rPr>
                <w:color w:val="auto"/>
              </w:rPr>
              <w:t>5</w:t>
            </w:r>
            <w:r>
              <w:rPr>
                <w:rFonts w:hint="eastAsia"/>
                <w:color w:val="auto"/>
              </w:rPr>
              <w:t>分</w:t>
            </w:r>
          </w:p>
          <w:p w14:paraId="34828D7B">
            <w:pPr>
              <w:pStyle w:val="44"/>
              <w:jc w:val="left"/>
              <w:rPr>
                <w:color w:val="auto"/>
              </w:rPr>
            </w:pPr>
            <w:r>
              <w:rPr>
                <w:color w:val="auto"/>
              </w:rPr>
              <w:t>4</w:t>
            </w:r>
            <w:r>
              <w:rPr>
                <w:rFonts w:hint="eastAsia"/>
                <w:color w:val="auto"/>
              </w:rPr>
              <w:t>）门式起重机与架空线路的安全距离不符合标准要求时，未采取防护措施，扣</w:t>
            </w:r>
            <w:r>
              <w:rPr>
                <w:color w:val="auto"/>
              </w:rPr>
              <w:t>10</w:t>
            </w:r>
            <w:r>
              <w:rPr>
                <w:rFonts w:hint="eastAsia"/>
                <w:color w:val="auto"/>
              </w:rPr>
              <w:t>分</w:t>
            </w:r>
          </w:p>
          <w:p w14:paraId="2B0CD292">
            <w:pPr>
              <w:pStyle w:val="44"/>
              <w:jc w:val="left"/>
              <w:rPr>
                <w:color w:val="auto"/>
              </w:rPr>
            </w:pPr>
            <w:r>
              <w:rPr>
                <w:color w:val="auto"/>
              </w:rPr>
              <w:t>5</w:t>
            </w:r>
            <w:r>
              <w:rPr>
                <w:rFonts w:hint="eastAsia"/>
                <w:color w:val="auto"/>
              </w:rPr>
              <w:t>）工作电缆拖地、泡水或无保护措施，扣</w:t>
            </w:r>
            <w:r>
              <w:rPr>
                <w:color w:val="auto"/>
              </w:rPr>
              <w:t>2-5</w:t>
            </w:r>
            <w:r>
              <w:rPr>
                <w:rFonts w:hint="eastAsia"/>
                <w:color w:val="auto"/>
              </w:rPr>
              <w:t>分</w:t>
            </w:r>
          </w:p>
          <w:p w14:paraId="2C296583">
            <w:pPr>
              <w:pStyle w:val="44"/>
              <w:jc w:val="left"/>
              <w:rPr>
                <w:color w:val="auto"/>
              </w:rPr>
            </w:pPr>
            <w:r>
              <w:rPr>
                <w:color w:val="auto"/>
              </w:rPr>
              <w:t>6</w:t>
            </w:r>
            <w:r>
              <w:rPr>
                <w:rFonts w:hint="eastAsia"/>
                <w:color w:val="auto"/>
              </w:rPr>
              <w:t>）电气绝缘电阻小于相关标准要求，扣</w:t>
            </w:r>
            <w:r>
              <w:rPr>
                <w:color w:val="auto"/>
              </w:rPr>
              <w:t>5</w:t>
            </w:r>
            <w:r>
              <w:rPr>
                <w:rFonts w:hint="eastAsia"/>
                <w:color w:val="auto"/>
              </w:rPr>
              <w:t>分</w:t>
            </w:r>
          </w:p>
        </w:tc>
        <w:tc>
          <w:tcPr>
            <w:tcW w:w="720" w:type="dxa"/>
            <w:vAlign w:val="center"/>
          </w:tcPr>
          <w:p w14:paraId="70564DF5">
            <w:pPr>
              <w:pStyle w:val="44"/>
              <w:rPr>
                <w:color w:val="auto"/>
              </w:rPr>
            </w:pPr>
            <w:r>
              <w:rPr>
                <w:color w:val="auto"/>
              </w:rPr>
              <w:t>10</w:t>
            </w:r>
          </w:p>
        </w:tc>
        <w:tc>
          <w:tcPr>
            <w:tcW w:w="720" w:type="dxa"/>
            <w:vAlign w:val="center"/>
          </w:tcPr>
          <w:p w14:paraId="36F6B18C">
            <w:pPr>
              <w:pStyle w:val="44"/>
              <w:rPr>
                <w:color w:val="auto"/>
              </w:rPr>
            </w:pPr>
          </w:p>
        </w:tc>
        <w:tc>
          <w:tcPr>
            <w:tcW w:w="720" w:type="dxa"/>
            <w:vAlign w:val="center"/>
          </w:tcPr>
          <w:p w14:paraId="48647A88">
            <w:pPr>
              <w:pStyle w:val="44"/>
              <w:rPr>
                <w:color w:val="auto"/>
              </w:rPr>
            </w:pPr>
          </w:p>
        </w:tc>
      </w:tr>
      <w:tr w14:paraId="69D1F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2F2DB918">
            <w:pPr>
              <w:pStyle w:val="44"/>
              <w:rPr>
                <w:color w:val="auto"/>
              </w:rPr>
            </w:pPr>
          </w:p>
        </w:tc>
        <w:tc>
          <w:tcPr>
            <w:tcW w:w="543" w:type="dxa"/>
            <w:vMerge w:val="continue"/>
          </w:tcPr>
          <w:p w14:paraId="53D8F1F9">
            <w:pPr>
              <w:pStyle w:val="44"/>
              <w:rPr>
                <w:color w:val="auto"/>
              </w:rPr>
            </w:pPr>
          </w:p>
        </w:tc>
        <w:tc>
          <w:tcPr>
            <w:tcW w:w="6478" w:type="dxa"/>
            <w:gridSpan w:val="2"/>
            <w:vAlign w:val="center"/>
          </w:tcPr>
          <w:p w14:paraId="439824A9">
            <w:pPr>
              <w:pStyle w:val="44"/>
              <w:rPr>
                <w:b/>
                <w:bCs w:val="0"/>
                <w:color w:val="auto"/>
              </w:rPr>
            </w:pPr>
            <w:r>
              <w:rPr>
                <w:rFonts w:hint="eastAsia"/>
                <w:b/>
                <w:bCs w:val="0"/>
                <w:color w:val="auto"/>
              </w:rPr>
              <w:t>小</w:t>
            </w:r>
            <w:r>
              <w:rPr>
                <w:b/>
                <w:bCs w:val="0"/>
                <w:color w:val="auto"/>
              </w:rPr>
              <w:t xml:space="preserve">  </w:t>
            </w:r>
            <w:r>
              <w:rPr>
                <w:rFonts w:hint="eastAsia"/>
                <w:b/>
                <w:bCs w:val="0"/>
                <w:color w:val="auto"/>
              </w:rPr>
              <w:t>计</w:t>
            </w:r>
          </w:p>
        </w:tc>
        <w:tc>
          <w:tcPr>
            <w:tcW w:w="720" w:type="dxa"/>
            <w:vAlign w:val="center"/>
          </w:tcPr>
          <w:p w14:paraId="74FDF6CB">
            <w:pPr>
              <w:pStyle w:val="44"/>
              <w:rPr>
                <w:color w:val="auto"/>
              </w:rPr>
            </w:pPr>
            <w:r>
              <w:rPr>
                <w:color w:val="auto"/>
              </w:rPr>
              <w:t>30</w:t>
            </w:r>
          </w:p>
        </w:tc>
        <w:tc>
          <w:tcPr>
            <w:tcW w:w="720" w:type="dxa"/>
            <w:vAlign w:val="center"/>
          </w:tcPr>
          <w:p w14:paraId="7A221BDB">
            <w:pPr>
              <w:pStyle w:val="44"/>
              <w:rPr>
                <w:color w:val="auto"/>
              </w:rPr>
            </w:pPr>
          </w:p>
        </w:tc>
        <w:tc>
          <w:tcPr>
            <w:tcW w:w="720" w:type="dxa"/>
            <w:vAlign w:val="center"/>
          </w:tcPr>
          <w:p w14:paraId="0B8448F2">
            <w:pPr>
              <w:pStyle w:val="44"/>
              <w:rPr>
                <w:color w:val="auto"/>
              </w:rPr>
            </w:pPr>
          </w:p>
        </w:tc>
      </w:tr>
      <w:tr w14:paraId="338C0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trPr>
        <w:tc>
          <w:tcPr>
            <w:tcW w:w="7560" w:type="dxa"/>
            <w:gridSpan w:val="4"/>
            <w:vAlign w:val="center"/>
          </w:tcPr>
          <w:p w14:paraId="5DF90638">
            <w:pPr>
              <w:pStyle w:val="44"/>
              <w:rPr>
                <w:b/>
                <w:bCs w:val="0"/>
                <w:color w:val="auto"/>
              </w:rPr>
            </w:pPr>
            <w:r>
              <w:rPr>
                <w:rFonts w:hint="eastAsia"/>
                <w:b/>
                <w:bCs w:val="0"/>
                <w:color w:val="auto"/>
              </w:rPr>
              <w:t>检查项目合计</w:t>
            </w:r>
          </w:p>
        </w:tc>
        <w:tc>
          <w:tcPr>
            <w:tcW w:w="720" w:type="dxa"/>
            <w:vAlign w:val="center"/>
          </w:tcPr>
          <w:p w14:paraId="4A904083">
            <w:pPr>
              <w:pStyle w:val="44"/>
              <w:rPr>
                <w:color w:val="auto"/>
              </w:rPr>
            </w:pPr>
            <w:r>
              <w:rPr>
                <w:color w:val="auto"/>
              </w:rPr>
              <w:t>100</w:t>
            </w:r>
          </w:p>
        </w:tc>
        <w:tc>
          <w:tcPr>
            <w:tcW w:w="720" w:type="dxa"/>
            <w:vAlign w:val="center"/>
          </w:tcPr>
          <w:p w14:paraId="53F6799F">
            <w:pPr>
              <w:pStyle w:val="44"/>
              <w:rPr>
                <w:color w:val="auto"/>
              </w:rPr>
            </w:pPr>
          </w:p>
        </w:tc>
        <w:tc>
          <w:tcPr>
            <w:tcW w:w="720" w:type="dxa"/>
            <w:vAlign w:val="center"/>
          </w:tcPr>
          <w:p w14:paraId="780D0C65">
            <w:pPr>
              <w:pStyle w:val="44"/>
              <w:rPr>
                <w:color w:val="auto"/>
              </w:rPr>
            </w:pPr>
          </w:p>
        </w:tc>
      </w:tr>
    </w:tbl>
    <w:p w14:paraId="5C05DD56"/>
    <w:p w14:paraId="3FB5E4AB">
      <w:pPr>
        <w:pStyle w:val="5"/>
      </w:pPr>
      <w:r>
        <w:rPr>
          <w:rFonts w:hint="eastAsia"/>
        </w:rPr>
        <w:br w:type="page"/>
      </w:r>
      <w:bookmarkStart w:id="91" w:name="_Toc10897"/>
      <w:bookmarkStart w:id="92" w:name="_Toc19985"/>
      <w:bookmarkStart w:id="93" w:name="_Toc4882"/>
      <w:r>
        <w:rPr>
          <w:rFonts w:hint="eastAsia"/>
        </w:rPr>
        <w:t>表B.28  架桥机检查</w:t>
      </w:r>
      <w:r>
        <w:t>评分表</w:t>
      </w:r>
      <w:bookmarkEnd w:id="91"/>
      <w:bookmarkEnd w:id="92"/>
      <w:bookmarkEnd w:id="93"/>
    </w:p>
    <w:tbl>
      <w:tblPr>
        <w:tblStyle w:val="19"/>
        <w:tblpPr w:leftFromText="180" w:rightFromText="180" w:vertAnchor="text" w:horzAnchor="page" w:tblpX="1150" w:tblpY="631"/>
        <w:tblOverlap w:val="never"/>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732"/>
        <w:gridCol w:w="568"/>
        <w:gridCol w:w="720"/>
        <w:gridCol w:w="720"/>
      </w:tblGrid>
      <w:tr w14:paraId="0AB6E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trPr>
        <w:tc>
          <w:tcPr>
            <w:tcW w:w="539" w:type="dxa"/>
            <w:vAlign w:val="center"/>
          </w:tcPr>
          <w:p w14:paraId="63642E0C">
            <w:pPr>
              <w:pStyle w:val="44"/>
              <w:rPr>
                <w:color w:val="auto"/>
              </w:rPr>
            </w:pPr>
            <w:r>
              <w:rPr>
                <w:rFonts w:hint="eastAsia"/>
                <w:color w:val="auto"/>
              </w:rPr>
              <w:t>序号</w:t>
            </w:r>
          </w:p>
        </w:tc>
        <w:tc>
          <w:tcPr>
            <w:tcW w:w="1441" w:type="dxa"/>
            <w:gridSpan w:val="2"/>
            <w:vAlign w:val="center"/>
          </w:tcPr>
          <w:p w14:paraId="60A69B8F">
            <w:pPr>
              <w:pStyle w:val="44"/>
              <w:rPr>
                <w:color w:val="auto"/>
              </w:rPr>
            </w:pPr>
            <w:r>
              <w:rPr>
                <w:rFonts w:hint="eastAsia"/>
                <w:color w:val="auto"/>
              </w:rPr>
              <w:t>检查项目</w:t>
            </w:r>
          </w:p>
        </w:tc>
        <w:tc>
          <w:tcPr>
            <w:tcW w:w="5732" w:type="dxa"/>
            <w:vAlign w:val="center"/>
          </w:tcPr>
          <w:p w14:paraId="0CA0DD44">
            <w:pPr>
              <w:pStyle w:val="44"/>
              <w:rPr>
                <w:color w:val="auto"/>
              </w:rPr>
            </w:pPr>
            <w:r>
              <w:rPr>
                <w:rFonts w:hint="eastAsia"/>
                <w:color w:val="auto"/>
              </w:rPr>
              <w:t>扣</w:t>
            </w:r>
            <w:r>
              <w:rPr>
                <w:color w:val="auto"/>
              </w:rPr>
              <w:t xml:space="preserve"> </w:t>
            </w:r>
            <w:r>
              <w:rPr>
                <w:rFonts w:hint="eastAsia"/>
                <w:color w:val="auto"/>
              </w:rPr>
              <w:t>分</w:t>
            </w:r>
            <w:r>
              <w:rPr>
                <w:color w:val="auto"/>
              </w:rPr>
              <w:t xml:space="preserve"> </w:t>
            </w:r>
            <w:r>
              <w:rPr>
                <w:rFonts w:hint="eastAsia"/>
                <w:color w:val="auto"/>
              </w:rPr>
              <w:t>标</w:t>
            </w:r>
            <w:r>
              <w:rPr>
                <w:color w:val="auto"/>
              </w:rPr>
              <w:t xml:space="preserve"> </w:t>
            </w:r>
            <w:r>
              <w:rPr>
                <w:rFonts w:hint="eastAsia"/>
                <w:color w:val="auto"/>
              </w:rPr>
              <w:t>准</w:t>
            </w:r>
          </w:p>
        </w:tc>
        <w:tc>
          <w:tcPr>
            <w:tcW w:w="568" w:type="dxa"/>
            <w:vAlign w:val="center"/>
          </w:tcPr>
          <w:p w14:paraId="68C800EF">
            <w:pPr>
              <w:pStyle w:val="44"/>
              <w:rPr>
                <w:color w:val="auto"/>
              </w:rPr>
            </w:pPr>
            <w:r>
              <w:rPr>
                <w:rFonts w:hint="eastAsia"/>
                <w:color w:val="auto"/>
              </w:rPr>
              <w:t>应得</w:t>
            </w:r>
          </w:p>
          <w:p w14:paraId="548190C5">
            <w:pPr>
              <w:pStyle w:val="44"/>
              <w:rPr>
                <w:color w:val="auto"/>
              </w:rPr>
            </w:pPr>
            <w:r>
              <w:rPr>
                <w:rFonts w:hint="eastAsia"/>
                <w:color w:val="auto"/>
              </w:rPr>
              <w:t>分数</w:t>
            </w:r>
          </w:p>
        </w:tc>
        <w:tc>
          <w:tcPr>
            <w:tcW w:w="720" w:type="dxa"/>
            <w:vAlign w:val="center"/>
          </w:tcPr>
          <w:p w14:paraId="0D4A7A41">
            <w:pPr>
              <w:pStyle w:val="44"/>
              <w:rPr>
                <w:color w:val="auto"/>
              </w:rPr>
            </w:pPr>
            <w:r>
              <w:rPr>
                <w:rFonts w:hint="eastAsia"/>
                <w:color w:val="auto"/>
              </w:rPr>
              <w:t>扣减</w:t>
            </w:r>
          </w:p>
          <w:p w14:paraId="7FFCA789">
            <w:pPr>
              <w:pStyle w:val="44"/>
              <w:rPr>
                <w:color w:val="auto"/>
              </w:rPr>
            </w:pPr>
            <w:r>
              <w:rPr>
                <w:rFonts w:hint="eastAsia"/>
                <w:color w:val="auto"/>
              </w:rPr>
              <w:t>分数</w:t>
            </w:r>
          </w:p>
        </w:tc>
        <w:tc>
          <w:tcPr>
            <w:tcW w:w="720" w:type="dxa"/>
            <w:vAlign w:val="center"/>
          </w:tcPr>
          <w:p w14:paraId="51F05892">
            <w:pPr>
              <w:pStyle w:val="44"/>
              <w:rPr>
                <w:color w:val="auto"/>
              </w:rPr>
            </w:pPr>
            <w:r>
              <w:rPr>
                <w:rFonts w:hint="eastAsia"/>
                <w:color w:val="auto"/>
              </w:rPr>
              <w:t>实得</w:t>
            </w:r>
          </w:p>
          <w:p w14:paraId="6F22087F">
            <w:pPr>
              <w:pStyle w:val="44"/>
              <w:rPr>
                <w:color w:val="auto"/>
              </w:rPr>
            </w:pPr>
            <w:r>
              <w:rPr>
                <w:rFonts w:hint="eastAsia"/>
                <w:color w:val="auto"/>
              </w:rPr>
              <w:t>分数</w:t>
            </w:r>
          </w:p>
        </w:tc>
      </w:tr>
      <w:tr w14:paraId="7C8DA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trPr>
        <w:tc>
          <w:tcPr>
            <w:tcW w:w="539" w:type="dxa"/>
            <w:vAlign w:val="center"/>
          </w:tcPr>
          <w:p w14:paraId="34EDB210">
            <w:pPr>
              <w:pStyle w:val="44"/>
              <w:rPr>
                <w:color w:val="auto"/>
              </w:rPr>
            </w:pPr>
            <w:r>
              <w:rPr>
                <w:color w:val="auto"/>
              </w:rPr>
              <w:t>1</w:t>
            </w:r>
          </w:p>
        </w:tc>
        <w:tc>
          <w:tcPr>
            <w:tcW w:w="543" w:type="dxa"/>
            <w:vMerge w:val="restart"/>
            <w:vAlign w:val="center"/>
          </w:tcPr>
          <w:p w14:paraId="6DB053FB">
            <w:pPr>
              <w:pStyle w:val="44"/>
              <w:rPr>
                <w:color w:val="auto"/>
              </w:rPr>
            </w:pPr>
            <w:r>
              <w:rPr>
                <w:rFonts w:hint="eastAsia"/>
                <w:color w:val="auto"/>
              </w:rPr>
              <w:t>保</w:t>
            </w:r>
          </w:p>
          <w:p w14:paraId="47C80087">
            <w:pPr>
              <w:pStyle w:val="44"/>
              <w:rPr>
                <w:color w:val="auto"/>
              </w:rPr>
            </w:pPr>
            <w:r>
              <w:rPr>
                <w:rFonts w:hint="eastAsia"/>
                <w:color w:val="auto"/>
              </w:rPr>
              <w:t>证</w:t>
            </w:r>
          </w:p>
          <w:p w14:paraId="0F60F51A">
            <w:pPr>
              <w:pStyle w:val="44"/>
              <w:rPr>
                <w:color w:val="auto"/>
              </w:rPr>
            </w:pPr>
            <w:r>
              <w:rPr>
                <w:rFonts w:hint="eastAsia"/>
                <w:color w:val="auto"/>
              </w:rPr>
              <w:t>项</w:t>
            </w:r>
          </w:p>
          <w:p w14:paraId="79872703">
            <w:pPr>
              <w:pStyle w:val="44"/>
              <w:rPr>
                <w:color w:val="auto"/>
              </w:rPr>
            </w:pPr>
            <w:r>
              <w:rPr>
                <w:rFonts w:hint="eastAsia"/>
                <w:color w:val="auto"/>
              </w:rPr>
              <w:t>目</w:t>
            </w:r>
          </w:p>
        </w:tc>
        <w:tc>
          <w:tcPr>
            <w:tcW w:w="898" w:type="dxa"/>
            <w:vAlign w:val="center"/>
          </w:tcPr>
          <w:p w14:paraId="15A99286">
            <w:pPr>
              <w:pStyle w:val="44"/>
              <w:rPr>
                <w:color w:val="auto"/>
              </w:rPr>
            </w:pPr>
            <w:r>
              <w:rPr>
                <w:rFonts w:hint="eastAsia"/>
                <w:color w:val="auto"/>
              </w:rPr>
              <w:t>施工方案与技术交底</w:t>
            </w:r>
          </w:p>
        </w:tc>
        <w:tc>
          <w:tcPr>
            <w:tcW w:w="5732" w:type="dxa"/>
            <w:vAlign w:val="center"/>
          </w:tcPr>
          <w:p w14:paraId="797FA127">
            <w:pPr>
              <w:pStyle w:val="44"/>
              <w:jc w:val="left"/>
              <w:rPr>
                <w:color w:val="auto"/>
              </w:rPr>
            </w:pPr>
            <w:r>
              <w:rPr>
                <w:color w:val="auto"/>
              </w:rPr>
              <w:t>1</w:t>
            </w:r>
            <w:r>
              <w:rPr>
                <w:rFonts w:hint="eastAsia"/>
                <w:color w:val="auto"/>
              </w:rPr>
              <w:t>）未按规定编制专项施工方案，扣</w:t>
            </w:r>
            <w:r>
              <w:rPr>
                <w:color w:val="auto"/>
              </w:rPr>
              <w:t>10</w:t>
            </w:r>
            <w:r>
              <w:rPr>
                <w:rFonts w:hint="eastAsia"/>
                <w:color w:val="auto"/>
              </w:rPr>
              <w:t>分</w:t>
            </w:r>
          </w:p>
          <w:p w14:paraId="0F0D1FC7">
            <w:pPr>
              <w:pStyle w:val="44"/>
              <w:jc w:val="left"/>
              <w:rPr>
                <w:color w:val="auto"/>
              </w:rPr>
            </w:pPr>
            <w:r>
              <w:rPr>
                <w:color w:val="auto"/>
              </w:rPr>
              <w:t>2</w:t>
            </w:r>
            <w:r>
              <w:rPr>
                <w:rFonts w:hint="eastAsia"/>
                <w:color w:val="auto"/>
              </w:rPr>
              <w:t>）当架桥机采用非定型产品时，未行专门的设计计算或确认，扣</w:t>
            </w:r>
            <w:r>
              <w:rPr>
                <w:color w:val="auto"/>
              </w:rPr>
              <w:t>10</w:t>
            </w:r>
            <w:r>
              <w:rPr>
                <w:rFonts w:hint="eastAsia"/>
                <w:color w:val="auto"/>
              </w:rPr>
              <w:t>分</w:t>
            </w:r>
          </w:p>
          <w:p w14:paraId="24C1F855">
            <w:pPr>
              <w:pStyle w:val="44"/>
              <w:jc w:val="left"/>
              <w:rPr>
                <w:color w:val="auto"/>
              </w:rPr>
            </w:pPr>
            <w:r>
              <w:rPr>
                <w:color w:val="auto"/>
              </w:rPr>
              <w:t>3</w:t>
            </w:r>
            <w:r>
              <w:rPr>
                <w:rFonts w:hint="eastAsia"/>
                <w:color w:val="auto"/>
              </w:rPr>
              <w:t>）工作高度超过</w:t>
            </w:r>
            <w:r>
              <w:rPr>
                <w:color w:val="auto"/>
              </w:rPr>
              <w:t>10m</w:t>
            </w:r>
            <w:r>
              <w:rPr>
                <w:rFonts w:hint="eastAsia"/>
                <w:color w:val="auto"/>
              </w:rPr>
              <w:t>、城市道桥单跨跨度大于</w:t>
            </w:r>
            <w:r>
              <w:rPr>
                <w:color w:val="auto"/>
              </w:rPr>
              <w:t>20m</w:t>
            </w:r>
            <w:r>
              <w:rPr>
                <w:rFonts w:hint="eastAsia"/>
                <w:color w:val="auto"/>
              </w:rPr>
              <w:t>或单根预制梁重量大于</w:t>
            </w:r>
            <w:r>
              <w:rPr>
                <w:color w:val="auto"/>
              </w:rPr>
              <w:t>600kN</w:t>
            </w:r>
            <w:r>
              <w:rPr>
                <w:rFonts w:hint="eastAsia"/>
                <w:color w:val="auto"/>
              </w:rPr>
              <w:t>的架桥机专项施工方案，施工单位未按规定组织专家论证，扣</w:t>
            </w:r>
            <w:r>
              <w:rPr>
                <w:color w:val="auto"/>
              </w:rPr>
              <w:t>10</w:t>
            </w:r>
            <w:r>
              <w:rPr>
                <w:rFonts w:hint="eastAsia"/>
                <w:color w:val="auto"/>
              </w:rPr>
              <w:t>分</w:t>
            </w:r>
          </w:p>
          <w:p w14:paraId="10E544CA">
            <w:pPr>
              <w:pStyle w:val="44"/>
              <w:jc w:val="left"/>
              <w:rPr>
                <w:color w:val="auto"/>
              </w:rPr>
            </w:pPr>
            <w:r>
              <w:rPr>
                <w:color w:val="auto"/>
              </w:rPr>
              <w:t>4</w:t>
            </w:r>
            <w:r>
              <w:rPr>
                <w:rFonts w:hint="eastAsia"/>
                <w:color w:val="auto"/>
              </w:rPr>
              <w:t>）专项施工方案未规定进行审核、审批，扣</w:t>
            </w:r>
            <w:r>
              <w:rPr>
                <w:color w:val="auto"/>
              </w:rPr>
              <w:t>10</w:t>
            </w:r>
            <w:r>
              <w:rPr>
                <w:rFonts w:hint="eastAsia"/>
                <w:color w:val="auto"/>
              </w:rPr>
              <w:t>分</w:t>
            </w:r>
          </w:p>
          <w:p w14:paraId="018B3DD8">
            <w:pPr>
              <w:pStyle w:val="44"/>
              <w:jc w:val="left"/>
              <w:rPr>
                <w:color w:val="auto"/>
              </w:rPr>
            </w:pPr>
            <w:r>
              <w:rPr>
                <w:color w:val="auto"/>
              </w:rPr>
              <w:t>5</w:t>
            </w:r>
            <w:r>
              <w:rPr>
                <w:rFonts w:hint="eastAsia"/>
                <w:color w:val="auto"/>
              </w:rPr>
              <w:t>）未进行安全技术交底，扣</w:t>
            </w:r>
            <w:r>
              <w:rPr>
                <w:color w:val="auto"/>
              </w:rPr>
              <w:t>10</w:t>
            </w:r>
            <w:r>
              <w:rPr>
                <w:rFonts w:hint="eastAsia"/>
                <w:color w:val="auto"/>
              </w:rPr>
              <w:t>分；交底无针对性或无文字记录，扣</w:t>
            </w:r>
            <w:r>
              <w:rPr>
                <w:color w:val="auto"/>
              </w:rPr>
              <w:t>2-5</w:t>
            </w:r>
            <w:r>
              <w:rPr>
                <w:rFonts w:hint="eastAsia"/>
                <w:color w:val="auto"/>
              </w:rPr>
              <w:t>分</w:t>
            </w:r>
          </w:p>
        </w:tc>
        <w:tc>
          <w:tcPr>
            <w:tcW w:w="568" w:type="dxa"/>
            <w:vAlign w:val="center"/>
          </w:tcPr>
          <w:p w14:paraId="3BEEF158">
            <w:pPr>
              <w:pStyle w:val="44"/>
              <w:rPr>
                <w:color w:val="auto"/>
              </w:rPr>
            </w:pPr>
            <w:r>
              <w:rPr>
                <w:color w:val="auto"/>
              </w:rPr>
              <w:t>10</w:t>
            </w:r>
          </w:p>
        </w:tc>
        <w:tc>
          <w:tcPr>
            <w:tcW w:w="720" w:type="dxa"/>
            <w:vAlign w:val="center"/>
          </w:tcPr>
          <w:p w14:paraId="2AA46B6A">
            <w:pPr>
              <w:pStyle w:val="44"/>
              <w:rPr>
                <w:color w:val="auto"/>
              </w:rPr>
            </w:pPr>
          </w:p>
        </w:tc>
        <w:tc>
          <w:tcPr>
            <w:tcW w:w="720" w:type="dxa"/>
            <w:vAlign w:val="center"/>
          </w:tcPr>
          <w:p w14:paraId="1F8A30AE">
            <w:pPr>
              <w:pStyle w:val="44"/>
              <w:rPr>
                <w:color w:val="auto"/>
              </w:rPr>
            </w:pPr>
          </w:p>
        </w:tc>
      </w:tr>
      <w:tr w14:paraId="7F237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trPr>
        <w:tc>
          <w:tcPr>
            <w:tcW w:w="539" w:type="dxa"/>
            <w:vAlign w:val="center"/>
          </w:tcPr>
          <w:p w14:paraId="605F1820">
            <w:pPr>
              <w:pStyle w:val="44"/>
              <w:rPr>
                <w:color w:val="auto"/>
              </w:rPr>
            </w:pPr>
            <w:r>
              <w:rPr>
                <w:color w:val="auto"/>
              </w:rPr>
              <w:t>2</w:t>
            </w:r>
          </w:p>
        </w:tc>
        <w:tc>
          <w:tcPr>
            <w:tcW w:w="543" w:type="dxa"/>
            <w:vMerge w:val="continue"/>
          </w:tcPr>
          <w:p w14:paraId="08E8039F">
            <w:pPr>
              <w:pStyle w:val="44"/>
              <w:rPr>
                <w:color w:val="auto"/>
              </w:rPr>
            </w:pPr>
          </w:p>
        </w:tc>
        <w:tc>
          <w:tcPr>
            <w:tcW w:w="898" w:type="dxa"/>
            <w:vAlign w:val="center"/>
          </w:tcPr>
          <w:p w14:paraId="16F6D243">
            <w:pPr>
              <w:pStyle w:val="44"/>
              <w:rPr>
                <w:color w:val="auto"/>
              </w:rPr>
            </w:pPr>
            <w:r>
              <w:rPr>
                <w:rFonts w:hint="eastAsia"/>
                <w:color w:val="auto"/>
              </w:rPr>
              <w:t>结构设施及零部件</w:t>
            </w:r>
          </w:p>
        </w:tc>
        <w:tc>
          <w:tcPr>
            <w:tcW w:w="5732" w:type="dxa"/>
            <w:vAlign w:val="center"/>
          </w:tcPr>
          <w:p w14:paraId="5736495D">
            <w:pPr>
              <w:pStyle w:val="44"/>
              <w:jc w:val="left"/>
              <w:rPr>
                <w:color w:val="auto"/>
              </w:rPr>
            </w:pPr>
            <w:r>
              <w:rPr>
                <w:color w:val="auto"/>
              </w:rPr>
              <w:t>1</w:t>
            </w:r>
            <w:r>
              <w:rPr>
                <w:rFonts w:hint="eastAsia"/>
                <w:color w:val="auto"/>
              </w:rPr>
              <w:t>）主要受力结构件有明显变形、开焊、裂缝及严重锈蚀等现象</w:t>
            </w:r>
            <w:r>
              <w:rPr>
                <w:color w:val="auto"/>
              </w:rPr>
              <w:t>,</w:t>
            </w:r>
            <w:r>
              <w:rPr>
                <w:rFonts w:hint="eastAsia"/>
                <w:color w:val="auto"/>
              </w:rPr>
              <w:t>扣</w:t>
            </w:r>
            <w:r>
              <w:rPr>
                <w:color w:val="auto"/>
              </w:rPr>
              <w:t>10</w:t>
            </w:r>
            <w:r>
              <w:rPr>
                <w:rFonts w:hint="eastAsia"/>
                <w:color w:val="auto"/>
              </w:rPr>
              <w:t>分</w:t>
            </w:r>
          </w:p>
          <w:p w14:paraId="7A70C5C9">
            <w:pPr>
              <w:pStyle w:val="44"/>
              <w:jc w:val="left"/>
              <w:rPr>
                <w:color w:val="auto"/>
              </w:rPr>
            </w:pPr>
            <w:r>
              <w:rPr>
                <w:color w:val="auto"/>
              </w:rPr>
              <w:t>2</w:t>
            </w:r>
            <w:r>
              <w:rPr>
                <w:rFonts w:hint="eastAsia"/>
                <w:color w:val="auto"/>
              </w:rPr>
              <w:t>）高强螺栓、销轴、紧固件的紧固、连接不符合产品说明书及标准要求，扣</w:t>
            </w:r>
            <w:r>
              <w:rPr>
                <w:color w:val="auto"/>
              </w:rPr>
              <w:t>5-10</w:t>
            </w:r>
            <w:r>
              <w:rPr>
                <w:rFonts w:hint="eastAsia"/>
                <w:color w:val="auto"/>
              </w:rPr>
              <w:t>分</w:t>
            </w:r>
          </w:p>
          <w:p w14:paraId="7BCA33A9">
            <w:pPr>
              <w:pStyle w:val="44"/>
              <w:jc w:val="left"/>
              <w:rPr>
                <w:color w:val="auto"/>
              </w:rPr>
            </w:pPr>
            <w:r>
              <w:rPr>
                <w:color w:val="auto"/>
              </w:rPr>
              <w:t>3</w:t>
            </w:r>
            <w:r>
              <w:rPr>
                <w:rFonts w:hint="eastAsia"/>
                <w:color w:val="auto"/>
              </w:rPr>
              <w:t>）平台、通道、梯子、护栏设置不符合产品说明书及标准要求，扣</w:t>
            </w:r>
            <w:r>
              <w:rPr>
                <w:color w:val="auto"/>
              </w:rPr>
              <w:t>4-8</w:t>
            </w:r>
            <w:r>
              <w:rPr>
                <w:rFonts w:hint="eastAsia"/>
                <w:color w:val="auto"/>
              </w:rPr>
              <w:t>分</w:t>
            </w:r>
          </w:p>
          <w:p w14:paraId="3C862608">
            <w:pPr>
              <w:pStyle w:val="44"/>
              <w:jc w:val="left"/>
              <w:rPr>
                <w:color w:val="auto"/>
              </w:rPr>
            </w:pPr>
            <w:r>
              <w:rPr>
                <w:color w:val="auto"/>
              </w:rPr>
              <w:t>4</w:t>
            </w:r>
            <w:r>
              <w:rPr>
                <w:rFonts w:hint="eastAsia"/>
                <w:color w:val="auto"/>
              </w:rPr>
              <w:t>）司机室的设置不符合标准要求，扣</w:t>
            </w:r>
            <w:r>
              <w:rPr>
                <w:color w:val="auto"/>
              </w:rPr>
              <w:t>5</w:t>
            </w:r>
            <w:r>
              <w:rPr>
                <w:rFonts w:hint="eastAsia"/>
                <w:color w:val="auto"/>
              </w:rPr>
              <w:t>分</w:t>
            </w:r>
          </w:p>
          <w:p w14:paraId="686E8ED3">
            <w:pPr>
              <w:pStyle w:val="44"/>
              <w:jc w:val="left"/>
              <w:rPr>
                <w:color w:val="auto"/>
              </w:rPr>
            </w:pPr>
            <w:r>
              <w:rPr>
                <w:color w:val="auto"/>
              </w:rPr>
              <w:t>6</w:t>
            </w:r>
            <w:r>
              <w:rPr>
                <w:rFonts w:hint="eastAsia"/>
                <w:color w:val="auto"/>
              </w:rPr>
              <w:t>）吊钩、滑轮、卷筒达到报废标准，扣</w:t>
            </w:r>
            <w:r>
              <w:rPr>
                <w:color w:val="auto"/>
              </w:rPr>
              <w:t>10</w:t>
            </w:r>
            <w:r>
              <w:rPr>
                <w:rFonts w:hint="eastAsia"/>
                <w:color w:val="auto"/>
              </w:rPr>
              <w:t>分</w:t>
            </w:r>
          </w:p>
          <w:p w14:paraId="51860DF0">
            <w:pPr>
              <w:pStyle w:val="44"/>
              <w:jc w:val="left"/>
              <w:rPr>
                <w:color w:val="auto"/>
              </w:rPr>
            </w:pPr>
            <w:r>
              <w:rPr>
                <w:color w:val="auto"/>
              </w:rPr>
              <w:t>7</w:t>
            </w:r>
            <w:r>
              <w:rPr>
                <w:rFonts w:hint="eastAsia"/>
                <w:color w:val="auto"/>
              </w:rPr>
              <w:t>）吊钩、滑轮、卷筒未安装完好可靠的钢丝绳防脱装置，扣</w:t>
            </w:r>
            <w:r>
              <w:rPr>
                <w:color w:val="auto"/>
              </w:rPr>
              <w:t>6</w:t>
            </w:r>
            <w:r>
              <w:rPr>
                <w:rFonts w:hint="eastAsia"/>
                <w:color w:val="auto"/>
              </w:rPr>
              <w:t>分</w:t>
            </w:r>
          </w:p>
          <w:p w14:paraId="3559EC3E">
            <w:pPr>
              <w:pStyle w:val="44"/>
              <w:jc w:val="left"/>
              <w:rPr>
                <w:color w:val="auto"/>
              </w:rPr>
            </w:pPr>
            <w:r>
              <w:rPr>
                <w:color w:val="auto"/>
              </w:rPr>
              <w:t>8</w:t>
            </w:r>
            <w:r>
              <w:rPr>
                <w:rFonts w:hint="eastAsia"/>
                <w:color w:val="auto"/>
              </w:rPr>
              <w:t>）钢丝绳达到报废标准，扣</w:t>
            </w:r>
            <w:r>
              <w:rPr>
                <w:color w:val="auto"/>
              </w:rPr>
              <w:t>10</w:t>
            </w:r>
            <w:r>
              <w:rPr>
                <w:rFonts w:hint="eastAsia"/>
                <w:color w:val="auto"/>
              </w:rPr>
              <w:t>分</w:t>
            </w:r>
          </w:p>
          <w:p w14:paraId="4B82B4B1">
            <w:pPr>
              <w:pStyle w:val="44"/>
              <w:jc w:val="left"/>
              <w:rPr>
                <w:color w:val="auto"/>
              </w:rPr>
            </w:pPr>
            <w:r>
              <w:rPr>
                <w:color w:val="auto"/>
              </w:rPr>
              <w:t>9</w:t>
            </w:r>
            <w:r>
              <w:rPr>
                <w:rFonts w:hint="eastAsia"/>
                <w:color w:val="auto"/>
              </w:rPr>
              <w:t>）钢丝绳的规格、型号、穿绕不符合产品说明书要求，扣</w:t>
            </w:r>
            <w:r>
              <w:rPr>
                <w:color w:val="auto"/>
              </w:rPr>
              <w:t>5-10</w:t>
            </w:r>
            <w:r>
              <w:rPr>
                <w:rFonts w:hint="eastAsia"/>
                <w:color w:val="auto"/>
              </w:rPr>
              <w:t>分；端部固接方式不符合标准要求，扣</w:t>
            </w:r>
            <w:r>
              <w:rPr>
                <w:color w:val="auto"/>
              </w:rPr>
              <w:t>5</w:t>
            </w:r>
            <w:r>
              <w:rPr>
                <w:rFonts w:hint="eastAsia"/>
                <w:color w:val="auto"/>
              </w:rPr>
              <w:t>分</w:t>
            </w:r>
          </w:p>
          <w:p w14:paraId="7B0C91D3">
            <w:pPr>
              <w:pStyle w:val="44"/>
              <w:jc w:val="left"/>
              <w:rPr>
                <w:color w:val="auto"/>
              </w:rPr>
            </w:pPr>
            <w:r>
              <w:rPr>
                <w:color w:val="auto"/>
              </w:rPr>
              <w:t>10)</w:t>
            </w:r>
            <w:r>
              <w:rPr>
                <w:rFonts w:hint="eastAsia"/>
                <w:color w:val="auto"/>
              </w:rPr>
              <w:t>当吊钩处于最低位置时，卷筒上钢丝绳少于</w:t>
            </w:r>
            <w:r>
              <w:rPr>
                <w:color w:val="auto"/>
              </w:rPr>
              <w:t>3</w:t>
            </w:r>
            <w:r>
              <w:rPr>
                <w:rFonts w:hint="eastAsia"/>
                <w:color w:val="auto"/>
              </w:rPr>
              <w:t>圈，扣</w:t>
            </w:r>
            <w:r>
              <w:rPr>
                <w:color w:val="auto"/>
              </w:rPr>
              <w:t>8</w:t>
            </w:r>
            <w:r>
              <w:rPr>
                <w:rFonts w:hint="eastAsia"/>
                <w:color w:val="auto"/>
              </w:rPr>
              <w:t>分</w:t>
            </w:r>
          </w:p>
          <w:p w14:paraId="28200E8E">
            <w:pPr>
              <w:pStyle w:val="44"/>
              <w:jc w:val="left"/>
              <w:rPr>
                <w:color w:val="auto"/>
              </w:rPr>
            </w:pPr>
            <w:r>
              <w:rPr>
                <w:color w:val="auto"/>
              </w:rPr>
              <w:t>11)</w:t>
            </w:r>
            <w:r>
              <w:rPr>
                <w:rFonts w:hint="eastAsia"/>
                <w:color w:val="auto"/>
              </w:rPr>
              <w:t>车轮、传动齿轮达到报废标准，扣</w:t>
            </w:r>
            <w:r>
              <w:rPr>
                <w:color w:val="auto"/>
              </w:rPr>
              <w:t>10</w:t>
            </w:r>
            <w:r>
              <w:rPr>
                <w:rFonts w:hint="eastAsia"/>
                <w:color w:val="auto"/>
              </w:rPr>
              <w:t>分</w:t>
            </w:r>
          </w:p>
        </w:tc>
        <w:tc>
          <w:tcPr>
            <w:tcW w:w="568" w:type="dxa"/>
            <w:vAlign w:val="center"/>
          </w:tcPr>
          <w:p w14:paraId="107200E8">
            <w:pPr>
              <w:pStyle w:val="44"/>
              <w:rPr>
                <w:color w:val="auto"/>
              </w:rPr>
            </w:pPr>
            <w:r>
              <w:rPr>
                <w:color w:val="auto"/>
              </w:rPr>
              <w:t>10</w:t>
            </w:r>
          </w:p>
        </w:tc>
        <w:tc>
          <w:tcPr>
            <w:tcW w:w="720" w:type="dxa"/>
            <w:vAlign w:val="center"/>
          </w:tcPr>
          <w:p w14:paraId="0B582BE6">
            <w:pPr>
              <w:pStyle w:val="44"/>
              <w:rPr>
                <w:color w:val="auto"/>
              </w:rPr>
            </w:pPr>
          </w:p>
        </w:tc>
        <w:tc>
          <w:tcPr>
            <w:tcW w:w="720" w:type="dxa"/>
            <w:vAlign w:val="center"/>
          </w:tcPr>
          <w:p w14:paraId="6C11667E">
            <w:pPr>
              <w:pStyle w:val="44"/>
              <w:rPr>
                <w:color w:val="auto"/>
              </w:rPr>
            </w:pPr>
          </w:p>
        </w:tc>
      </w:tr>
      <w:tr w14:paraId="57760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03F45343">
            <w:pPr>
              <w:pStyle w:val="44"/>
              <w:rPr>
                <w:color w:val="auto"/>
              </w:rPr>
            </w:pPr>
            <w:r>
              <w:rPr>
                <w:color w:val="auto"/>
              </w:rPr>
              <w:t>3</w:t>
            </w:r>
          </w:p>
        </w:tc>
        <w:tc>
          <w:tcPr>
            <w:tcW w:w="543" w:type="dxa"/>
            <w:vMerge w:val="continue"/>
          </w:tcPr>
          <w:p w14:paraId="196E2CE4">
            <w:pPr>
              <w:pStyle w:val="44"/>
              <w:rPr>
                <w:color w:val="auto"/>
              </w:rPr>
            </w:pPr>
          </w:p>
        </w:tc>
        <w:tc>
          <w:tcPr>
            <w:tcW w:w="898" w:type="dxa"/>
            <w:vAlign w:val="center"/>
          </w:tcPr>
          <w:p w14:paraId="5647A81A">
            <w:pPr>
              <w:pStyle w:val="44"/>
              <w:rPr>
                <w:color w:val="auto"/>
              </w:rPr>
            </w:pPr>
            <w:r>
              <w:rPr>
                <w:rFonts w:hint="eastAsia"/>
                <w:color w:val="auto"/>
              </w:rPr>
              <w:t>安全装置</w:t>
            </w:r>
          </w:p>
        </w:tc>
        <w:tc>
          <w:tcPr>
            <w:tcW w:w="5732" w:type="dxa"/>
            <w:vAlign w:val="center"/>
          </w:tcPr>
          <w:p w14:paraId="282198B3">
            <w:pPr>
              <w:pStyle w:val="44"/>
              <w:jc w:val="left"/>
              <w:rPr>
                <w:color w:val="auto"/>
              </w:rPr>
            </w:pPr>
            <w:r>
              <w:rPr>
                <w:color w:val="auto"/>
              </w:rPr>
              <w:t>1</w:t>
            </w:r>
            <w:r>
              <w:rPr>
                <w:rFonts w:hint="eastAsia"/>
                <w:color w:val="auto"/>
              </w:rPr>
              <w:t>）未设置起升高度限制器和行程限位器或不灵敏，扣</w:t>
            </w:r>
            <w:r>
              <w:rPr>
                <w:color w:val="auto"/>
              </w:rPr>
              <w:t>10</w:t>
            </w:r>
            <w:r>
              <w:rPr>
                <w:rFonts w:hint="eastAsia"/>
                <w:color w:val="auto"/>
              </w:rPr>
              <w:t>分</w:t>
            </w:r>
          </w:p>
          <w:p w14:paraId="13858B67">
            <w:pPr>
              <w:pStyle w:val="44"/>
              <w:jc w:val="left"/>
              <w:rPr>
                <w:color w:val="auto"/>
              </w:rPr>
            </w:pPr>
            <w:r>
              <w:rPr>
                <w:color w:val="auto"/>
              </w:rPr>
              <w:t>2</w:t>
            </w:r>
            <w:r>
              <w:rPr>
                <w:rFonts w:hint="eastAsia"/>
                <w:color w:val="auto"/>
              </w:rPr>
              <w:t>）运行机构未设缓冲装置，扣</w:t>
            </w:r>
            <w:r>
              <w:rPr>
                <w:color w:val="auto"/>
              </w:rPr>
              <w:t>10</w:t>
            </w:r>
            <w:r>
              <w:rPr>
                <w:rFonts w:hint="eastAsia"/>
                <w:color w:val="auto"/>
              </w:rPr>
              <w:t>分；端部止挡装置不牢固可靠，扣</w:t>
            </w:r>
            <w:r>
              <w:rPr>
                <w:color w:val="auto"/>
              </w:rPr>
              <w:t>5</w:t>
            </w:r>
            <w:r>
              <w:rPr>
                <w:rFonts w:hint="eastAsia"/>
                <w:color w:val="auto"/>
              </w:rPr>
              <w:t>分</w:t>
            </w:r>
          </w:p>
          <w:p w14:paraId="02CC6AD0">
            <w:pPr>
              <w:pStyle w:val="44"/>
              <w:jc w:val="left"/>
              <w:rPr>
                <w:color w:val="auto"/>
              </w:rPr>
            </w:pPr>
            <w:r>
              <w:rPr>
                <w:color w:val="auto"/>
              </w:rPr>
              <w:t>3</w:t>
            </w:r>
            <w:r>
              <w:rPr>
                <w:rFonts w:hint="eastAsia"/>
                <w:color w:val="auto"/>
              </w:rPr>
              <w:t>）未设置起重量限制器或不灵敏，扣</w:t>
            </w:r>
            <w:r>
              <w:rPr>
                <w:color w:val="auto"/>
              </w:rPr>
              <w:t>10</w:t>
            </w:r>
            <w:r>
              <w:rPr>
                <w:rFonts w:hint="eastAsia"/>
                <w:color w:val="auto"/>
              </w:rPr>
              <w:t>分</w:t>
            </w:r>
          </w:p>
          <w:p w14:paraId="46698EF0">
            <w:pPr>
              <w:pStyle w:val="44"/>
              <w:jc w:val="left"/>
              <w:rPr>
                <w:color w:val="auto"/>
              </w:rPr>
            </w:pPr>
            <w:r>
              <w:rPr>
                <w:color w:val="auto"/>
              </w:rPr>
              <w:t>4</w:t>
            </w:r>
            <w:r>
              <w:rPr>
                <w:rFonts w:hint="eastAsia"/>
                <w:color w:val="auto"/>
              </w:rPr>
              <w:t>）未设置支腿机械锁定装置或不灵敏，扣</w:t>
            </w:r>
            <w:r>
              <w:rPr>
                <w:color w:val="auto"/>
              </w:rPr>
              <w:t>6</w:t>
            </w:r>
            <w:r>
              <w:rPr>
                <w:rFonts w:hint="eastAsia"/>
                <w:color w:val="auto"/>
              </w:rPr>
              <w:t>分</w:t>
            </w:r>
          </w:p>
          <w:p w14:paraId="23310C10">
            <w:pPr>
              <w:pStyle w:val="44"/>
              <w:jc w:val="left"/>
              <w:rPr>
                <w:color w:val="auto"/>
              </w:rPr>
            </w:pPr>
            <w:r>
              <w:rPr>
                <w:color w:val="auto"/>
              </w:rPr>
              <w:t>5</w:t>
            </w:r>
            <w:r>
              <w:rPr>
                <w:rFonts w:hint="eastAsia"/>
                <w:color w:val="auto"/>
              </w:rPr>
              <w:t>）未设置安全制动器或不灵敏，扣</w:t>
            </w:r>
            <w:r>
              <w:rPr>
                <w:color w:val="auto"/>
              </w:rPr>
              <w:t>10</w:t>
            </w:r>
            <w:r>
              <w:rPr>
                <w:rFonts w:hint="eastAsia"/>
                <w:color w:val="auto"/>
              </w:rPr>
              <w:t>分</w:t>
            </w:r>
          </w:p>
          <w:p w14:paraId="6C1D27C2">
            <w:pPr>
              <w:pStyle w:val="44"/>
              <w:jc w:val="left"/>
              <w:rPr>
                <w:color w:val="auto"/>
              </w:rPr>
            </w:pPr>
            <w:r>
              <w:rPr>
                <w:color w:val="auto"/>
              </w:rPr>
              <w:t>6</w:t>
            </w:r>
            <w:r>
              <w:rPr>
                <w:rFonts w:hint="eastAsia"/>
                <w:color w:val="auto"/>
              </w:rPr>
              <w:t>）未设置超速开关或不灵敏，扣</w:t>
            </w:r>
            <w:r>
              <w:rPr>
                <w:color w:val="auto"/>
              </w:rPr>
              <w:t>5</w:t>
            </w:r>
            <w:r>
              <w:rPr>
                <w:rFonts w:hint="eastAsia"/>
                <w:color w:val="auto"/>
              </w:rPr>
              <w:t>分</w:t>
            </w:r>
          </w:p>
          <w:p w14:paraId="0E9977B5">
            <w:pPr>
              <w:pStyle w:val="44"/>
              <w:jc w:val="left"/>
              <w:rPr>
                <w:color w:val="auto"/>
              </w:rPr>
            </w:pPr>
            <w:r>
              <w:rPr>
                <w:color w:val="auto"/>
              </w:rPr>
              <w:t>7</w:t>
            </w:r>
            <w:r>
              <w:rPr>
                <w:rFonts w:hint="eastAsia"/>
                <w:color w:val="auto"/>
              </w:rPr>
              <w:t>）未设置锚定装置或未按标准要求进行有效锚定，扣</w:t>
            </w:r>
            <w:r>
              <w:rPr>
                <w:color w:val="auto"/>
              </w:rPr>
              <w:t>8</w:t>
            </w:r>
            <w:r>
              <w:rPr>
                <w:rFonts w:hint="eastAsia"/>
                <w:color w:val="auto"/>
              </w:rPr>
              <w:t>分</w:t>
            </w:r>
          </w:p>
          <w:p w14:paraId="1243302D">
            <w:pPr>
              <w:pStyle w:val="44"/>
              <w:jc w:val="left"/>
              <w:rPr>
                <w:color w:val="auto"/>
              </w:rPr>
            </w:pPr>
            <w:r>
              <w:rPr>
                <w:color w:val="auto"/>
              </w:rPr>
              <w:t>8</w:t>
            </w:r>
            <w:r>
              <w:rPr>
                <w:rFonts w:hint="eastAsia"/>
                <w:color w:val="auto"/>
              </w:rPr>
              <w:t>）未设置抗风防滑装置或不灵敏，扣</w:t>
            </w:r>
            <w:r>
              <w:rPr>
                <w:color w:val="auto"/>
              </w:rPr>
              <w:t>8</w:t>
            </w:r>
            <w:r>
              <w:rPr>
                <w:rFonts w:hint="eastAsia"/>
                <w:color w:val="auto"/>
              </w:rPr>
              <w:t>分</w:t>
            </w:r>
          </w:p>
          <w:p w14:paraId="54F45970">
            <w:pPr>
              <w:pStyle w:val="44"/>
              <w:jc w:val="left"/>
              <w:rPr>
                <w:color w:val="auto"/>
              </w:rPr>
            </w:pPr>
            <w:r>
              <w:rPr>
                <w:color w:val="auto"/>
              </w:rPr>
              <w:t>9</w:t>
            </w:r>
            <w:r>
              <w:rPr>
                <w:rFonts w:hint="eastAsia"/>
                <w:color w:val="auto"/>
              </w:rPr>
              <w:t>）未按标准要求设置联锁保护装置或不灵敏，扣</w:t>
            </w:r>
            <w:r>
              <w:rPr>
                <w:color w:val="auto"/>
              </w:rPr>
              <w:t>10</w:t>
            </w:r>
            <w:r>
              <w:rPr>
                <w:rFonts w:hint="eastAsia"/>
                <w:color w:val="auto"/>
              </w:rPr>
              <w:t>分</w:t>
            </w:r>
          </w:p>
          <w:p w14:paraId="39A9099A">
            <w:pPr>
              <w:pStyle w:val="44"/>
              <w:jc w:val="left"/>
              <w:rPr>
                <w:color w:val="auto"/>
              </w:rPr>
            </w:pPr>
            <w:r>
              <w:rPr>
                <w:color w:val="auto"/>
              </w:rPr>
              <w:t>10</w:t>
            </w:r>
            <w:r>
              <w:rPr>
                <w:rFonts w:hint="eastAsia"/>
                <w:color w:val="auto"/>
              </w:rPr>
              <w:t>）未设置可正常使用的风速仪和防护罩，扣</w:t>
            </w:r>
            <w:r>
              <w:rPr>
                <w:color w:val="auto"/>
              </w:rPr>
              <w:t>5</w:t>
            </w:r>
            <w:r>
              <w:rPr>
                <w:rFonts w:hint="eastAsia"/>
                <w:color w:val="auto"/>
              </w:rPr>
              <w:t>分</w:t>
            </w:r>
          </w:p>
        </w:tc>
        <w:tc>
          <w:tcPr>
            <w:tcW w:w="568" w:type="dxa"/>
            <w:vAlign w:val="center"/>
          </w:tcPr>
          <w:p w14:paraId="3F7AA4DB">
            <w:pPr>
              <w:pStyle w:val="44"/>
              <w:rPr>
                <w:color w:val="auto"/>
              </w:rPr>
            </w:pPr>
            <w:r>
              <w:rPr>
                <w:color w:val="auto"/>
              </w:rPr>
              <w:t>10</w:t>
            </w:r>
          </w:p>
        </w:tc>
        <w:tc>
          <w:tcPr>
            <w:tcW w:w="720" w:type="dxa"/>
            <w:vAlign w:val="center"/>
          </w:tcPr>
          <w:p w14:paraId="4FDD870C">
            <w:pPr>
              <w:pStyle w:val="44"/>
              <w:rPr>
                <w:color w:val="auto"/>
              </w:rPr>
            </w:pPr>
          </w:p>
        </w:tc>
        <w:tc>
          <w:tcPr>
            <w:tcW w:w="720" w:type="dxa"/>
            <w:vAlign w:val="center"/>
          </w:tcPr>
          <w:p w14:paraId="6D282FA4">
            <w:pPr>
              <w:pStyle w:val="44"/>
              <w:rPr>
                <w:color w:val="auto"/>
              </w:rPr>
            </w:pPr>
          </w:p>
        </w:tc>
      </w:tr>
      <w:tr w14:paraId="4E3C3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1E603611">
            <w:pPr>
              <w:pStyle w:val="44"/>
              <w:rPr>
                <w:color w:val="auto"/>
              </w:rPr>
            </w:pPr>
            <w:r>
              <w:rPr>
                <w:color w:val="auto"/>
              </w:rPr>
              <w:t>4</w:t>
            </w:r>
          </w:p>
        </w:tc>
        <w:tc>
          <w:tcPr>
            <w:tcW w:w="543" w:type="dxa"/>
            <w:vMerge w:val="continue"/>
          </w:tcPr>
          <w:p w14:paraId="463ABB38">
            <w:pPr>
              <w:pStyle w:val="44"/>
              <w:rPr>
                <w:color w:val="auto"/>
              </w:rPr>
            </w:pPr>
          </w:p>
        </w:tc>
        <w:tc>
          <w:tcPr>
            <w:tcW w:w="898" w:type="dxa"/>
            <w:vAlign w:val="center"/>
          </w:tcPr>
          <w:p w14:paraId="769B9099">
            <w:pPr>
              <w:pStyle w:val="44"/>
              <w:rPr>
                <w:color w:val="auto"/>
              </w:rPr>
            </w:pPr>
            <w:r>
              <w:rPr>
                <w:rFonts w:hint="eastAsia"/>
                <w:color w:val="auto"/>
              </w:rPr>
              <w:t>安装、拆卸与验收</w:t>
            </w:r>
          </w:p>
        </w:tc>
        <w:tc>
          <w:tcPr>
            <w:tcW w:w="5732" w:type="dxa"/>
            <w:vAlign w:val="center"/>
          </w:tcPr>
          <w:p w14:paraId="3C12E5B7">
            <w:pPr>
              <w:pStyle w:val="44"/>
              <w:jc w:val="left"/>
              <w:rPr>
                <w:color w:val="auto"/>
              </w:rPr>
            </w:pPr>
            <w:r>
              <w:rPr>
                <w:color w:val="auto"/>
              </w:rPr>
              <w:t>1</w:t>
            </w:r>
            <w:r>
              <w:rPr>
                <w:rFonts w:hint="eastAsia"/>
                <w:color w:val="auto"/>
              </w:rPr>
              <w:t>）无制造许可证、产品合格证、备案证明和安装使用说明书，扣</w:t>
            </w:r>
            <w:r>
              <w:rPr>
                <w:color w:val="auto"/>
              </w:rPr>
              <w:t>10</w:t>
            </w:r>
            <w:r>
              <w:rPr>
                <w:rFonts w:hint="eastAsia"/>
                <w:color w:val="auto"/>
              </w:rPr>
              <w:t>分</w:t>
            </w:r>
          </w:p>
          <w:p w14:paraId="711D5ABC">
            <w:pPr>
              <w:pStyle w:val="44"/>
              <w:jc w:val="left"/>
              <w:rPr>
                <w:color w:val="auto"/>
              </w:rPr>
            </w:pPr>
            <w:r>
              <w:rPr>
                <w:color w:val="auto"/>
              </w:rPr>
              <w:t>2</w:t>
            </w:r>
            <w:r>
              <w:rPr>
                <w:rFonts w:hint="eastAsia"/>
                <w:color w:val="auto"/>
              </w:rPr>
              <w:t>）安装、拆卸单位无起重设备安装工程专业承包资质和施工企业安全生产许可证，扣</w:t>
            </w:r>
            <w:r>
              <w:rPr>
                <w:color w:val="auto"/>
              </w:rPr>
              <w:t>10</w:t>
            </w:r>
            <w:r>
              <w:rPr>
                <w:rFonts w:hint="eastAsia"/>
                <w:color w:val="auto"/>
              </w:rPr>
              <w:t>分</w:t>
            </w:r>
          </w:p>
          <w:p w14:paraId="235946B8">
            <w:pPr>
              <w:pStyle w:val="44"/>
              <w:jc w:val="left"/>
              <w:rPr>
                <w:color w:val="auto"/>
              </w:rPr>
            </w:pPr>
            <w:r>
              <w:rPr>
                <w:color w:val="auto"/>
              </w:rPr>
              <w:t>3</w:t>
            </w:r>
            <w:r>
              <w:rPr>
                <w:rFonts w:hint="eastAsia"/>
                <w:color w:val="auto"/>
              </w:rPr>
              <w:t>）安装、拆卸作业人员未取得特种作业资格证书，扣</w:t>
            </w:r>
            <w:r>
              <w:rPr>
                <w:color w:val="auto"/>
              </w:rPr>
              <w:t>10</w:t>
            </w:r>
            <w:r>
              <w:rPr>
                <w:rFonts w:hint="eastAsia"/>
                <w:color w:val="auto"/>
              </w:rPr>
              <w:t>分</w:t>
            </w:r>
          </w:p>
          <w:p w14:paraId="391A7E7A">
            <w:pPr>
              <w:pStyle w:val="44"/>
              <w:jc w:val="left"/>
              <w:rPr>
                <w:color w:val="auto"/>
              </w:rPr>
            </w:pPr>
            <w:r>
              <w:rPr>
                <w:color w:val="auto"/>
              </w:rPr>
              <w:t>4</w:t>
            </w:r>
            <w:r>
              <w:rPr>
                <w:rFonts w:hint="eastAsia"/>
                <w:color w:val="auto"/>
              </w:rPr>
              <w:t>）恶劣天气条件进行架桥机安、拆工作，扣</w:t>
            </w:r>
            <w:r>
              <w:rPr>
                <w:color w:val="auto"/>
              </w:rPr>
              <w:t>8</w:t>
            </w:r>
            <w:r>
              <w:rPr>
                <w:rFonts w:hint="eastAsia"/>
                <w:color w:val="auto"/>
              </w:rPr>
              <w:t>分</w:t>
            </w:r>
          </w:p>
          <w:p w14:paraId="1C4AE04E">
            <w:pPr>
              <w:pStyle w:val="44"/>
              <w:jc w:val="left"/>
              <w:rPr>
                <w:color w:val="auto"/>
              </w:rPr>
            </w:pPr>
            <w:r>
              <w:rPr>
                <w:color w:val="auto"/>
              </w:rPr>
              <w:t>5</w:t>
            </w:r>
            <w:r>
              <w:rPr>
                <w:rFonts w:hint="eastAsia"/>
                <w:color w:val="auto"/>
              </w:rPr>
              <w:t>）未对架桥机主梁和横移轨道进行调平或无自锁功能，扣</w:t>
            </w:r>
            <w:r>
              <w:rPr>
                <w:color w:val="auto"/>
              </w:rPr>
              <w:t>10</w:t>
            </w:r>
            <w:r>
              <w:rPr>
                <w:rFonts w:hint="eastAsia"/>
                <w:color w:val="auto"/>
              </w:rPr>
              <w:t>分</w:t>
            </w:r>
          </w:p>
          <w:p w14:paraId="2430B604">
            <w:pPr>
              <w:pStyle w:val="44"/>
              <w:jc w:val="left"/>
              <w:rPr>
                <w:color w:val="auto"/>
              </w:rPr>
            </w:pPr>
            <w:r>
              <w:rPr>
                <w:color w:val="auto"/>
              </w:rPr>
              <w:t>6</w:t>
            </w:r>
            <w:r>
              <w:rPr>
                <w:rFonts w:hint="eastAsia"/>
                <w:color w:val="auto"/>
              </w:rPr>
              <w:t>）架桥机轨道上枕木、道钉、压板等设施不符合标准要求；</w:t>
            </w:r>
          </w:p>
          <w:p w14:paraId="4DDB524E">
            <w:pPr>
              <w:pStyle w:val="44"/>
              <w:jc w:val="left"/>
              <w:rPr>
                <w:color w:val="auto"/>
              </w:rPr>
            </w:pPr>
            <w:r>
              <w:rPr>
                <w:color w:val="auto"/>
              </w:rPr>
              <w:t>7</w:t>
            </w:r>
            <w:r>
              <w:rPr>
                <w:rFonts w:hint="eastAsia"/>
                <w:color w:val="auto"/>
              </w:rPr>
              <w:t>）当遇特殊情况中断安装、拆卸作业时，未切断电源或未将已安拆部分进行临时固，扣</w:t>
            </w:r>
            <w:r>
              <w:rPr>
                <w:color w:val="auto"/>
              </w:rPr>
              <w:t>8</w:t>
            </w:r>
            <w:r>
              <w:rPr>
                <w:rFonts w:hint="eastAsia"/>
                <w:color w:val="auto"/>
              </w:rPr>
              <w:t>分</w:t>
            </w:r>
          </w:p>
          <w:p w14:paraId="601E307E">
            <w:pPr>
              <w:pStyle w:val="44"/>
              <w:jc w:val="left"/>
              <w:rPr>
                <w:color w:val="auto"/>
              </w:rPr>
            </w:pPr>
            <w:r>
              <w:rPr>
                <w:color w:val="auto"/>
              </w:rPr>
              <w:t>8</w:t>
            </w:r>
            <w:r>
              <w:rPr>
                <w:rFonts w:hint="eastAsia"/>
                <w:color w:val="auto"/>
              </w:rPr>
              <w:t>）架桥机主机对位后，无可靠的制动措施，扣</w:t>
            </w:r>
            <w:r>
              <w:rPr>
                <w:color w:val="auto"/>
              </w:rPr>
              <w:t>8</w:t>
            </w:r>
            <w:r>
              <w:rPr>
                <w:rFonts w:hint="eastAsia"/>
                <w:color w:val="auto"/>
              </w:rPr>
              <w:t>分</w:t>
            </w:r>
          </w:p>
          <w:p w14:paraId="3894641E">
            <w:pPr>
              <w:pStyle w:val="44"/>
              <w:jc w:val="left"/>
              <w:rPr>
                <w:color w:val="auto"/>
              </w:rPr>
            </w:pPr>
            <w:r>
              <w:rPr>
                <w:color w:val="auto"/>
              </w:rPr>
              <w:t>9</w:t>
            </w:r>
            <w:r>
              <w:rPr>
                <w:rFonts w:hint="eastAsia"/>
                <w:color w:val="auto"/>
              </w:rPr>
              <w:t>）未规定履行验收程序或未经责任人签字，扣</w:t>
            </w:r>
            <w:r>
              <w:rPr>
                <w:color w:val="auto"/>
              </w:rPr>
              <w:t>10</w:t>
            </w:r>
            <w:r>
              <w:rPr>
                <w:rFonts w:hint="eastAsia"/>
                <w:color w:val="auto"/>
              </w:rPr>
              <w:t>分</w:t>
            </w:r>
          </w:p>
          <w:p w14:paraId="38639706">
            <w:pPr>
              <w:pStyle w:val="44"/>
              <w:jc w:val="left"/>
              <w:rPr>
                <w:color w:val="auto"/>
              </w:rPr>
            </w:pPr>
            <w:r>
              <w:rPr>
                <w:color w:val="auto"/>
              </w:rPr>
              <w:t>10</w:t>
            </w:r>
            <w:r>
              <w:rPr>
                <w:rFonts w:hint="eastAsia"/>
                <w:color w:val="auto"/>
              </w:rPr>
              <w:t>）验收后未办理使用登记，扣</w:t>
            </w:r>
            <w:r>
              <w:rPr>
                <w:color w:val="auto"/>
              </w:rPr>
              <w:t>5</w:t>
            </w:r>
            <w:r>
              <w:rPr>
                <w:rFonts w:hint="eastAsia"/>
                <w:color w:val="auto"/>
              </w:rPr>
              <w:t>分</w:t>
            </w:r>
          </w:p>
        </w:tc>
        <w:tc>
          <w:tcPr>
            <w:tcW w:w="568" w:type="dxa"/>
            <w:vAlign w:val="center"/>
          </w:tcPr>
          <w:p w14:paraId="29562CC3">
            <w:pPr>
              <w:pStyle w:val="44"/>
              <w:rPr>
                <w:color w:val="auto"/>
              </w:rPr>
            </w:pPr>
            <w:r>
              <w:rPr>
                <w:color w:val="auto"/>
              </w:rPr>
              <w:t>10</w:t>
            </w:r>
          </w:p>
        </w:tc>
        <w:tc>
          <w:tcPr>
            <w:tcW w:w="720" w:type="dxa"/>
            <w:vAlign w:val="center"/>
          </w:tcPr>
          <w:p w14:paraId="0EC58308">
            <w:pPr>
              <w:pStyle w:val="44"/>
              <w:rPr>
                <w:color w:val="auto"/>
              </w:rPr>
            </w:pPr>
          </w:p>
        </w:tc>
        <w:tc>
          <w:tcPr>
            <w:tcW w:w="720" w:type="dxa"/>
            <w:vAlign w:val="center"/>
          </w:tcPr>
          <w:p w14:paraId="429DA8A6">
            <w:pPr>
              <w:pStyle w:val="44"/>
              <w:rPr>
                <w:color w:val="auto"/>
              </w:rPr>
            </w:pPr>
          </w:p>
        </w:tc>
      </w:tr>
      <w:tr w14:paraId="40DA1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trPr>
        <w:tc>
          <w:tcPr>
            <w:tcW w:w="539" w:type="dxa"/>
            <w:vAlign w:val="center"/>
          </w:tcPr>
          <w:p w14:paraId="2607F41B">
            <w:pPr>
              <w:pStyle w:val="44"/>
              <w:rPr>
                <w:color w:val="auto"/>
              </w:rPr>
            </w:pPr>
            <w:r>
              <w:rPr>
                <w:color w:val="auto"/>
              </w:rPr>
              <w:t>5</w:t>
            </w:r>
          </w:p>
        </w:tc>
        <w:tc>
          <w:tcPr>
            <w:tcW w:w="543" w:type="dxa"/>
            <w:vMerge w:val="continue"/>
          </w:tcPr>
          <w:p w14:paraId="067F0E60">
            <w:pPr>
              <w:pStyle w:val="44"/>
              <w:rPr>
                <w:color w:val="auto"/>
              </w:rPr>
            </w:pPr>
          </w:p>
        </w:tc>
        <w:tc>
          <w:tcPr>
            <w:tcW w:w="898" w:type="dxa"/>
            <w:vAlign w:val="center"/>
          </w:tcPr>
          <w:p w14:paraId="6A1D44A8">
            <w:pPr>
              <w:pStyle w:val="44"/>
              <w:rPr>
                <w:color w:val="auto"/>
              </w:rPr>
            </w:pPr>
            <w:r>
              <w:rPr>
                <w:rFonts w:hint="eastAsia"/>
                <w:color w:val="auto"/>
              </w:rPr>
              <w:t>梁体运输</w:t>
            </w:r>
          </w:p>
        </w:tc>
        <w:tc>
          <w:tcPr>
            <w:tcW w:w="5732" w:type="dxa"/>
            <w:vAlign w:val="center"/>
          </w:tcPr>
          <w:p w14:paraId="5775676A">
            <w:pPr>
              <w:pStyle w:val="44"/>
              <w:jc w:val="left"/>
              <w:rPr>
                <w:color w:val="auto"/>
              </w:rPr>
            </w:pPr>
            <w:r>
              <w:rPr>
                <w:color w:val="auto"/>
              </w:rPr>
              <w:t>1</w:t>
            </w:r>
            <w:r>
              <w:rPr>
                <w:rFonts w:hint="eastAsia"/>
                <w:color w:val="auto"/>
              </w:rPr>
              <w:t>）运梁通道未作硬化处理，扣</w:t>
            </w:r>
            <w:r>
              <w:rPr>
                <w:color w:val="auto"/>
              </w:rPr>
              <w:t>6</w:t>
            </w:r>
            <w:r>
              <w:rPr>
                <w:rFonts w:hint="eastAsia"/>
                <w:color w:val="auto"/>
              </w:rPr>
              <w:t>分</w:t>
            </w:r>
          </w:p>
          <w:p w14:paraId="74A77D9D">
            <w:pPr>
              <w:pStyle w:val="44"/>
              <w:jc w:val="left"/>
              <w:rPr>
                <w:color w:val="auto"/>
              </w:rPr>
            </w:pPr>
            <w:r>
              <w:rPr>
                <w:color w:val="auto"/>
              </w:rPr>
              <w:t>2</w:t>
            </w:r>
            <w:r>
              <w:rPr>
                <w:rFonts w:hint="eastAsia"/>
                <w:color w:val="auto"/>
              </w:rPr>
              <w:t>）地基承载力不符合设计要求，扣</w:t>
            </w:r>
            <w:r>
              <w:rPr>
                <w:color w:val="auto"/>
              </w:rPr>
              <w:t>10</w:t>
            </w:r>
            <w:r>
              <w:rPr>
                <w:rFonts w:hint="eastAsia"/>
                <w:color w:val="auto"/>
              </w:rPr>
              <w:t>分</w:t>
            </w:r>
          </w:p>
          <w:p w14:paraId="1D7413B1">
            <w:pPr>
              <w:pStyle w:val="44"/>
              <w:jc w:val="left"/>
              <w:rPr>
                <w:color w:val="auto"/>
              </w:rPr>
            </w:pPr>
            <w:r>
              <w:rPr>
                <w:color w:val="auto"/>
              </w:rPr>
              <w:t>2</w:t>
            </w:r>
            <w:r>
              <w:rPr>
                <w:rFonts w:hint="eastAsia"/>
                <w:color w:val="auto"/>
              </w:rPr>
              <w:t>）运梁车司机未经专业培训或未取得相应资格证，扣</w:t>
            </w:r>
            <w:r>
              <w:rPr>
                <w:color w:val="auto"/>
              </w:rPr>
              <w:t>10</w:t>
            </w:r>
            <w:r>
              <w:rPr>
                <w:rFonts w:hint="eastAsia"/>
                <w:color w:val="auto"/>
              </w:rPr>
              <w:t>分</w:t>
            </w:r>
          </w:p>
          <w:p w14:paraId="772ACC16">
            <w:pPr>
              <w:pStyle w:val="44"/>
              <w:jc w:val="left"/>
              <w:rPr>
                <w:color w:val="auto"/>
              </w:rPr>
            </w:pPr>
            <w:r>
              <w:rPr>
                <w:color w:val="auto"/>
              </w:rPr>
              <w:t>3</w:t>
            </w:r>
            <w:r>
              <w:rPr>
                <w:rFonts w:hint="eastAsia"/>
                <w:color w:val="auto"/>
              </w:rPr>
              <w:t>）运梁时无专人负责指挥，扣</w:t>
            </w:r>
            <w:r>
              <w:rPr>
                <w:color w:val="auto"/>
              </w:rPr>
              <w:t>10</w:t>
            </w:r>
            <w:r>
              <w:rPr>
                <w:rFonts w:hint="eastAsia"/>
                <w:color w:val="auto"/>
              </w:rPr>
              <w:t>分</w:t>
            </w:r>
          </w:p>
          <w:p w14:paraId="496CBAD2">
            <w:pPr>
              <w:pStyle w:val="44"/>
              <w:jc w:val="left"/>
              <w:rPr>
                <w:color w:val="auto"/>
              </w:rPr>
            </w:pPr>
            <w:r>
              <w:rPr>
                <w:color w:val="auto"/>
              </w:rPr>
              <w:t>4</w:t>
            </w:r>
            <w:r>
              <w:rPr>
                <w:rFonts w:hint="eastAsia"/>
                <w:color w:val="auto"/>
              </w:rPr>
              <w:t>）运送</w:t>
            </w:r>
            <w:r>
              <w:rPr>
                <w:color w:val="auto"/>
              </w:rPr>
              <w:t>T</w:t>
            </w:r>
            <w:r>
              <w:rPr>
                <w:rFonts w:hint="eastAsia"/>
                <w:color w:val="auto"/>
              </w:rPr>
              <w:t>梁时，未按规定对</w:t>
            </w:r>
            <w:r>
              <w:rPr>
                <w:color w:val="auto"/>
              </w:rPr>
              <w:t>T</w:t>
            </w:r>
            <w:r>
              <w:rPr>
                <w:rFonts w:hint="eastAsia"/>
                <w:color w:val="auto"/>
              </w:rPr>
              <w:t>梁采取有效固定措施，扣</w:t>
            </w:r>
            <w:r>
              <w:rPr>
                <w:color w:val="auto"/>
              </w:rPr>
              <w:t>5-10</w:t>
            </w:r>
            <w:r>
              <w:rPr>
                <w:rFonts w:hint="eastAsia"/>
                <w:color w:val="auto"/>
              </w:rPr>
              <w:t>分</w:t>
            </w:r>
          </w:p>
          <w:p w14:paraId="48938734">
            <w:pPr>
              <w:pStyle w:val="44"/>
              <w:jc w:val="left"/>
              <w:rPr>
                <w:color w:val="auto"/>
              </w:rPr>
            </w:pPr>
            <w:r>
              <w:rPr>
                <w:color w:val="auto"/>
              </w:rPr>
              <w:t>5</w:t>
            </w:r>
            <w:r>
              <w:rPr>
                <w:rFonts w:hint="eastAsia"/>
                <w:color w:val="auto"/>
              </w:rPr>
              <w:t>）运梁车制动器不灵敏，扣</w:t>
            </w:r>
            <w:r>
              <w:rPr>
                <w:color w:val="auto"/>
              </w:rPr>
              <w:t>6</w:t>
            </w:r>
            <w:r>
              <w:rPr>
                <w:rFonts w:hint="eastAsia"/>
                <w:color w:val="auto"/>
              </w:rPr>
              <w:t>分</w:t>
            </w:r>
          </w:p>
          <w:p w14:paraId="74DC344C">
            <w:pPr>
              <w:pStyle w:val="44"/>
              <w:jc w:val="left"/>
              <w:rPr>
                <w:color w:val="auto"/>
              </w:rPr>
            </w:pPr>
            <w:r>
              <w:rPr>
                <w:color w:val="auto"/>
              </w:rPr>
              <w:t>6</w:t>
            </w:r>
            <w:r>
              <w:rPr>
                <w:rFonts w:hint="eastAsia"/>
                <w:color w:val="auto"/>
              </w:rPr>
              <w:t>）运梁车载重运行时未匀速前进或速度过快，扣</w:t>
            </w:r>
            <w:r>
              <w:rPr>
                <w:color w:val="auto"/>
              </w:rPr>
              <w:t>3-8</w:t>
            </w:r>
            <w:r>
              <w:rPr>
                <w:rFonts w:hint="eastAsia"/>
                <w:color w:val="auto"/>
              </w:rPr>
              <w:t>分</w:t>
            </w:r>
          </w:p>
          <w:p w14:paraId="5937759F">
            <w:pPr>
              <w:pStyle w:val="44"/>
              <w:jc w:val="left"/>
              <w:rPr>
                <w:color w:val="auto"/>
              </w:rPr>
            </w:pPr>
            <w:r>
              <w:rPr>
                <w:color w:val="auto"/>
              </w:rPr>
              <w:t>7</w:t>
            </w:r>
            <w:r>
              <w:rPr>
                <w:rFonts w:hint="eastAsia"/>
                <w:color w:val="auto"/>
              </w:rPr>
              <w:t>）下坡道架梁时，运梁车无可靠的防溜措施，扣</w:t>
            </w:r>
            <w:r>
              <w:rPr>
                <w:color w:val="auto"/>
              </w:rPr>
              <w:t>8</w:t>
            </w:r>
            <w:r>
              <w:rPr>
                <w:rFonts w:hint="eastAsia"/>
                <w:color w:val="auto"/>
              </w:rPr>
              <w:t>分</w:t>
            </w:r>
          </w:p>
          <w:p w14:paraId="154547FE">
            <w:pPr>
              <w:pStyle w:val="44"/>
              <w:jc w:val="left"/>
              <w:rPr>
                <w:color w:val="auto"/>
              </w:rPr>
            </w:pPr>
            <w:r>
              <w:rPr>
                <w:color w:val="auto"/>
              </w:rPr>
              <w:t>8</w:t>
            </w:r>
            <w:r>
              <w:rPr>
                <w:rFonts w:hint="eastAsia"/>
                <w:color w:val="auto"/>
              </w:rPr>
              <w:t>）运梁时，梁体两侧安全范围内有人员停留，每人次扣</w:t>
            </w:r>
            <w:r>
              <w:rPr>
                <w:color w:val="auto"/>
              </w:rPr>
              <w:t>3</w:t>
            </w:r>
            <w:r>
              <w:rPr>
                <w:rFonts w:hint="eastAsia"/>
                <w:color w:val="auto"/>
              </w:rPr>
              <w:t>分</w:t>
            </w:r>
          </w:p>
        </w:tc>
        <w:tc>
          <w:tcPr>
            <w:tcW w:w="568" w:type="dxa"/>
            <w:vAlign w:val="center"/>
          </w:tcPr>
          <w:p w14:paraId="009C7E32">
            <w:pPr>
              <w:pStyle w:val="44"/>
              <w:rPr>
                <w:color w:val="auto"/>
              </w:rPr>
            </w:pPr>
            <w:r>
              <w:rPr>
                <w:color w:val="auto"/>
              </w:rPr>
              <w:t>10</w:t>
            </w:r>
          </w:p>
        </w:tc>
        <w:tc>
          <w:tcPr>
            <w:tcW w:w="720" w:type="dxa"/>
            <w:vAlign w:val="center"/>
          </w:tcPr>
          <w:p w14:paraId="502694B0">
            <w:pPr>
              <w:pStyle w:val="44"/>
              <w:rPr>
                <w:color w:val="auto"/>
              </w:rPr>
            </w:pPr>
          </w:p>
        </w:tc>
        <w:tc>
          <w:tcPr>
            <w:tcW w:w="720" w:type="dxa"/>
            <w:vAlign w:val="center"/>
          </w:tcPr>
          <w:p w14:paraId="438366EA">
            <w:pPr>
              <w:pStyle w:val="44"/>
              <w:rPr>
                <w:color w:val="auto"/>
              </w:rPr>
            </w:pPr>
          </w:p>
        </w:tc>
      </w:tr>
      <w:tr w14:paraId="1D6C3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2027BE9B">
            <w:pPr>
              <w:pStyle w:val="44"/>
              <w:rPr>
                <w:color w:val="auto"/>
              </w:rPr>
            </w:pPr>
            <w:r>
              <w:rPr>
                <w:color w:val="auto"/>
              </w:rPr>
              <w:t>6</w:t>
            </w:r>
          </w:p>
        </w:tc>
        <w:tc>
          <w:tcPr>
            <w:tcW w:w="543" w:type="dxa"/>
            <w:vMerge w:val="continue"/>
            <w:vAlign w:val="center"/>
          </w:tcPr>
          <w:p w14:paraId="7CC2A0D9">
            <w:pPr>
              <w:pStyle w:val="44"/>
              <w:rPr>
                <w:color w:val="auto"/>
              </w:rPr>
            </w:pPr>
          </w:p>
        </w:tc>
        <w:tc>
          <w:tcPr>
            <w:tcW w:w="898" w:type="dxa"/>
            <w:vAlign w:val="center"/>
          </w:tcPr>
          <w:p w14:paraId="09952477">
            <w:pPr>
              <w:pStyle w:val="44"/>
              <w:rPr>
                <w:color w:val="auto"/>
              </w:rPr>
            </w:pPr>
            <w:r>
              <w:rPr>
                <w:rFonts w:hint="eastAsia"/>
                <w:color w:val="auto"/>
              </w:rPr>
              <w:t>梁体架设</w:t>
            </w:r>
          </w:p>
        </w:tc>
        <w:tc>
          <w:tcPr>
            <w:tcW w:w="5732" w:type="dxa"/>
            <w:vAlign w:val="center"/>
          </w:tcPr>
          <w:p w14:paraId="05938A45">
            <w:pPr>
              <w:pStyle w:val="44"/>
              <w:jc w:val="left"/>
              <w:rPr>
                <w:color w:val="auto"/>
              </w:rPr>
            </w:pPr>
            <w:r>
              <w:rPr>
                <w:color w:val="auto"/>
              </w:rPr>
              <w:t>1</w:t>
            </w:r>
            <w:r>
              <w:rPr>
                <w:rFonts w:hint="eastAsia"/>
                <w:color w:val="auto"/>
              </w:rPr>
              <w:t>）未在显著位置悬挂安全使用规程，扣</w:t>
            </w:r>
            <w:r>
              <w:rPr>
                <w:color w:val="auto"/>
              </w:rPr>
              <w:t>5</w:t>
            </w:r>
            <w:r>
              <w:rPr>
                <w:rFonts w:hint="eastAsia"/>
                <w:color w:val="auto"/>
              </w:rPr>
              <w:t>分</w:t>
            </w:r>
          </w:p>
          <w:p w14:paraId="1F2B4D91">
            <w:pPr>
              <w:pStyle w:val="44"/>
              <w:jc w:val="left"/>
              <w:rPr>
                <w:color w:val="auto"/>
              </w:rPr>
            </w:pPr>
            <w:r>
              <w:rPr>
                <w:color w:val="auto"/>
              </w:rPr>
              <w:t>2</w:t>
            </w:r>
            <w:r>
              <w:rPr>
                <w:rFonts w:hint="eastAsia"/>
                <w:color w:val="auto"/>
              </w:rPr>
              <w:t>）架桥机操作人员无相应特种作业资格证，扣</w:t>
            </w:r>
            <w:r>
              <w:rPr>
                <w:color w:val="auto"/>
              </w:rPr>
              <w:t>10</w:t>
            </w:r>
            <w:r>
              <w:rPr>
                <w:rFonts w:hint="eastAsia"/>
                <w:color w:val="auto"/>
              </w:rPr>
              <w:t>分</w:t>
            </w:r>
          </w:p>
          <w:p w14:paraId="017F4C49">
            <w:pPr>
              <w:pStyle w:val="44"/>
              <w:jc w:val="left"/>
              <w:rPr>
                <w:color w:val="auto"/>
              </w:rPr>
            </w:pPr>
            <w:r>
              <w:rPr>
                <w:color w:val="auto"/>
              </w:rPr>
              <w:t>3</w:t>
            </w:r>
            <w:r>
              <w:rPr>
                <w:rFonts w:hint="eastAsia"/>
                <w:color w:val="auto"/>
              </w:rPr>
              <w:t>）待架梁的自重和外形尺寸超出架桥机作业能力覆盖范围，扣</w:t>
            </w:r>
            <w:r>
              <w:rPr>
                <w:color w:val="auto"/>
              </w:rPr>
              <w:t>10</w:t>
            </w:r>
            <w:r>
              <w:rPr>
                <w:rFonts w:hint="eastAsia"/>
                <w:color w:val="auto"/>
              </w:rPr>
              <w:t>分</w:t>
            </w:r>
          </w:p>
          <w:p w14:paraId="2D722C28">
            <w:pPr>
              <w:pStyle w:val="44"/>
              <w:jc w:val="left"/>
              <w:rPr>
                <w:color w:val="auto"/>
              </w:rPr>
            </w:pPr>
            <w:r>
              <w:rPr>
                <w:color w:val="auto"/>
              </w:rPr>
              <w:t>4</w:t>
            </w:r>
            <w:r>
              <w:rPr>
                <w:rFonts w:hint="eastAsia"/>
                <w:color w:val="auto"/>
              </w:rPr>
              <w:t>）两端同时起吊梁体，扣</w:t>
            </w:r>
            <w:r>
              <w:rPr>
                <w:color w:val="auto"/>
              </w:rPr>
              <w:t>5</w:t>
            </w:r>
            <w:r>
              <w:rPr>
                <w:rFonts w:hint="eastAsia"/>
                <w:color w:val="auto"/>
              </w:rPr>
              <w:t>分；单端起吊后梁体倾斜度超过梁体设计规定，扣</w:t>
            </w:r>
            <w:r>
              <w:rPr>
                <w:color w:val="auto"/>
              </w:rPr>
              <w:t>3</w:t>
            </w:r>
            <w:r>
              <w:rPr>
                <w:rFonts w:hint="eastAsia"/>
                <w:color w:val="auto"/>
              </w:rPr>
              <w:t>分</w:t>
            </w:r>
          </w:p>
          <w:p w14:paraId="56E3691B">
            <w:pPr>
              <w:pStyle w:val="44"/>
              <w:jc w:val="left"/>
              <w:rPr>
                <w:color w:val="auto"/>
              </w:rPr>
            </w:pPr>
            <w:r>
              <w:rPr>
                <w:color w:val="auto"/>
              </w:rPr>
              <w:t>5</w:t>
            </w:r>
            <w:r>
              <w:rPr>
                <w:rFonts w:hint="eastAsia"/>
                <w:color w:val="auto"/>
              </w:rPr>
              <w:t>）采用拖拉喂梁时吊梁小车与运梁车驮梁小车行走不同步，扣</w:t>
            </w:r>
            <w:r>
              <w:rPr>
                <w:color w:val="auto"/>
              </w:rPr>
              <w:t>5</w:t>
            </w:r>
            <w:r>
              <w:rPr>
                <w:rFonts w:hint="eastAsia"/>
                <w:color w:val="auto"/>
              </w:rPr>
              <w:t>分</w:t>
            </w:r>
          </w:p>
          <w:p w14:paraId="078714CE">
            <w:pPr>
              <w:pStyle w:val="44"/>
              <w:jc w:val="left"/>
              <w:rPr>
                <w:color w:val="auto"/>
              </w:rPr>
            </w:pPr>
            <w:r>
              <w:rPr>
                <w:color w:val="auto"/>
              </w:rPr>
              <w:t>6</w:t>
            </w:r>
            <w:r>
              <w:rPr>
                <w:rFonts w:hint="eastAsia"/>
                <w:color w:val="auto"/>
              </w:rPr>
              <w:t>）</w:t>
            </w:r>
            <w:r>
              <w:rPr>
                <w:color w:val="auto"/>
              </w:rPr>
              <w:t>T</w:t>
            </w:r>
            <w:r>
              <w:rPr>
                <w:rFonts w:hint="eastAsia"/>
                <w:color w:val="auto"/>
              </w:rPr>
              <w:t>梁梁体架设后未及时对梁体两侧进行有效支撑，扣</w:t>
            </w:r>
            <w:r>
              <w:rPr>
                <w:color w:val="auto"/>
              </w:rPr>
              <w:t>5-8</w:t>
            </w:r>
            <w:r>
              <w:rPr>
                <w:rFonts w:hint="eastAsia"/>
                <w:color w:val="auto"/>
              </w:rPr>
              <w:t>分</w:t>
            </w:r>
          </w:p>
          <w:p w14:paraId="60D36D47">
            <w:pPr>
              <w:pStyle w:val="44"/>
              <w:jc w:val="left"/>
              <w:rPr>
                <w:color w:val="auto"/>
              </w:rPr>
            </w:pPr>
            <w:r>
              <w:rPr>
                <w:color w:val="auto"/>
              </w:rPr>
              <w:t>7</w:t>
            </w:r>
            <w:r>
              <w:rPr>
                <w:rFonts w:hint="eastAsia"/>
                <w:color w:val="auto"/>
              </w:rPr>
              <w:t>）架桥机过跨前，梁片横隔板未焊接，或未按设计要求张拉预应力筋，扣</w:t>
            </w:r>
            <w:r>
              <w:rPr>
                <w:color w:val="auto"/>
              </w:rPr>
              <w:t>10</w:t>
            </w:r>
            <w:r>
              <w:rPr>
                <w:rFonts w:hint="eastAsia"/>
                <w:color w:val="auto"/>
              </w:rPr>
              <w:t>分</w:t>
            </w:r>
          </w:p>
        </w:tc>
        <w:tc>
          <w:tcPr>
            <w:tcW w:w="568" w:type="dxa"/>
            <w:vAlign w:val="center"/>
          </w:tcPr>
          <w:p w14:paraId="762FCCF3">
            <w:pPr>
              <w:pStyle w:val="44"/>
              <w:rPr>
                <w:color w:val="auto"/>
              </w:rPr>
            </w:pPr>
            <w:r>
              <w:rPr>
                <w:color w:val="auto"/>
              </w:rPr>
              <w:t>10</w:t>
            </w:r>
          </w:p>
        </w:tc>
        <w:tc>
          <w:tcPr>
            <w:tcW w:w="720" w:type="dxa"/>
            <w:vAlign w:val="center"/>
          </w:tcPr>
          <w:p w14:paraId="7D4F67B3">
            <w:pPr>
              <w:pStyle w:val="44"/>
              <w:rPr>
                <w:color w:val="auto"/>
              </w:rPr>
            </w:pPr>
          </w:p>
        </w:tc>
        <w:tc>
          <w:tcPr>
            <w:tcW w:w="720" w:type="dxa"/>
            <w:vAlign w:val="center"/>
          </w:tcPr>
          <w:p w14:paraId="23AD7C77">
            <w:pPr>
              <w:pStyle w:val="44"/>
              <w:rPr>
                <w:color w:val="auto"/>
              </w:rPr>
            </w:pPr>
          </w:p>
        </w:tc>
      </w:tr>
      <w:tr w14:paraId="043F8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226C9A55">
            <w:pPr>
              <w:pStyle w:val="44"/>
              <w:rPr>
                <w:color w:val="auto"/>
              </w:rPr>
            </w:pPr>
            <w:r>
              <w:rPr>
                <w:color w:val="auto"/>
              </w:rPr>
              <w:t>7</w:t>
            </w:r>
          </w:p>
        </w:tc>
        <w:tc>
          <w:tcPr>
            <w:tcW w:w="543" w:type="dxa"/>
            <w:vMerge w:val="continue"/>
            <w:vAlign w:val="center"/>
          </w:tcPr>
          <w:p w14:paraId="75C179FB">
            <w:pPr>
              <w:pStyle w:val="44"/>
              <w:rPr>
                <w:color w:val="auto"/>
              </w:rPr>
            </w:pPr>
          </w:p>
        </w:tc>
        <w:tc>
          <w:tcPr>
            <w:tcW w:w="898" w:type="dxa"/>
            <w:vAlign w:val="center"/>
          </w:tcPr>
          <w:p w14:paraId="7A3E8C4C">
            <w:pPr>
              <w:pStyle w:val="44"/>
              <w:rPr>
                <w:color w:val="auto"/>
              </w:rPr>
            </w:pPr>
            <w:r>
              <w:rPr>
                <w:rFonts w:hint="eastAsia"/>
                <w:color w:val="auto"/>
              </w:rPr>
              <w:t>调试与试验</w:t>
            </w:r>
          </w:p>
        </w:tc>
        <w:tc>
          <w:tcPr>
            <w:tcW w:w="5732" w:type="dxa"/>
            <w:vAlign w:val="center"/>
          </w:tcPr>
          <w:p w14:paraId="3272DB47">
            <w:pPr>
              <w:pStyle w:val="44"/>
              <w:jc w:val="left"/>
              <w:rPr>
                <w:color w:val="auto"/>
              </w:rPr>
            </w:pPr>
            <w:r>
              <w:rPr>
                <w:color w:val="auto"/>
              </w:rPr>
              <w:t>1</w:t>
            </w:r>
            <w:r>
              <w:rPr>
                <w:rFonts w:hint="eastAsia"/>
                <w:color w:val="auto"/>
              </w:rPr>
              <w:t>）架桥机安装完成后未进行调试，扣</w:t>
            </w:r>
            <w:r>
              <w:rPr>
                <w:color w:val="auto"/>
              </w:rPr>
              <w:t>10</w:t>
            </w:r>
            <w:r>
              <w:rPr>
                <w:rFonts w:hint="eastAsia"/>
                <w:color w:val="auto"/>
              </w:rPr>
              <w:t>分；调试内容不全面，扣</w:t>
            </w:r>
            <w:r>
              <w:rPr>
                <w:color w:val="auto"/>
              </w:rPr>
              <w:t>3-8</w:t>
            </w:r>
            <w:r>
              <w:rPr>
                <w:rFonts w:hint="eastAsia"/>
                <w:color w:val="auto"/>
              </w:rPr>
              <w:t>分</w:t>
            </w:r>
          </w:p>
          <w:p w14:paraId="379F13E7">
            <w:pPr>
              <w:pStyle w:val="44"/>
              <w:jc w:val="left"/>
              <w:rPr>
                <w:color w:val="auto"/>
              </w:rPr>
            </w:pPr>
            <w:r>
              <w:rPr>
                <w:color w:val="auto"/>
              </w:rPr>
              <w:t>2</w:t>
            </w:r>
            <w:r>
              <w:rPr>
                <w:rFonts w:hint="eastAsia"/>
                <w:color w:val="auto"/>
              </w:rPr>
              <w:t>）架桥机拼装调整完毕后未进行试运行，扣</w:t>
            </w:r>
            <w:r>
              <w:rPr>
                <w:color w:val="auto"/>
              </w:rPr>
              <w:t>10</w:t>
            </w:r>
            <w:r>
              <w:rPr>
                <w:rFonts w:hint="eastAsia"/>
                <w:color w:val="auto"/>
              </w:rPr>
              <w:t>分；未检验架桥机吊梁小车、制动系统、液压电气系统的运行情况，扣</w:t>
            </w:r>
            <w:r>
              <w:rPr>
                <w:color w:val="auto"/>
              </w:rPr>
              <w:t>3-8</w:t>
            </w:r>
            <w:r>
              <w:rPr>
                <w:rFonts w:hint="eastAsia"/>
                <w:color w:val="auto"/>
              </w:rPr>
              <w:t>分</w:t>
            </w:r>
          </w:p>
          <w:p w14:paraId="30507416">
            <w:pPr>
              <w:pStyle w:val="44"/>
              <w:jc w:val="left"/>
              <w:rPr>
                <w:color w:val="auto"/>
              </w:rPr>
            </w:pPr>
            <w:r>
              <w:rPr>
                <w:color w:val="auto"/>
              </w:rPr>
              <w:t>3</w:t>
            </w:r>
            <w:r>
              <w:rPr>
                <w:rFonts w:hint="eastAsia"/>
                <w:color w:val="auto"/>
              </w:rPr>
              <w:t>）架桥机调试完成后未按规定进行试吊，扣</w:t>
            </w:r>
            <w:r>
              <w:rPr>
                <w:color w:val="auto"/>
              </w:rPr>
              <w:t>10</w:t>
            </w:r>
            <w:r>
              <w:rPr>
                <w:rFonts w:hint="eastAsia"/>
                <w:color w:val="auto"/>
              </w:rPr>
              <w:t>分</w:t>
            </w:r>
          </w:p>
          <w:p w14:paraId="04A4B62A">
            <w:pPr>
              <w:pStyle w:val="44"/>
              <w:jc w:val="left"/>
              <w:rPr>
                <w:color w:val="auto"/>
              </w:rPr>
            </w:pPr>
            <w:r>
              <w:rPr>
                <w:color w:val="auto"/>
              </w:rPr>
              <w:t>4</w:t>
            </w:r>
            <w:r>
              <w:rPr>
                <w:rFonts w:hint="eastAsia"/>
                <w:color w:val="auto"/>
              </w:rPr>
              <w:t>）架桥机未经常性调试或无调试记录，扣</w:t>
            </w:r>
            <w:r>
              <w:rPr>
                <w:color w:val="auto"/>
              </w:rPr>
              <w:t>5</w:t>
            </w:r>
            <w:r>
              <w:rPr>
                <w:rFonts w:hint="eastAsia"/>
                <w:color w:val="auto"/>
              </w:rPr>
              <w:t>分</w:t>
            </w:r>
          </w:p>
          <w:p w14:paraId="7B6DD29A">
            <w:pPr>
              <w:pStyle w:val="44"/>
              <w:jc w:val="left"/>
              <w:rPr>
                <w:color w:val="auto"/>
              </w:rPr>
            </w:pPr>
            <w:r>
              <w:rPr>
                <w:color w:val="auto"/>
              </w:rPr>
              <w:t>5</w:t>
            </w:r>
            <w:r>
              <w:rPr>
                <w:rFonts w:hint="eastAsia"/>
                <w:color w:val="auto"/>
              </w:rPr>
              <w:t>）未根据使用条件进行试验或无试验记录，扣</w:t>
            </w:r>
            <w:r>
              <w:rPr>
                <w:color w:val="auto"/>
              </w:rPr>
              <w:t>10</w:t>
            </w:r>
            <w:r>
              <w:rPr>
                <w:rFonts w:hint="eastAsia"/>
                <w:color w:val="auto"/>
              </w:rPr>
              <w:t>分</w:t>
            </w:r>
          </w:p>
          <w:p w14:paraId="2357E155">
            <w:pPr>
              <w:pStyle w:val="44"/>
              <w:jc w:val="left"/>
              <w:rPr>
                <w:color w:val="auto"/>
              </w:rPr>
            </w:pPr>
            <w:r>
              <w:rPr>
                <w:color w:val="auto"/>
              </w:rPr>
              <w:t>6</w:t>
            </w:r>
            <w:r>
              <w:rPr>
                <w:rFonts w:hint="eastAsia"/>
                <w:color w:val="auto"/>
              </w:rPr>
              <w:t>）试验记录内容不全，扣</w:t>
            </w:r>
            <w:r>
              <w:rPr>
                <w:color w:val="auto"/>
              </w:rPr>
              <w:t>3-8</w:t>
            </w:r>
            <w:r>
              <w:rPr>
                <w:rFonts w:hint="eastAsia"/>
                <w:color w:val="auto"/>
              </w:rPr>
              <w:t>分</w:t>
            </w:r>
          </w:p>
        </w:tc>
        <w:tc>
          <w:tcPr>
            <w:tcW w:w="568" w:type="dxa"/>
            <w:vAlign w:val="center"/>
          </w:tcPr>
          <w:p w14:paraId="6B8E6A15">
            <w:pPr>
              <w:pStyle w:val="44"/>
              <w:rPr>
                <w:color w:val="auto"/>
              </w:rPr>
            </w:pPr>
            <w:r>
              <w:rPr>
                <w:color w:val="auto"/>
              </w:rPr>
              <w:t>10</w:t>
            </w:r>
          </w:p>
        </w:tc>
        <w:tc>
          <w:tcPr>
            <w:tcW w:w="720" w:type="dxa"/>
            <w:vAlign w:val="center"/>
          </w:tcPr>
          <w:p w14:paraId="2608707C">
            <w:pPr>
              <w:pStyle w:val="44"/>
              <w:rPr>
                <w:color w:val="auto"/>
              </w:rPr>
            </w:pPr>
          </w:p>
        </w:tc>
        <w:tc>
          <w:tcPr>
            <w:tcW w:w="720" w:type="dxa"/>
            <w:vAlign w:val="center"/>
          </w:tcPr>
          <w:p w14:paraId="02B2E4FB">
            <w:pPr>
              <w:pStyle w:val="44"/>
              <w:rPr>
                <w:color w:val="auto"/>
              </w:rPr>
            </w:pPr>
          </w:p>
        </w:tc>
      </w:tr>
      <w:tr w14:paraId="18A83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31" w:hRule="atLeast"/>
        </w:trPr>
        <w:tc>
          <w:tcPr>
            <w:tcW w:w="539" w:type="dxa"/>
            <w:vAlign w:val="center"/>
          </w:tcPr>
          <w:p w14:paraId="2AF0B608">
            <w:pPr>
              <w:pStyle w:val="44"/>
              <w:rPr>
                <w:color w:val="auto"/>
              </w:rPr>
            </w:pPr>
          </w:p>
        </w:tc>
        <w:tc>
          <w:tcPr>
            <w:tcW w:w="543" w:type="dxa"/>
            <w:vMerge w:val="continue"/>
            <w:vAlign w:val="center"/>
          </w:tcPr>
          <w:p w14:paraId="16F5F9BB">
            <w:pPr>
              <w:pStyle w:val="44"/>
              <w:rPr>
                <w:color w:val="auto"/>
              </w:rPr>
            </w:pPr>
          </w:p>
        </w:tc>
        <w:tc>
          <w:tcPr>
            <w:tcW w:w="6630" w:type="dxa"/>
            <w:gridSpan w:val="2"/>
            <w:vAlign w:val="center"/>
          </w:tcPr>
          <w:p w14:paraId="7AFDDFBD">
            <w:pPr>
              <w:pStyle w:val="44"/>
              <w:rPr>
                <w:b/>
                <w:bCs w:val="0"/>
                <w:color w:val="auto"/>
              </w:rPr>
            </w:pPr>
            <w:r>
              <w:rPr>
                <w:rFonts w:hint="eastAsia"/>
                <w:b/>
                <w:bCs w:val="0"/>
                <w:color w:val="auto"/>
              </w:rPr>
              <w:t xml:space="preserve">小 </w:t>
            </w:r>
            <w:r>
              <w:rPr>
                <w:b/>
                <w:bCs w:val="0"/>
                <w:color w:val="auto"/>
              </w:rPr>
              <w:t xml:space="preserve"> </w:t>
            </w:r>
            <w:r>
              <w:rPr>
                <w:rFonts w:hint="eastAsia"/>
                <w:b/>
                <w:bCs w:val="0"/>
                <w:color w:val="auto"/>
              </w:rPr>
              <w:t>计</w:t>
            </w:r>
          </w:p>
        </w:tc>
        <w:tc>
          <w:tcPr>
            <w:tcW w:w="568" w:type="dxa"/>
            <w:vAlign w:val="center"/>
          </w:tcPr>
          <w:p w14:paraId="666BA4DF">
            <w:pPr>
              <w:pStyle w:val="44"/>
              <w:rPr>
                <w:color w:val="auto"/>
              </w:rPr>
            </w:pPr>
            <w:r>
              <w:rPr>
                <w:color w:val="auto"/>
              </w:rPr>
              <w:t>70</w:t>
            </w:r>
          </w:p>
        </w:tc>
        <w:tc>
          <w:tcPr>
            <w:tcW w:w="720" w:type="dxa"/>
            <w:vAlign w:val="center"/>
          </w:tcPr>
          <w:p w14:paraId="11266216">
            <w:pPr>
              <w:pStyle w:val="44"/>
              <w:rPr>
                <w:color w:val="auto"/>
              </w:rPr>
            </w:pPr>
          </w:p>
        </w:tc>
        <w:tc>
          <w:tcPr>
            <w:tcW w:w="720" w:type="dxa"/>
            <w:vAlign w:val="center"/>
          </w:tcPr>
          <w:p w14:paraId="3889600C">
            <w:pPr>
              <w:pStyle w:val="44"/>
              <w:rPr>
                <w:color w:val="auto"/>
              </w:rPr>
            </w:pPr>
          </w:p>
        </w:tc>
      </w:tr>
      <w:tr w14:paraId="12DCB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trPr>
        <w:tc>
          <w:tcPr>
            <w:tcW w:w="539" w:type="dxa"/>
            <w:vAlign w:val="center"/>
          </w:tcPr>
          <w:p w14:paraId="2F881950">
            <w:pPr>
              <w:pStyle w:val="44"/>
              <w:rPr>
                <w:color w:val="auto"/>
              </w:rPr>
            </w:pPr>
            <w:r>
              <w:rPr>
                <w:color w:val="auto"/>
              </w:rPr>
              <w:t>1</w:t>
            </w:r>
          </w:p>
        </w:tc>
        <w:tc>
          <w:tcPr>
            <w:tcW w:w="543" w:type="dxa"/>
            <w:vMerge w:val="restart"/>
            <w:vAlign w:val="center"/>
          </w:tcPr>
          <w:p w14:paraId="2546CE33">
            <w:pPr>
              <w:pStyle w:val="44"/>
              <w:rPr>
                <w:color w:val="auto"/>
              </w:rPr>
            </w:pPr>
            <w:r>
              <w:rPr>
                <w:rFonts w:hint="eastAsia"/>
                <w:color w:val="auto"/>
              </w:rPr>
              <w:t>一</w:t>
            </w:r>
          </w:p>
          <w:p w14:paraId="3E089C8D">
            <w:pPr>
              <w:pStyle w:val="44"/>
              <w:rPr>
                <w:color w:val="auto"/>
              </w:rPr>
            </w:pPr>
            <w:r>
              <w:rPr>
                <w:rFonts w:hint="eastAsia"/>
                <w:color w:val="auto"/>
              </w:rPr>
              <w:t>般</w:t>
            </w:r>
          </w:p>
          <w:p w14:paraId="2D853AF9">
            <w:pPr>
              <w:pStyle w:val="44"/>
              <w:rPr>
                <w:color w:val="auto"/>
              </w:rPr>
            </w:pPr>
            <w:r>
              <w:rPr>
                <w:rFonts w:hint="eastAsia"/>
                <w:color w:val="auto"/>
              </w:rPr>
              <w:t>项</w:t>
            </w:r>
          </w:p>
          <w:p w14:paraId="7E68A6F9">
            <w:pPr>
              <w:pStyle w:val="44"/>
              <w:rPr>
                <w:color w:val="auto"/>
              </w:rPr>
            </w:pPr>
            <w:r>
              <w:rPr>
                <w:rFonts w:hint="eastAsia"/>
                <w:color w:val="auto"/>
              </w:rPr>
              <w:t>目</w:t>
            </w:r>
          </w:p>
        </w:tc>
        <w:tc>
          <w:tcPr>
            <w:tcW w:w="898" w:type="dxa"/>
            <w:vAlign w:val="center"/>
          </w:tcPr>
          <w:p w14:paraId="473963AB">
            <w:pPr>
              <w:pStyle w:val="44"/>
              <w:rPr>
                <w:color w:val="auto"/>
              </w:rPr>
            </w:pPr>
            <w:r>
              <w:rPr>
                <w:rFonts w:hint="eastAsia"/>
                <w:color w:val="auto"/>
              </w:rPr>
              <w:t>检查与维护</w:t>
            </w:r>
          </w:p>
        </w:tc>
        <w:tc>
          <w:tcPr>
            <w:tcW w:w="5732" w:type="dxa"/>
            <w:vAlign w:val="center"/>
          </w:tcPr>
          <w:p w14:paraId="3D899C7B">
            <w:pPr>
              <w:pStyle w:val="44"/>
              <w:jc w:val="left"/>
              <w:rPr>
                <w:color w:val="auto"/>
              </w:rPr>
            </w:pPr>
            <w:r>
              <w:rPr>
                <w:color w:val="auto"/>
              </w:rPr>
              <w:t>1</w:t>
            </w:r>
            <w:r>
              <w:rPr>
                <w:rFonts w:hint="eastAsia"/>
                <w:color w:val="auto"/>
              </w:rPr>
              <w:t>）未对架桥机进行日常检查，扣</w:t>
            </w:r>
            <w:r>
              <w:rPr>
                <w:color w:val="auto"/>
              </w:rPr>
              <w:t>5</w:t>
            </w:r>
            <w:r>
              <w:rPr>
                <w:rFonts w:hint="eastAsia"/>
                <w:color w:val="auto"/>
              </w:rPr>
              <w:t>分</w:t>
            </w:r>
          </w:p>
          <w:p w14:paraId="10D54B19">
            <w:pPr>
              <w:pStyle w:val="44"/>
              <w:jc w:val="left"/>
              <w:rPr>
                <w:color w:val="auto"/>
              </w:rPr>
            </w:pPr>
            <w:r>
              <w:rPr>
                <w:color w:val="auto"/>
              </w:rPr>
              <w:t>2</w:t>
            </w:r>
            <w:r>
              <w:rPr>
                <w:rFonts w:hint="eastAsia"/>
                <w:color w:val="auto"/>
              </w:rPr>
              <w:t>）未制定周期检查计划或未进行定期检查，扣</w:t>
            </w:r>
            <w:r>
              <w:rPr>
                <w:color w:val="auto"/>
              </w:rPr>
              <w:t>5</w:t>
            </w:r>
            <w:r>
              <w:rPr>
                <w:rFonts w:hint="eastAsia"/>
                <w:color w:val="auto"/>
              </w:rPr>
              <w:t>分</w:t>
            </w:r>
          </w:p>
          <w:p w14:paraId="3E4E2617">
            <w:pPr>
              <w:pStyle w:val="44"/>
              <w:jc w:val="left"/>
              <w:rPr>
                <w:color w:val="auto"/>
              </w:rPr>
            </w:pPr>
            <w:r>
              <w:rPr>
                <w:color w:val="auto"/>
              </w:rPr>
              <w:t>3</w:t>
            </w:r>
            <w:r>
              <w:rPr>
                <w:rFonts w:hint="eastAsia"/>
                <w:color w:val="auto"/>
              </w:rPr>
              <w:t>）架桥机停止使用一个月以上，使用前未按规定进行检查，扣</w:t>
            </w:r>
            <w:r>
              <w:rPr>
                <w:color w:val="auto"/>
              </w:rPr>
              <w:t>10</w:t>
            </w:r>
            <w:r>
              <w:rPr>
                <w:rFonts w:hint="eastAsia"/>
                <w:color w:val="auto"/>
              </w:rPr>
              <w:t>分</w:t>
            </w:r>
          </w:p>
          <w:p w14:paraId="7C74344D">
            <w:pPr>
              <w:pStyle w:val="44"/>
              <w:jc w:val="left"/>
              <w:rPr>
                <w:color w:val="auto"/>
              </w:rPr>
            </w:pPr>
            <w:r>
              <w:rPr>
                <w:color w:val="auto"/>
              </w:rPr>
              <w:t>4</w:t>
            </w:r>
            <w:r>
              <w:rPr>
                <w:rFonts w:hint="eastAsia"/>
                <w:color w:val="auto"/>
              </w:rPr>
              <w:t>）无预防性的维护计划或无维护记录，扣</w:t>
            </w:r>
            <w:r>
              <w:rPr>
                <w:color w:val="auto"/>
              </w:rPr>
              <w:t>5</w:t>
            </w:r>
            <w:r>
              <w:rPr>
                <w:rFonts w:hint="eastAsia"/>
                <w:color w:val="auto"/>
              </w:rPr>
              <w:t>分</w:t>
            </w:r>
          </w:p>
        </w:tc>
        <w:tc>
          <w:tcPr>
            <w:tcW w:w="568" w:type="dxa"/>
            <w:vAlign w:val="center"/>
          </w:tcPr>
          <w:p w14:paraId="428F2347">
            <w:pPr>
              <w:pStyle w:val="44"/>
              <w:rPr>
                <w:color w:val="auto"/>
              </w:rPr>
            </w:pPr>
            <w:r>
              <w:rPr>
                <w:color w:val="auto"/>
              </w:rPr>
              <w:t>10</w:t>
            </w:r>
          </w:p>
        </w:tc>
        <w:tc>
          <w:tcPr>
            <w:tcW w:w="720" w:type="dxa"/>
            <w:vAlign w:val="center"/>
          </w:tcPr>
          <w:p w14:paraId="5C0FDE71">
            <w:pPr>
              <w:pStyle w:val="44"/>
              <w:rPr>
                <w:color w:val="auto"/>
              </w:rPr>
            </w:pPr>
          </w:p>
        </w:tc>
        <w:tc>
          <w:tcPr>
            <w:tcW w:w="720" w:type="dxa"/>
            <w:vAlign w:val="center"/>
          </w:tcPr>
          <w:p w14:paraId="279A82BF">
            <w:pPr>
              <w:pStyle w:val="44"/>
              <w:rPr>
                <w:color w:val="auto"/>
              </w:rPr>
            </w:pPr>
          </w:p>
        </w:tc>
      </w:tr>
      <w:tr w14:paraId="7A758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0704BD0F">
            <w:pPr>
              <w:pStyle w:val="44"/>
              <w:rPr>
                <w:color w:val="auto"/>
              </w:rPr>
            </w:pPr>
            <w:r>
              <w:rPr>
                <w:color w:val="auto"/>
              </w:rPr>
              <w:t>2</w:t>
            </w:r>
          </w:p>
        </w:tc>
        <w:tc>
          <w:tcPr>
            <w:tcW w:w="543" w:type="dxa"/>
            <w:vMerge w:val="continue"/>
          </w:tcPr>
          <w:p w14:paraId="229EAE4A">
            <w:pPr>
              <w:pStyle w:val="44"/>
              <w:rPr>
                <w:color w:val="auto"/>
              </w:rPr>
            </w:pPr>
          </w:p>
        </w:tc>
        <w:tc>
          <w:tcPr>
            <w:tcW w:w="898" w:type="dxa"/>
            <w:vAlign w:val="center"/>
          </w:tcPr>
          <w:p w14:paraId="42E6648F">
            <w:pPr>
              <w:pStyle w:val="44"/>
              <w:rPr>
                <w:color w:val="auto"/>
              </w:rPr>
            </w:pPr>
            <w:r>
              <w:rPr>
                <w:rFonts w:hint="eastAsia"/>
                <w:color w:val="auto"/>
              </w:rPr>
              <w:t>电气设备</w:t>
            </w:r>
          </w:p>
        </w:tc>
        <w:tc>
          <w:tcPr>
            <w:tcW w:w="5732" w:type="dxa"/>
            <w:vAlign w:val="center"/>
          </w:tcPr>
          <w:p w14:paraId="5C22D422">
            <w:pPr>
              <w:pStyle w:val="44"/>
              <w:jc w:val="left"/>
              <w:rPr>
                <w:color w:val="auto"/>
              </w:rPr>
            </w:pPr>
            <w:r>
              <w:rPr>
                <w:color w:val="auto"/>
              </w:rPr>
              <w:t>1</w:t>
            </w:r>
            <w:r>
              <w:rPr>
                <w:rFonts w:hint="eastAsia"/>
                <w:color w:val="auto"/>
              </w:rPr>
              <w:t>）未在操作处、承载支腿处等可方便控制的位置设置非自动复位型紧急断电开关或不灵敏，扣</w:t>
            </w:r>
            <w:r>
              <w:rPr>
                <w:color w:val="auto"/>
              </w:rPr>
              <w:t>5</w:t>
            </w:r>
            <w:r>
              <w:rPr>
                <w:rFonts w:hint="eastAsia"/>
                <w:color w:val="auto"/>
              </w:rPr>
              <w:t>分</w:t>
            </w:r>
          </w:p>
          <w:p w14:paraId="12C239F2">
            <w:pPr>
              <w:pStyle w:val="44"/>
              <w:jc w:val="left"/>
              <w:rPr>
                <w:color w:val="auto"/>
              </w:rPr>
            </w:pPr>
            <w:r>
              <w:rPr>
                <w:color w:val="auto"/>
              </w:rPr>
              <w:t>2</w:t>
            </w:r>
            <w:r>
              <w:rPr>
                <w:rFonts w:hint="eastAsia"/>
                <w:color w:val="auto"/>
              </w:rPr>
              <w:t>）架桥机在其他防雷保护范围以外未设置避雷装置，扣</w:t>
            </w:r>
            <w:r>
              <w:rPr>
                <w:color w:val="auto"/>
              </w:rPr>
              <w:t>10</w:t>
            </w:r>
            <w:r>
              <w:rPr>
                <w:rFonts w:hint="eastAsia"/>
                <w:color w:val="auto"/>
              </w:rPr>
              <w:t>分，避雷装置不符合相关标准要求，扣</w:t>
            </w:r>
            <w:r>
              <w:rPr>
                <w:color w:val="auto"/>
              </w:rPr>
              <w:t>5</w:t>
            </w:r>
            <w:r>
              <w:rPr>
                <w:rFonts w:hint="eastAsia"/>
                <w:color w:val="auto"/>
              </w:rPr>
              <w:t>分</w:t>
            </w:r>
          </w:p>
          <w:p w14:paraId="3E0543C8">
            <w:pPr>
              <w:pStyle w:val="44"/>
              <w:jc w:val="left"/>
              <w:rPr>
                <w:color w:val="auto"/>
              </w:rPr>
            </w:pPr>
            <w:r>
              <w:rPr>
                <w:color w:val="auto"/>
              </w:rPr>
              <w:t>3</w:t>
            </w:r>
            <w:r>
              <w:rPr>
                <w:rFonts w:hint="eastAsia"/>
                <w:color w:val="auto"/>
              </w:rPr>
              <w:t>）金属结构和所有电气设备系统金属外壳未进行可靠接地，扣</w:t>
            </w:r>
            <w:r>
              <w:rPr>
                <w:color w:val="auto"/>
              </w:rPr>
              <w:t>5</w:t>
            </w:r>
            <w:r>
              <w:rPr>
                <w:rFonts w:hint="eastAsia"/>
                <w:color w:val="auto"/>
              </w:rPr>
              <w:t>分</w:t>
            </w:r>
          </w:p>
          <w:p w14:paraId="0DBF7049">
            <w:pPr>
              <w:pStyle w:val="44"/>
              <w:jc w:val="left"/>
              <w:rPr>
                <w:color w:val="auto"/>
              </w:rPr>
            </w:pPr>
            <w:r>
              <w:rPr>
                <w:color w:val="auto"/>
              </w:rPr>
              <w:t>4</w:t>
            </w:r>
            <w:r>
              <w:rPr>
                <w:rFonts w:hint="eastAsia"/>
                <w:color w:val="auto"/>
              </w:rPr>
              <w:t>）架桥机与架空线路的安全距离不符合标准要求时，未采取防护措施，扣</w:t>
            </w:r>
            <w:r>
              <w:rPr>
                <w:color w:val="auto"/>
              </w:rPr>
              <w:t>10</w:t>
            </w:r>
            <w:r>
              <w:rPr>
                <w:rFonts w:hint="eastAsia"/>
                <w:color w:val="auto"/>
              </w:rPr>
              <w:t>分</w:t>
            </w:r>
          </w:p>
          <w:p w14:paraId="7D043D7F">
            <w:pPr>
              <w:pStyle w:val="44"/>
              <w:jc w:val="left"/>
              <w:rPr>
                <w:color w:val="auto"/>
              </w:rPr>
            </w:pPr>
            <w:r>
              <w:rPr>
                <w:color w:val="auto"/>
              </w:rPr>
              <w:t>5</w:t>
            </w:r>
            <w:r>
              <w:rPr>
                <w:rFonts w:hint="eastAsia"/>
                <w:color w:val="auto"/>
              </w:rPr>
              <w:t>）架桥机上的电线未敷设于线槽或金属管中或未穿金属软管，扣</w:t>
            </w:r>
            <w:r>
              <w:rPr>
                <w:color w:val="auto"/>
              </w:rPr>
              <w:t>5</w:t>
            </w:r>
            <w:r>
              <w:rPr>
                <w:rFonts w:hint="eastAsia"/>
                <w:color w:val="auto"/>
              </w:rPr>
              <w:t>分</w:t>
            </w:r>
          </w:p>
          <w:p w14:paraId="4BBD2751">
            <w:pPr>
              <w:pStyle w:val="44"/>
              <w:jc w:val="left"/>
              <w:rPr>
                <w:color w:val="auto"/>
              </w:rPr>
            </w:pPr>
            <w:r>
              <w:rPr>
                <w:color w:val="auto"/>
              </w:rPr>
              <w:t>6</w:t>
            </w:r>
            <w:r>
              <w:rPr>
                <w:rFonts w:hint="eastAsia"/>
                <w:color w:val="auto"/>
              </w:rPr>
              <w:t>）作业面照明亮度不够，扣</w:t>
            </w:r>
            <w:r>
              <w:rPr>
                <w:color w:val="auto"/>
              </w:rPr>
              <w:t>5</w:t>
            </w:r>
            <w:r>
              <w:rPr>
                <w:rFonts w:hint="eastAsia"/>
                <w:color w:val="auto"/>
              </w:rPr>
              <w:t>分</w:t>
            </w:r>
          </w:p>
          <w:p w14:paraId="1099BE5A">
            <w:pPr>
              <w:pStyle w:val="44"/>
              <w:jc w:val="left"/>
              <w:rPr>
                <w:color w:val="auto"/>
              </w:rPr>
            </w:pPr>
            <w:r>
              <w:rPr>
                <w:color w:val="auto"/>
              </w:rPr>
              <w:t>7</w:t>
            </w:r>
            <w:r>
              <w:rPr>
                <w:rFonts w:hint="eastAsia"/>
                <w:color w:val="auto"/>
              </w:rPr>
              <w:t>）照明回路未单独供电或未设短路保护，扣</w:t>
            </w:r>
            <w:r>
              <w:rPr>
                <w:color w:val="auto"/>
              </w:rPr>
              <w:t>10</w:t>
            </w:r>
            <w:r>
              <w:rPr>
                <w:rFonts w:hint="eastAsia"/>
                <w:color w:val="auto"/>
              </w:rPr>
              <w:t>分</w:t>
            </w:r>
          </w:p>
          <w:p w14:paraId="25B6F2FD">
            <w:pPr>
              <w:pStyle w:val="44"/>
              <w:jc w:val="left"/>
              <w:rPr>
                <w:color w:val="auto"/>
              </w:rPr>
            </w:pPr>
            <w:r>
              <w:rPr>
                <w:color w:val="auto"/>
              </w:rPr>
              <w:t>8</w:t>
            </w:r>
            <w:r>
              <w:rPr>
                <w:rFonts w:hint="eastAsia"/>
                <w:color w:val="auto"/>
              </w:rPr>
              <w:t>）电气绝缘电阻小于相关标准要求，扣</w:t>
            </w:r>
            <w:r>
              <w:rPr>
                <w:color w:val="auto"/>
              </w:rPr>
              <w:t>5</w:t>
            </w:r>
            <w:r>
              <w:rPr>
                <w:rFonts w:hint="eastAsia"/>
                <w:color w:val="auto"/>
              </w:rPr>
              <w:t>分</w:t>
            </w:r>
          </w:p>
        </w:tc>
        <w:tc>
          <w:tcPr>
            <w:tcW w:w="568" w:type="dxa"/>
            <w:vAlign w:val="center"/>
          </w:tcPr>
          <w:p w14:paraId="45320A7A">
            <w:pPr>
              <w:pStyle w:val="44"/>
              <w:rPr>
                <w:color w:val="auto"/>
              </w:rPr>
            </w:pPr>
            <w:r>
              <w:rPr>
                <w:color w:val="auto"/>
              </w:rPr>
              <w:t>10</w:t>
            </w:r>
          </w:p>
        </w:tc>
        <w:tc>
          <w:tcPr>
            <w:tcW w:w="720" w:type="dxa"/>
            <w:vAlign w:val="center"/>
          </w:tcPr>
          <w:p w14:paraId="50A2E4F8">
            <w:pPr>
              <w:pStyle w:val="44"/>
              <w:rPr>
                <w:color w:val="auto"/>
              </w:rPr>
            </w:pPr>
          </w:p>
        </w:tc>
        <w:tc>
          <w:tcPr>
            <w:tcW w:w="720" w:type="dxa"/>
            <w:vAlign w:val="center"/>
          </w:tcPr>
          <w:p w14:paraId="6F7992D3">
            <w:pPr>
              <w:pStyle w:val="44"/>
              <w:rPr>
                <w:color w:val="auto"/>
              </w:rPr>
            </w:pPr>
          </w:p>
        </w:tc>
      </w:tr>
      <w:tr w14:paraId="10A5B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233" w:hRule="atLeast"/>
        </w:trPr>
        <w:tc>
          <w:tcPr>
            <w:tcW w:w="539" w:type="dxa"/>
            <w:vAlign w:val="center"/>
          </w:tcPr>
          <w:p w14:paraId="6F7B6833">
            <w:pPr>
              <w:pStyle w:val="44"/>
              <w:rPr>
                <w:color w:val="auto"/>
              </w:rPr>
            </w:pPr>
            <w:r>
              <w:rPr>
                <w:color w:val="auto"/>
              </w:rPr>
              <w:t>3</w:t>
            </w:r>
          </w:p>
        </w:tc>
        <w:tc>
          <w:tcPr>
            <w:tcW w:w="543" w:type="dxa"/>
            <w:vMerge w:val="continue"/>
          </w:tcPr>
          <w:p w14:paraId="28CD6C54">
            <w:pPr>
              <w:pStyle w:val="44"/>
              <w:rPr>
                <w:color w:val="auto"/>
              </w:rPr>
            </w:pPr>
          </w:p>
        </w:tc>
        <w:tc>
          <w:tcPr>
            <w:tcW w:w="898" w:type="dxa"/>
            <w:vAlign w:val="center"/>
          </w:tcPr>
          <w:p w14:paraId="50556957">
            <w:pPr>
              <w:pStyle w:val="44"/>
              <w:rPr>
                <w:color w:val="auto"/>
              </w:rPr>
            </w:pPr>
            <w:r>
              <w:rPr>
                <w:rFonts w:hint="eastAsia"/>
                <w:color w:val="auto"/>
              </w:rPr>
              <w:t>安全防护</w:t>
            </w:r>
          </w:p>
        </w:tc>
        <w:tc>
          <w:tcPr>
            <w:tcW w:w="5732" w:type="dxa"/>
            <w:vAlign w:val="center"/>
          </w:tcPr>
          <w:p w14:paraId="1F93CC21">
            <w:pPr>
              <w:pStyle w:val="44"/>
              <w:jc w:val="left"/>
              <w:rPr>
                <w:color w:val="auto"/>
              </w:rPr>
            </w:pPr>
            <w:r>
              <w:rPr>
                <w:color w:val="auto"/>
              </w:rPr>
              <w:t>1</w:t>
            </w:r>
            <w:r>
              <w:rPr>
                <w:rFonts w:hint="eastAsia"/>
                <w:color w:val="auto"/>
              </w:rPr>
              <w:t>）未在醒目位置设置安全警示标志，扣</w:t>
            </w:r>
            <w:r>
              <w:rPr>
                <w:color w:val="auto"/>
              </w:rPr>
              <w:t>3-6</w:t>
            </w:r>
            <w:r>
              <w:rPr>
                <w:rFonts w:hint="eastAsia"/>
                <w:color w:val="auto"/>
              </w:rPr>
              <w:t>分</w:t>
            </w:r>
          </w:p>
          <w:p w14:paraId="0EE8667A">
            <w:pPr>
              <w:pStyle w:val="44"/>
              <w:jc w:val="left"/>
              <w:rPr>
                <w:color w:val="auto"/>
              </w:rPr>
            </w:pPr>
            <w:r>
              <w:rPr>
                <w:color w:val="auto"/>
              </w:rPr>
              <w:t>2</w:t>
            </w:r>
            <w:r>
              <w:rPr>
                <w:rFonts w:hint="eastAsia"/>
                <w:color w:val="auto"/>
              </w:rPr>
              <w:t>）全区域未设置围栏或警戒线，扣</w:t>
            </w:r>
            <w:r>
              <w:rPr>
                <w:color w:val="auto"/>
              </w:rPr>
              <w:t>5</w:t>
            </w:r>
            <w:r>
              <w:rPr>
                <w:rFonts w:hint="eastAsia"/>
                <w:color w:val="auto"/>
              </w:rPr>
              <w:t>分</w:t>
            </w:r>
          </w:p>
          <w:p w14:paraId="1DB1EB4C">
            <w:pPr>
              <w:pStyle w:val="44"/>
              <w:jc w:val="left"/>
              <w:rPr>
                <w:color w:val="auto"/>
              </w:rPr>
            </w:pPr>
            <w:r>
              <w:rPr>
                <w:color w:val="auto"/>
              </w:rPr>
              <w:t>3</w:t>
            </w:r>
            <w:r>
              <w:rPr>
                <w:rFonts w:hint="eastAsia"/>
                <w:color w:val="auto"/>
              </w:rPr>
              <w:t>）架梁时未安装吊篮、步板、梯子等安全防护设施，扣</w:t>
            </w:r>
            <w:r>
              <w:rPr>
                <w:color w:val="auto"/>
              </w:rPr>
              <w:t>5</w:t>
            </w:r>
            <w:r>
              <w:rPr>
                <w:rFonts w:hint="eastAsia"/>
                <w:color w:val="auto"/>
              </w:rPr>
              <w:t>分</w:t>
            </w:r>
          </w:p>
          <w:p w14:paraId="596D7901">
            <w:pPr>
              <w:pStyle w:val="44"/>
              <w:jc w:val="left"/>
              <w:rPr>
                <w:color w:val="auto"/>
              </w:rPr>
            </w:pPr>
            <w:r>
              <w:rPr>
                <w:color w:val="auto"/>
              </w:rPr>
              <w:t>4</w:t>
            </w:r>
            <w:r>
              <w:rPr>
                <w:rFonts w:hint="eastAsia"/>
                <w:color w:val="auto"/>
              </w:rPr>
              <w:t>）横向连接、湿接缝施工未安装工作平台或吊篮，扣</w:t>
            </w:r>
            <w:r>
              <w:rPr>
                <w:color w:val="auto"/>
              </w:rPr>
              <w:t>5</w:t>
            </w:r>
            <w:r>
              <w:rPr>
                <w:rFonts w:hint="eastAsia"/>
                <w:color w:val="auto"/>
              </w:rPr>
              <w:t>分</w:t>
            </w:r>
          </w:p>
          <w:p w14:paraId="6E4B13EB">
            <w:pPr>
              <w:pStyle w:val="44"/>
              <w:jc w:val="left"/>
              <w:rPr>
                <w:color w:val="auto"/>
              </w:rPr>
            </w:pPr>
            <w:r>
              <w:rPr>
                <w:color w:val="auto"/>
              </w:rPr>
              <w:t>5</w:t>
            </w:r>
            <w:r>
              <w:rPr>
                <w:rFonts w:hint="eastAsia"/>
                <w:color w:val="auto"/>
              </w:rPr>
              <w:t>）架桥机位于通车道路、河道上方时，架桥机下方未设置防护棚，扣</w:t>
            </w:r>
            <w:r>
              <w:rPr>
                <w:color w:val="auto"/>
              </w:rPr>
              <w:t>10</w:t>
            </w:r>
            <w:r>
              <w:rPr>
                <w:rFonts w:hint="eastAsia"/>
                <w:color w:val="auto"/>
              </w:rPr>
              <w:t>分；防护棚设置不符合规定，扣</w:t>
            </w:r>
            <w:r>
              <w:rPr>
                <w:color w:val="auto"/>
              </w:rPr>
              <w:t>5</w:t>
            </w:r>
            <w:r>
              <w:rPr>
                <w:rFonts w:hint="eastAsia"/>
                <w:color w:val="auto"/>
              </w:rPr>
              <w:t>分</w:t>
            </w:r>
          </w:p>
          <w:p w14:paraId="7B19C0C8">
            <w:pPr>
              <w:pStyle w:val="44"/>
              <w:jc w:val="left"/>
              <w:rPr>
                <w:color w:val="auto"/>
              </w:rPr>
            </w:pPr>
            <w:r>
              <w:rPr>
                <w:color w:val="auto"/>
              </w:rPr>
              <w:t>6</w:t>
            </w:r>
            <w:r>
              <w:rPr>
                <w:rFonts w:hint="eastAsia"/>
                <w:color w:val="auto"/>
              </w:rPr>
              <w:t>）水上施工时未设置防护和救生设施，扣</w:t>
            </w:r>
            <w:r>
              <w:rPr>
                <w:color w:val="auto"/>
              </w:rPr>
              <w:t>5</w:t>
            </w:r>
            <w:r>
              <w:rPr>
                <w:rFonts w:hint="eastAsia"/>
                <w:color w:val="auto"/>
              </w:rPr>
              <w:t>分</w:t>
            </w:r>
          </w:p>
          <w:p w14:paraId="12E5E428">
            <w:pPr>
              <w:pStyle w:val="44"/>
              <w:jc w:val="left"/>
              <w:rPr>
                <w:color w:val="auto"/>
              </w:rPr>
            </w:pPr>
            <w:r>
              <w:rPr>
                <w:color w:val="auto"/>
              </w:rPr>
              <w:t>7</w:t>
            </w:r>
            <w:r>
              <w:rPr>
                <w:rFonts w:hint="eastAsia"/>
                <w:color w:val="auto"/>
              </w:rPr>
              <w:t>）每一跨预制梁架设完毕后未及时按临边作业要求搭设桥梁两边的防护栏杆，扣</w:t>
            </w:r>
            <w:r>
              <w:rPr>
                <w:color w:val="auto"/>
              </w:rPr>
              <w:t>8</w:t>
            </w:r>
            <w:r>
              <w:rPr>
                <w:rFonts w:hint="eastAsia"/>
                <w:color w:val="auto"/>
              </w:rPr>
              <w:t>分</w:t>
            </w:r>
          </w:p>
          <w:p w14:paraId="53B92543">
            <w:pPr>
              <w:pStyle w:val="44"/>
              <w:jc w:val="left"/>
              <w:rPr>
                <w:color w:val="auto"/>
              </w:rPr>
            </w:pPr>
            <w:r>
              <w:rPr>
                <w:color w:val="auto"/>
              </w:rPr>
              <w:t>8</w:t>
            </w:r>
            <w:r>
              <w:rPr>
                <w:rFonts w:hint="eastAsia"/>
                <w:color w:val="auto"/>
              </w:rPr>
              <w:t>）同跨预制梁间未设置安全兜网，扣</w:t>
            </w:r>
            <w:r>
              <w:rPr>
                <w:color w:val="auto"/>
              </w:rPr>
              <w:t>10</w:t>
            </w:r>
            <w:r>
              <w:rPr>
                <w:rFonts w:hint="eastAsia"/>
                <w:color w:val="auto"/>
              </w:rPr>
              <w:t>分</w:t>
            </w:r>
          </w:p>
        </w:tc>
        <w:tc>
          <w:tcPr>
            <w:tcW w:w="568" w:type="dxa"/>
            <w:vAlign w:val="center"/>
          </w:tcPr>
          <w:p w14:paraId="0CB1BDD5">
            <w:pPr>
              <w:pStyle w:val="44"/>
              <w:rPr>
                <w:color w:val="auto"/>
              </w:rPr>
            </w:pPr>
            <w:r>
              <w:rPr>
                <w:color w:val="auto"/>
              </w:rPr>
              <w:t>10</w:t>
            </w:r>
          </w:p>
        </w:tc>
        <w:tc>
          <w:tcPr>
            <w:tcW w:w="720" w:type="dxa"/>
            <w:vAlign w:val="center"/>
          </w:tcPr>
          <w:p w14:paraId="067AA1E3">
            <w:pPr>
              <w:pStyle w:val="44"/>
              <w:rPr>
                <w:color w:val="auto"/>
              </w:rPr>
            </w:pPr>
          </w:p>
        </w:tc>
        <w:tc>
          <w:tcPr>
            <w:tcW w:w="720" w:type="dxa"/>
            <w:vAlign w:val="center"/>
          </w:tcPr>
          <w:p w14:paraId="65ABEFE8">
            <w:pPr>
              <w:pStyle w:val="44"/>
              <w:rPr>
                <w:color w:val="auto"/>
              </w:rPr>
            </w:pPr>
          </w:p>
        </w:tc>
      </w:tr>
      <w:tr w14:paraId="7374C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06" w:hRule="atLeast"/>
        </w:trPr>
        <w:tc>
          <w:tcPr>
            <w:tcW w:w="539" w:type="dxa"/>
            <w:vAlign w:val="center"/>
          </w:tcPr>
          <w:p w14:paraId="49EC2585">
            <w:pPr>
              <w:pStyle w:val="44"/>
              <w:rPr>
                <w:color w:val="auto"/>
              </w:rPr>
            </w:pPr>
          </w:p>
        </w:tc>
        <w:tc>
          <w:tcPr>
            <w:tcW w:w="543" w:type="dxa"/>
            <w:vMerge w:val="continue"/>
          </w:tcPr>
          <w:p w14:paraId="6D0F7C0B">
            <w:pPr>
              <w:pStyle w:val="44"/>
              <w:rPr>
                <w:color w:val="auto"/>
              </w:rPr>
            </w:pPr>
          </w:p>
        </w:tc>
        <w:tc>
          <w:tcPr>
            <w:tcW w:w="6630" w:type="dxa"/>
            <w:gridSpan w:val="2"/>
            <w:vAlign w:val="center"/>
          </w:tcPr>
          <w:p w14:paraId="445E020E">
            <w:pPr>
              <w:pStyle w:val="44"/>
              <w:rPr>
                <w:b/>
                <w:bCs w:val="0"/>
                <w:color w:val="auto"/>
              </w:rPr>
            </w:pPr>
            <w:r>
              <w:rPr>
                <w:rFonts w:hint="eastAsia"/>
                <w:b/>
                <w:bCs w:val="0"/>
                <w:color w:val="auto"/>
              </w:rPr>
              <w:t xml:space="preserve">小 </w:t>
            </w:r>
            <w:r>
              <w:rPr>
                <w:b/>
                <w:bCs w:val="0"/>
                <w:color w:val="auto"/>
              </w:rPr>
              <w:t xml:space="preserve"> </w:t>
            </w:r>
            <w:r>
              <w:rPr>
                <w:rFonts w:hint="eastAsia"/>
                <w:b/>
                <w:bCs w:val="0"/>
                <w:color w:val="auto"/>
              </w:rPr>
              <w:t>计</w:t>
            </w:r>
          </w:p>
        </w:tc>
        <w:tc>
          <w:tcPr>
            <w:tcW w:w="568" w:type="dxa"/>
            <w:vAlign w:val="center"/>
          </w:tcPr>
          <w:p w14:paraId="499505B0">
            <w:pPr>
              <w:pStyle w:val="44"/>
              <w:rPr>
                <w:color w:val="auto"/>
              </w:rPr>
            </w:pPr>
            <w:r>
              <w:rPr>
                <w:color w:val="auto"/>
              </w:rPr>
              <w:t>30</w:t>
            </w:r>
          </w:p>
        </w:tc>
        <w:tc>
          <w:tcPr>
            <w:tcW w:w="720" w:type="dxa"/>
            <w:vAlign w:val="center"/>
          </w:tcPr>
          <w:p w14:paraId="3617EBF5">
            <w:pPr>
              <w:pStyle w:val="44"/>
              <w:rPr>
                <w:color w:val="auto"/>
              </w:rPr>
            </w:pPr>
          </w:p>
        </w:tc>
        <w:tc>
          <w:tcPr>
            <w:tcW w:w="720" w:type="dxa"/>
            <w:vAlign w:val="center"/>
          </w:tcPr>
          <w:p w14:paraId="59C15E9C">
            <w:pPr>
              <w:pStyle w:val="44"/>
              <w:rPr>
                <w:color w:val="auto"/>
              </w:rPr>
            </w:pPr>
          </w:p>
        </w:tc>
      </w:tr>
      <w:tr w14:paraId="4B089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03" w:hRule="atLeast"/>
        </w:trPr>
        <w:tc>
          <w:tcPr>
            <w:tcW w:w="7712" w:type="dxa"/>
            <w:gridSpan w:val="4"/>
            <w:vAlign w:val="center"/>
          </w:tcPr>
          <w:p w14:paraId="3098FA3F">
            <w:pPr>
              <w:pStyle w:val="44"/>
              <w:rPr>
                <w:b/>
                <w:bCs w:val="0"/>
                <w:color w:val="auto"/>
              </w:rPr>
            </w:pPr>
            <w:r>
              <w:rPr>
                <w:rFonts w:hint="eastAsia"/>
                <w:b/>
                <w:bCs w:val="0"/>
                <w:color w:val="auto"/>
              </w:rPr>
              <w:t>检查项目合计</w:t>
            </w:r>
          </w:p>
        </w:tc>
        <w:tc>
          <w:tcPr>
            <w:tcW w:w="568" w:type="dxa"/>
            <w:vAlign w:val="center"/>
          </w:tcPr>
          <w:p w14:paraId="013940CF">
            <w:pPr>
              <w:pStyle w:val="44"/>
              <w:rPr>
                <w:color w:val="auto"/>
              </w:rPr>
            </w:pPr>
            <w:r>
              <w:rPr>
                <w:color w:val="auto"/>
              </w:rPr>
              <w:t>100</w:t>
            </w:r>
          </w:p>
        </w:tc>
        <w:tc>
          <w:tcPr>
            <w:tcW w:w="720" w:type="dxa"/>
            <w:vAlign w:val="center"/>
          </w:tcPr>
          <w:p w14:paraId="4B054560">
            <w:pPr>
              <w:pStyle w:val="44"/>
              <w:rPr>
                <w:color w:val="auto"/>
              </w:rPr>
            </w:pPr>
          </w:p>
        </w:tc>
        <w:tc>
          <w:tcPr>
            <w:tcW w:w="720" w:type="dxa"/>
            <w:vAlign w:val="center"/>
          </w:tcPr>
          <w:p w14:paraId="0259BA00">
            <w:pPr>
              <w:pStyle w:val="44"/>
              <w:rPr>
                <w:color w:val="auto"/>
              </w:rPr>
            </w:pPr>
          </w:p>
        </w:tc>
      </w:tr>
    </w:tbl>
    <w:p w14:paraId="249BFE26"/>
    <w:p w14:paraId="6F6A2A9D">
      <w:pPr>
        <w:pStyle w:val="5"/>
      </w:pPr>
      <w:r>
        <w:rPr>
          <w:rFonts w:hint="eastAsia"/>
        </w:rPr>
        <w:br w:type="page"/>
      </w:r>
      <w:bookmarkStart w:id="94" w:name="_Toc23322"/>
      <w:bookmarkStart w:id="95" w:name="_Toc1069"/>
      <w:bookmarkStart w:id="96" w:name="_Toc6314"/>
      <w:r>
        <w:rPr>
          <w:rFonts w:hint="eastAsia"/>
        </w:rPr>
        <w:t>表B.29  施工升降机检查</w:t>
      </w:r>
      <w:r>
        <w:t>评分表</w:t>
      </w:r>
      <w:bookmarkEnd w:id="94"/>
      <w:bookmarkEnd w:id="95"/>
      <w:bookmarkEnd w:id="96"/>
    </w:p>
    <w:tbl>
      <w:tblPr>
        <w:tblStyle w:val="19"/>
        <w:tblpPr w:leftFromText="180" w:rightFromText="180" w:vertAnchor="text" w:horzAnchor="page" w:tblpX="1150" w:tblpY="631"/>
        <w:tblOverlap w:val="never"/>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77C4E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trPr>
        <w:tc>
          <w:tcPr>
            <w:tcW w:w="539" w:type="dxa"/>
            <w:vAlign w:val="center"/>
          </w:tcPr>
          <w:p w14:paraId="182DACE4">
            <w:pPr>
              <w:pStyle w:val="44"/>
              <w:rPr>
                <w:color w:val="auto"/>
              </w:rPr>
            </w:pPr>
            <w:r>
              <w:rPr>
                <w:rFonts w:hint="eastAsia"/>
                <w:color w:val="auto"/>
              </w:rPr>
              <w:t>序号</w:t>
            </w:r>
          </w:p>
        </w:tc>
        <w:tc>
          <w:tcPr>
            <w:tcW w:w="1441" w:type="dxa"/>
            <w:gridSpan w:val="2"/>
            <w:vAlign w:val="center"/>
          </w:tcPr>
          <w:p w14:paraId="0D022A50">
            <w:pPr>
              <w:pStyle w:val="44"/>
              <w:rPr>
                <w:color w:val="auto"/>
              </w:rPr>
            </w:pPr>
            <w:r>
              <w:rPr>
                <w:rFonts w:hint="eastAsia"/>
                <w:color w:val="auto"/>
              </w:rPr>
              <w:t>检查项目</w:t>
            </w:r>
          </w:p>
        </w:tc>
        <w:tc>
          <w:tcPr>
            <w:tcW w:w="5580" w:type="dxa"/>
            <w:vAlign w:val="center"/>
          </w:tcPr>
          <w:p w14:paraId="344077B2">
            <w:pPr>
              <w:pStyle w:val="44"/>
              <w:rPr>
                <w:color w:val="auto"/>
              </w:rPr>
            </w:pPr>
            <w:r>
              <w:rPr>
                <w:rFonts w:hint="eastAsia"/>
                <w:color w:val="auto"/>
              </w:rPr>
              <w:t>扣</w:t>
            </w:r>
            <w:r>
              <w:rPr>
                <w:color w:val="auto"/>
              </w:rPr>
              <w:t xml:space="preserve"> </w:t>
            </w:r>
            <w:r>
              <w:rPr>
                <w:rFonts w:hint="eastAsia"/>
                <w:color w:val="auto"/>
              </w:rPr>
              <w:t>分</w:t>
            </w:r>
            <w:r>
              <w:rPr>
                <w:color w:val="auto"/>
              </w:rPr>
              <w:t xml:space="preserve"> </w:t>
            </w:r>
            <w:r>
              <w:rPr>
                <w:rFonts w:hint="eastAsia"/>
                <w:color w:val="auto"/>
              </w:rPr>
              <w:t>标</w:t>
            </w:r>
            <w:r>
              <w:rPr>
                <w:color w:val="auto"/>
              </w:rPr>
              <w:t xml:space="preserve"> </w:t>
            </w:r>
            <w:r>
              <w:rPr>
                <w:rFonts w:hint="eastAsia"/>
                <w:color w:val="auto"/>
              </w:rPr>
              <w:t>准</w:t>
            </w:r>
          </w:p>
        </w:tc>
        <w:tc>
          <w:tcPr>
            <w:tcW w:w="720" w:type="dxa"/>
            <w:vAlign w:val="center"/>
          </w:tcPr>
          <w:p w14:paraId="530D2F3F">
            <w:pPr>
              <w:pStyle w:val="44"/>
              <w:rPr>
                <w:color w:val="auto"/>
              </w:rPr>
            </w:pPr>
            <w:r>
              <w:rPr>
                <w:rFonts w:hint="eastAsia"/>
                <w:color w:val="auto"/>
              </w:rPr>
              <w:t>应得</w:t>
            </w:r>
          </w:p>
          <w:p w14:paraId="18D2B59B">
            <w:pPr>
              <w:pStyle w:val="44"/>
              <w:rPr>
                <w:color w:val="auto"/>
              </w:rPr>
            </w:pPr>
            <w:r>
              <w:rPr>
                <w:rFonts w:hint="eastAsia"/>
                <w:color w:val="auto"/>
              </w:rPr>
              <w:t>分数</w:t>
            </w:r>
          </w:p>
        </w:tc>
        <w:tc>
          <w:tcPr>
            <w:tcW w:w="720" w:type="dxa"/>
            <w:vAlign w:val="center"/>
          </w:tcPr>
          <w:p w14:paraId="42F932AF">
            <w:pPr>
              <w:pStyle w:val="44"/>
              <w:rPr>
                <w:color w:val="auto"/>
              </w:rPr>
            </w:pPr>
            <w:r>
              <w:rPr>
                <w:rFonts w:hint="eastAsia"/>
                <w:color w:val="auto"/>
              </w:rPr>
              <w:t>扣减</w:t>
            </w:r>
          </w:p>
          <w:p w14:paraId="66198001">
            <w:pPr>
              <w:pStyle w:val="44"/>
              <w:rPr>
                <w:color w:val="auto"/>
              </w:rPr>
            </w:pPr>
            <w:r>
              <w:rPr>
                <w:rFonts w:hint="eastAsia"/>
                <w:color w:val="auto"/>
              </w:rPr>
              <w:t>分数</w:t>
            </w:r>
          </w:p>
        </w:tc>
        <w:tc>
          <w:tcPr>
            <w:tcW w:w="720" w:type="dxa"/>
            <w:vAlign w:val="center"/>
          </w:tcPr>
          <w:p w14:paraId="32A31ECE">
            <w:pPr>
              <w:pStyle w:val="44"/>
              <w:rPr>
                <w:color w:val="auto"/>
              </w:rPr>
            </w:pPr>
            <w:r>
              <w:rPr>
                <w:rFonts w:hint="eastAsia"/>
                <w:color w:val="auto"/>
              </w:rPr>
              <w:t>实得</w:t>
            </w:r>
          </w:p>
          <w:p w14:paraId="4E0DFDB5">
            <w:pPr>
              <w:pStyle w:val="44"/>
              <w:rPr>
                <w:color w:val="auto"/>
              </w:rPr>
            </w:pPr>
            <w:r>
              <w:rPr>
                <w:rFonts w:hint="eastAsia"/>
                <w:color w:val="auto"/>
              </w:rPr>
              <w:t>分数</w:t>
            </w:r>
          </w:p>
        </w:tc>
      </w:tr>
      <w:tr w14:paraId="6BE42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trPr>
        <w:tc>
          <w:tcPr>
            <w:tcW w:w="539" w:type="dxa"/>
            <w:vAlign w:val="center"/>
          </w:tcPr>
          <w:p w14:paraId="77AC8AFD">
            <w:pPr>
              <w:pStyle w:val="44"/>
              <w:rPr>
                <w:color w:val="auto"/>
              </w:rPr>
            </w:pPr>
            <w:r>
              <w:rPr>
                <w:color w:val="auto"/>
              </w:rPr>
              <w:t>1</w:t>
            </w:r>
          </w:p>
        </w:tc>
        <w:tc>
          <w:tcPr>
            <w:tcW w:w="543" w:type="dxa"/>
            <w:vMerge w:val="restart"/>
            <w:vAlign w:val="center"/>
          </w:tcPr>
          <w:p w14:paraId="5D96C8C8">
            <w:pPr>
              <w:pStyle w:val="44"/>
              <w:rPr>
                <w:color w:val="auto"/>
              </w:rPr>
            </w:pPr>
            <w:r>
              <w:rPr>
                <w:rFonts w:hint="eastAsia"/>
                <w:color w:val="auto"/>
              </w:rPr>
              <w:t>保</w:t>
            </w:r>
          </w:p>
          <w:p w14:paraId="7147A576">
            <w:pPr>
              <w:pStyle w:val="44"/>
              <w:rPr>
                <w:color w:val="auto"/>
              </w:rPr>
            </w:pPr>
            <w:r>
              <w:rPr>
                <w:rFonts w:hint="eastAsia"/>
                <w:color w:val="auto"/>
              </w:rPr>
              <w:t>证</w:t>
            </w:r>
          </w:p>
          <w:p w14:paraId="62066145">
            <w:pPr>
              <w:pStyle w:val="44"/>
              <w:rPr>
                <w:color w:val="auto"/>
              </w:rPr>
            </w:pPr>
            <w:r>
              <w:rPr>
                <w:rFonts w:hint="eastAsia"/>
                <w:color w:val="auto"/>
              </w:rPr>
              <w:t>项</w:t>
            </w:r>
          </w:p>
          <w:p w14:paraId="44FEB412">
            <w:pPr>
              <w:pStyle w:val="44"/>
              <w:rPr>
                <w:color w:val="auto"/>
              </w:rPr>
            </w:pPr>
            <w:r>
              <w:rPr>
                <w:rFonts w:hint="eastAsia"/>
                <w:color w:val="auto"/>
              </w:rPr>
              <w:t>目</w:t>
            </w:r>
          </w:p>
        </w:tc>
        <w:tc>
          <w:tcPr>
            <w:tcW w:w="898" w:type="dxa"/>
            <w:vAlign w:val="center"/>
          </w:tcPr>
          <w:p w14:paraId="3128AF60">
            <w:pPr>
              <w:pStyle w:val="44"/>
              <w:rPr>
                <w:color w:val="auto"/>
              </w:rPr>
            </w:pPr>
            <w:r>
              <w:rPr>
                <w:rFonts w:hint="eastAsia"/>
                <w:color w:val="auto"/>
              </w:rPr>
              <w:t>安全装置</w:t>
            </w:r>
          </w:p>
        </w:tc>
        <w:tc>
          <w:tcPr>
            <w:tcW w:w="5580" w:type="dxa"/>
            <w:vAlign w:val="center"/>
          </w:tcPr>
          <w:p w14:paraId="687FC7CB">
            <w:pPr>
              <w:pStyle w:val="44"/>
              <w:jc w:val="left"/>
              <w:rPr>
                <w:color w:val="auto"/>
              </w:rPr>
            </w:pPr>
            <w:r>
              <w:rPr>
                <w:color w:val="auto"/>
              </w:rPr>
              <w:t>1</w:t>
            </w:r>
            <w:r>
              <w:rPr>
                <w:rFonts w:hint="eastAsia"/>
                <w:color w:val="auto"/>
              </w:rPr>
              <w:t>）未安装起重量限制器或不灵敏，扣</w:t>
            </w:r>
            <w:r>
              <w:rPr>
                <w:color w:val="auto"/>
              </w:rPr>
              <w:t>10</w:t>
            </w:r>
            <w:r>
              <w:rPr>
                <w:rFonts w:hint="eastAsia"/>
                <w:color w:val="auto"/>
              </w:rPr>
              <w:t>分</w:t>
            </w:r>
          </w:p>
          <w:p w14:paraId="24C76E84">
            <w:pPr>
              <w:pStyle w:val="44"/>
              <w:jc w:val="left"/>
              <w:rPr>
                <w:color w:val="auto"/>
              </w:rPr>
            </w:pPr>
            <w:r>
              <w:rPr>
                <w:color w:val="auto"/>
              </w:rPr>
              <w:t>2</w:t>
            </w:r>
            <w:r>
              <w:rPr>
                <w:rFonts w:hint="eastAsia"/>
                <w:color w:val="auto"/>
              </w:rPr>
              <w:t>）未安装渐进式防坠安全器或不灵敏，扣</w:t>
            </w:r>
            <w:r>
              <w:rPr>
                <w:color w:val="auto"/>
              </w:rPr>
              <w:t>10</w:t>
            </w:r>
            <w:r>
              <w:rPr>
                <w:rFonts w:hint="eastAsia"/>
                <w:color w:val="auto"/>
              </w:rPr>
              <w:t>分</w:t>
            </w:r>
          </w:p>
          <w:p w14:paraId="61D8979D">
            <w:pPr>
              <w:pStyle w:val="44"/>
              <w:jc w:val="left"/>
              <w:rPr>
                <w:color w:val="auto"/>
              </w:rPr>
            </w:pPr>
            <w:r>
              <w:rPr>
                <w:color w:val="auto"/>
              </w:rPr>
              <w:t>3</w:t>
            </w:r>
            <w:r>
              <w:rPr>
                <w:rFonts w:hint="eastAsia"/>
                <w:color w:val="auto"/>
              </w:rPr>
              <w:t>）防坠器使用超过有效的标定期限，扣</w:t>
            </w:r>
            <w:r>
              <w:rPr>
                <w:color w:val="auto"/>
              </w:rPr>
              <w:t>10</w:t>
            </w:r>
            <w:r>
              <w:rPr>
                <w:rFonts w:hint="eastAsia"/>
                <w:color w:val="auto"/>
              </w:rPr>
              <w:t>分</w:t>
            </w:r>
          </w:p>
          <w:p w14:paraId="57A018E4">
            <w:pPr>
              <w:pStyle w:val="44"/>
              <w:jc w:val="left"/>
              <w:rPr>
                <w:color w:val="auto"/>
              </w:rPr>
            </w:pPr>
            <w:r>
              <w:rPr>
                <w:color w:val="auto"/>
              </w:rPr>
              <w:t>4</w:t>
            </w:r>
            <w:r>
              <w:rPr>
                <w:rFonts w:hint="eastAsia"/>
                <w:color w:val="auto"/>
              </w:rPr>
              <w:t>）对重钢丝绳未安装防松绳装置或不灵敏，扣</w:t>
            </w:r>
            <w:r>
              <w:rPr>
                <w:color w:val="auto"/>
              </w:rPr>
              <w:t>5</w:t>
            </w:r>
            <w:r>
              <w:rPr>
                <w:rFonts w:hint="eastAsia"/>
                <w:color w:val="auto"/>
              </w:rPr>
              <w:t>分</w:t>
            </w:r>
          </w:p>
          <w:p w14:paraId="638FAAAD">
            <w:pPr>
              <w:pStyle w:val="44"/>
              <w:jc w:val="left"/>
              <w:rPr>
                <w:color w:val="auto"/>
              </w:rPr>
            </w:pPr>
            <w:r>
              <w:rPr>
                <w:color w:val="auto"/>
              </w:rPr>
              <w:t>5</w:t>
            </w:r>
            <w:r>
              <w:rPr>
                <w:rFonts w:hint="eastAsia"/>
                <w:color w:val="auto"/>
              </w:rPr>
              <w:t>）底架未安装吊笼和对重缓冲器或缓冲器不符合标准要求，扣</w:t>
            </w:r>
            <w:r>
              <w:rPr>
                <w:color w:val="auto"/>
              </w:rPr>
              <w:t>5</w:t>
            </w:r>
            <w:r>
              <w:rPr>
                <w:rFonts w:hint="eastAsia"/>
                <w:color w:val="auto"/>
              </w:rPr>
              <w:t>分</w:t>
            </w:r>
          </w:p>
          <w:p w14:paraId="63E8DDD1">
            <w:pPr>
              <w:pStyle w:val="44"/>
              <w:jc w:val="left"/>
              <w:rPr>
                <w:color w:val="auto"/>
              </w:rPr>
            </w:pPr>
            <w:r>
              <w:rPr>
                <w:color w:val="auto"/>
              </w:rPr>
              <w:t>6</w:t>
            </w:r>
            <w:r>
              <w:rPr>
                <w:rFonts w:hint="eastAsia"/>
                <w:color w:val="auto"/>
              </w:rPr>
              <w:t>）</w:t>
            </w:r>
            <w:r>
              <w:rPr>
                <w:color w:val="auto"/>
              </w:rPr>
              <w:t>SC</w:t>
            </w:r>
            <w:r>
              <w:rPr>
                <w:rFonts w:hint="eastAsia"/>
                <w:color w:val="auto"/>
              </w:rPr>
              <w:t>施工升降机未按规定安装安全钩，扣</w:t>
            </w:r>
            <w:r>
              <w:rPr>
                <w:color w:val="auto"/>
              </w:rPr>
              <w:t>10</w:t>
            </w:r>
            <w:r>
              <w:rPr>
                <w:rFonts w:hint="eastAsia"/>
                <w:color w:val="auto"/>
              </w:rPr>
              <w:t>分</w:t>
            </w:r>
          </w:p>
        </w:tc>
        <w:tc>
          <w:tcPr>
            <w:tcW w:w="720" w:type="dxa"/>
            <w:vAlign w:val="center"/>
          </w:tcPr>
          <w:p w14:paraId="038FEE61">
            <w:pPr>
              <w:pStyle w:val="44"/>
              <w:rPr>
                <w:color w:val="auto"/>
              </w:rPr>
            </w:pPr>
            <w:r>
              <w:rPr>
                <w:color w:val="auto"/>
              </w:rPr>
              <w:t>10</w:t>
            </w:r>
          </w:p>
        </w:tc>
        <w:tc>
          <w:tcPr>
            <w:tcW w:w="720" w:type="dxa"/>
            <w:vAlign w:val="center"/>
          </w:tcPr>
          <w:p w14:paraId="74F8B42C">
            <w:pPr>
              <w:pStyle w:val="44"/>
              <w:rPr>
                <w:color w:val="auto"/>
              </w:rPr>
            </w:pPr>
          </w:p>
        </w:tc>
        <w:tc>
          <w:tcPr>
            <w:tcW w:w="720" w:type="dxa"/>
            <w:vAlign w:val="center"/>
          </w:tcPr>
          <w:p w14:paraId="2B2DAEDE">
            <w:pPr>
              <w:pStyle w:val="44"/>
              <w:rPr>
                <w:color w:val="auto"/>
              </w:rPr>
            </w:pPr>
          </w:p>
        </w:tc>
      </w:tr>
      <w:tr w14:paraId="680DB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trPr>
        <w:tc>
          <w:tcPr>
            <w:tcW w:w="539" w:type="dxa"/>
            <w:vAlign w:val="center"/>
          </w:tcPr>
          <w:p w14:paraId="3D2A403A">
            <w:pPr>
              <w:pStyle w:val="44"/>
              <w:rPr>
                <w:color w:val="auto"/>
              </w:rPr>
            </w:pPr>
            <w:r>
              <w:rPr>
                <w:color w:val="auto"/>
              </w:rPr>
              <w:t>2</w:t>
            </w:r>
          </w:p>
        </w:tc>
        <w:tc>
          <w:tcPr>
            <w:tcW w:w="543" w:type="dxa"/>
            <w:vMerge w:val="continue"/>
          </w:tcPr>
          <w:p w14:paraId="64D8161F">
            <w:pPr>
              <w:pStyle w:val="44"/>
              <w:rPr>
                <w:color w:val="auto"/>
              </w:rPr>
            </w:pPr>
          </w:p>
        </w:tc>
        <w:tc>
          <w:tcPr>
            <w:tcW w:w="898" w:type="dxa"/>
            <w:vAlign w:val="center"/>
          </w:tcPr>
          <w:p w14:paraId="03CE90D7">
            <w:pPr>
              <w:pStyle w:val="44"/>
              <w:rPr>
                <w:color w:val="auto"/>
              </w:rPr>
            </w:pPr>
            <w:r>
              <w:rPr>
                <w:rFonts w:hint="eastAsia"/>
                <w:color w:val="auto"/>
              </w:rPr>
              <w:t>限位装置</w:t>
            </w:r>
          </w:p>
        </w:tc>
        <w:tc>
          <w:tcPr>
            <w:tcW w:w="5580" w:type="dxa"/>
            <w:vAlign w:val="center"/>
          </w:tcPr>
          <w:p w14:paraId="7D0563ED">
            <w:pPr>
              <w:pStyle w:val="44"/>
              <w:jc w:val="left"/>
              <w:rPr>
                <w:color w:val="auto"/>
              </w:rPr>
            </w:pPr>
            <w:r>
              <w:rPr>
                <w:color w:val="auto"/>
              </w:rPr>
              <w:t>1</w:t>
            </w:r>
            <w:r>
              <w:rPr>
                <w:rFonts w:hint="eastAsia"/>
                <w:color w:val="auto"/>
              </w:rPr>
              <w:t>）未安装非自动复位型极限开关或不灵敏，扣</w:t>
            </w:r>
            <w:r>
              <w:rPr>
                <w:color w:val="auto"/>
              </w:rPr>
              <w:t>10</w:t>
            </w:r>
            <w:r>
              <w:rPr>
                <w:rFonts w:hint="eastAsia"/>
                <w:color w:val="auto"/>
              </w:rPr>
              <w:t>分</w:t>
            </w:r>
          </w:p>
          <w:p w14:paraId="2C0C8183">
            <w:pPr>
              <w:pStyle w:val="44"/>
              <w:jc w:val="left"/>
              <w:rPr>
                <w:color w:val="auto"/>
              </w:rPr>
            </w:pPr>
            <w:r>
              <w:rPr>
                <w:color w:val="auto"/>
              </w:rPr>
              <w:t>2</w:t>
            </w:r>
            <w:r>
              <w:rPr>
                <w:rFonts w:hint="eastAsia"/>
                <w:color w:val="auto"/>
              </w:rPr>
              <w:t>）未安装自动复位型上、下限位开关或不灵敏，扣</w:t>
            </w:r>
            <w:r>
              <w:rPr>
                <w:color w:val="auto"/>
              </w:rPr>
              <w:t>10</w:t>
            </w:r>
            <w:r>
              <w:rPr>
                <w:rFonts w:hint="eastAsia"/>
                <w:color w:val="auto"/>
              </w:rPr>
              <w:t>分</w:t>
            </w:r>
          </w:p>
          <w:p w14:paraId="0B0EFCD3">
            <w:pPr>
              <w:pStyle w:val="44"/>
              <w:jc w:val="left"/>
              <w:rPr>
                <w:color w:val="auto"/>
              </w:rPr>
            </w:pPr>
            <w:r>
              <w:rPr>
                <w:color w:val="auto"/>
              </w:rPr>
              <w:t>3</w:t>
            </w:r>
            <w:r>
              <w:rPr>
                <w:rFonts w:hint="eastAsia"/>
                <w:color w:val="auto"/>
              </w:rPr>
              <w:t>）上极限开关与上限位开关安全越程不符合标准要求，扣</w:t>
            </w:r>
            <w:r>
              <w:rPr>
                <w:color w:val="auto"/>
              </w:rPr>
              <w:t>5</w:t>
            </w:r>
            <w:r>
              <w:rPr>
                <w:rFonts w:hint="eastAsia"/>
                <w:color w:val="auto"/>
              </w:rPr>
              <w:t>分</w:t>
            </w:r>
          </w:p>
          <w:p w14:paraId="5FFDE51D">
            <w:pPr>
              <w:pStyle w:val="44"/>
              <w:jc w:val="left"/>
              <w:rPr>
                <w:color w:val="auto"/>
              </w:rPr>
            </w:pPr>
            <w:r>
              <w:rPr>
                <w:color w:val="auto"/>
              </w:rPr>
              <w:t>4</w:t>
            </w:r>
            <w:r>
              <w:rPr>
                <w:rFonts w:hint="eastAsia"/>
                <w:color w:val="auto"/>
              </w:rPr>
              <w:t>）极限开关、限位开关共用一个触发元件，扣</w:t>
            </w:r>
            <w:r>
              <w:rPr>
                <w:color w:val="auto"/>
              </w:rPr>
              <w:t>5</w:t>
            </w:r>
            <w:r>
              <w:rPr>
                <w:rFonts w:hint="eastAsia"/>
                <w:color w:val="auto"/>
              </w:rPr>
              <w:t>分</w:t>
            </w:r>
          </w:p>
        </w:tc>
        <w:tc>
          <w:tcPr>
            <w:tcW w:w="720" w:type="dxa"/>
            <w:vAlign w:val="center"/>
          </w:tcPr>
          <w:p w14:paraId="128DBA08">
            <w:pPr>
              <w:pStyle w:val="44"/>
              <w:rPr>
                <w:color w:val="auto"/>
              </w:rPr>
            </w:pPr>
            <w:r>
              <w:rPr>
                <w:color w:val="auto"/>
              </w:rPr>
              <w:t>10</w:t>
            </w:r>
          </w:p>
        </w:tc>
        <w:tc>
          <w:tcPr>
            <w:tcW w:w="720" w:type="dxa"/>
            <w:vAlign w:val="center"/>
          </w:tcPr>
          <w:p w14:paraId="72F4F0C8">
            <w:pPr>
              <w:pStyle w:val="44"/>
              <w:rPr>
                <w:color w:val="auto"/>
              </w:rPr>
            </w:pPr>
          </w:p>
        </w:tc>
        <w:tc>
          <w:tcPr>
            <w:tcW w:w="720" w:type="dxa"/>
            <w:vAlign w:val="center"/>
          </w:tcPr>
          <w:p w14:paraId="4F7F5382">
            <w:pPr>
              <w:pStyle w:val="44"/>
              <w:rPr>
                <w:color w:val="auto"/>
              </w:rPr>
            </w:pPr>
          </w:p>
        </w:tc>
      </w:tr>
      <w:tr w14:paraId="017A3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5DA8FE97">
            <w:pPr>
              <w:pStyle w:val="44"/>
              <w:rPr>
                <w:color w:val="auto"/>
              </w:rPr>
            </w:pPr>
            <w:r>
              <w:rPr>
                <w:color w:val="auto"/>
              </w:rPr>
              <w:t>3</w:t>
            </w:r>
          </w:p>
        </w:tc>
        <w:tc>
          <w:tcPr>
            <w:tcW w:w="543" w:type="dxa"/>
            <w:vMerge w:val="continue"/>
          </w:tcPr>
          <w:p w14:paraId="0982A2D4">
            <w:pPr>
              <w:pStyle w:val="44"/>
              <w:rPr>
                <w:color w:val="auto"/>
              </w:rPr>
            </w:pPr>
          </w:p>
        </w:tc>
        <w:tc>
          <w:tcPr>
            <w:tcW w:w="898" w:type="dxa"/>
            <w:vAlign w:val="center"/>
          </w:tcPr>
          <w:p w14:paraId="76F1BE01">
            <w:pPr>
              <w:pStyle w:val="44"/>
              <w:rPr>
                <w:color w:val="auto"/>
              </w:rPr>
            </w:pPr>
            <w:r>
              <w:rPr>
                <w:rFonts w:hint="eastAsia"/>
                <w:color w:val="auto"/>
              </w:rPr>
              <w:t>防护设施</w:t>
            </w:r>
          </w:p>
        </w:tc>
        <w:tc>
          <w:tcPr>
            <w:tcW w:w="5580" w:type="dxa"/>
            <w:vAlign w:val="center"/>
          </w:tcPr>
          <w:p w14:paraId="7009568B">
            <w:pPr>
              <w:pStyle w:val="44"/>
              <w:jc w:val="left"/>
              <w:rPr>
                <w:color w:val="auto"/>
              </w:rPr>
            </w:pPr>
            <w:r>
              <w:rPr>
                <w:color w:val="auto"/>
              </w:rPr>
              <w:t>1</w:t>
            </w:r>
            <w:r>
              <w:rPr>
                <w:rFonts w:hint="eastAsia"/>
                <w:color w:val="auto"/>
              </w:rPr>
              <w:t>）吊笼和对重升降通道周围未设置防护围栏，扣</w:t>
            </w:r>
            <w:r>
              <w:rPr>
                <w:color w:val="auto"/>
              </w:rPr>
              <w:t>10</w:t>
            </w:r>
            <w:r>
              <w:rPr>
                <w:rFonts w:hint="eastAsia"/>
                <w:color w:val="auto"/>
              </w:rPr>
              <w:t>分；围栏高度小于</w:t>
            </w:r>
            <w:r>
              <w:rPr>
                <w:color w:val="auto"/>
              </w:rPr>
              <w:t>1.8m</w:t>
            </w:r>
            <w:r>
              <w:rPr>
                <w:rFonts w:hint="eastAsia"/>
                <w:color w:val="auto"/>
              </w:rPr>
              <w:t>，扣</w:t>
            </w:r>
            <w:r>
              <w:rPr>
                <w:color w:val="auto"/>
              </w:rPr>
              <w:t>5</w:t>
            </w:r>
            <w:r>
              <w:rPr>
                <w:rFonts w:hint="eastAsia"/>
                <w:color w:val="auto"/>
              </w:rPr>
              <w:t>分</w:t>
            </w:r>
          </w:p>
          <w:p w14:paraId="665AD7EA">
            <w:pPr>
              <w:pStyle w:val="44"/>
              <w:jc w:val="left"/>
              <w:rPr>
                <w:color w:val="auto"/>
              </w:rPr>
            </w:pPr>
            <w:r>
              <w:rPr>
                <w:color w:val="auto"/>
              </w:rPr>
              <w:t>2</w:t>
            </w:r>
            <w:r>
              <w:rPr>
                <w:rFonts w:hint="eastAsia"/>
                <w:color w:val="auto"/>
              </w:rPr>
              <w:t>）围栏门、吊笼门未安装机电连锁装置或不灵敏，扣</w:t>
            </w:r>
            <w:r>
              <w:rPr>
                <w:color w:val="auto"/>
              </w:rPr>
              <w:t>8</w:t>
            </w:r>
            <w:r>
              <w:rPr>
                <w:rFonts w:hint="eastAsia"/>
                <w:color w:val="auto"/>
              </w:rPr>
              <w:t>分</w:t>
            </w:r>
          </w:p>
          <w:p w14:paraId="5D31DB46">
            <w:pPr>
              <w:pStyle w:val="44"/>
              <w:jc w:val="left"/>
              <w:rPr>
                <w:color w:val="auto"/>
              </w:rPr>
            </w:pPr>
            <w:r>
              <w:rPr>
                <w:color w:val="auto"/>
              </w:rPr>
              <w:t>3</w:t>
            </w:r>
            <w:r>
              <w:rPr>
                <w:rFonts w:hint="eastAsia"/>
                <w:color w:val="auto"/>
              </w:rPr>
              <w:t>）停层平台两侧未设置防护栏杆、挡脚板，扣</w:t>
            </w:r>
            <w:r>
              <w:rPr>
                <w:color w:val="auto"/>
              </w:rPr>
              <w:t>10</w:t>
            </w:r>
            <w:r>
              <w:rPr>
                <w:rFonts w:hint="eastAsia"/>
                <w:color w:val="auto"/>
              </w:rPr>
              <w:t>分，设置不符合临边作业防护要求，扣</w:t>
            </w:r>
            <w:r>
              <w:rPr>
                <w:color w:val="auto"/>
              </w:rPr>
              <w:t>3-8</w:t>
            </w:r>
            <w:r>
              <w:rPr>
                <w:rFonts w:hint="eastAsia"/>
                <w:color w:val="auto"/>
              </w:rPr>
              <w:t>分</w:t>
            </w:r>
          </w:p>
          <w:p w14:paraId="482FFFD5">
            <w:pPr>
              <w:pStyle w:val="44"/>
              <w:jc w:val="left"/>
              <w:rPr>
                <w:color w:val="auto"/>
              </w:rPr>
            </w:pPr>
            <w:r>
              <w:rPr>
                <w:color w:val="auto"/>
              </w:rPr>
              <w:t>4</w:t>
            </w:r>
            <w:r>
              <w:rPr>
                <w:rFonts w:hint="eastAsia"/>
                <w:color w:val="auto"/>
              </w:rPr>
              <w:t>）停层平台面脚手板未满铺或未牢固固定，扣</w:t>
            </w:r>
            <w:r>
              <w:rPr>
                <w:color w:val="auto"/>
              </w:rPr>
              <w:t>10</w:t>
            </w:r>
            <w:r>
              <w:rPr>
                <w:rFonts w:hint="eastAsia"/>
                <w:color w:val="auto"/>
              </w:rPr>
              <w:t>分</w:t>
            </w:r>
          </w:p>
          <w:p w14:paraId="3C102611">
            <w:pPr>
              <w:pStyle w:val="44"/>
              <w:jc w:val="left"/>
              <w:rPr>
                <w:color w:val="auto"/>
              </w:rPr>
            </w:pPr>
            <w:r>
              <w:rPr>
                <w:color w:val="auto"/>
              </w:rPr>
              <w:t>5</w:t>
            </w:r>
            <w:r>
              <w:rPr>
                <w:rFonts w:hint="eastAsia"/>
                <w:color w:val="auto"/>
              </w:rPr>
              <w:t>）未安装层门或层门不起作用，扣</w:t>
            </w:r>
            <w:r>
              <w:rPr>
                <w:color w:val="auto"/>
              </w:rPr>
              <w:t>10</w:t>
            </w:r>
            <w:r>
              <w:rPr>
                <w:rFonts w:hint="eastAsia"/>
                <w:color w:val="auto"/>
              </w:rPr>
              <w:t>分；未实现定型化，扣</w:t>
            </w:r>
            <w:r>
              <w:rPr>
                <w:color w:val="auto"/>
              </w:rPr>
              <w:t>3</w:t>
            </w:r>
            <w:r>
              <w:rPr>
                <w:rFonts w:hint="eastAsia"/>
                <w:color w:val="auto"/>
              </w:rPr>
              <w:t>分</w:t>
            </w:r>
          </w:p>
          <w:p w14:paraId="6BB060A6">
            <w:pPr>
              <w:pStyle w:val="44"/>
              <w:jc w:val="left"/>
              <w:rPr>
                <w:color w:val="auto"/>
              </w:rPr>
            </w:pPr>
            <w:r>
              <w:rPr>
                <w:color w:val="auto"/>
              </w:rPr>
              <w:t>6</w:t>
            </w:r>
            <w:r>
              <w:rPr>
                <w:rFonts w:hint="eastAsia"/>
                <w:color w:val="auto"/>
              </w:rPr>
              <w:t>）层门高度不符合标准要求，扣</w:t>
            </w:r>
            <w:r>
              <w:rPr>
                <w:color w:val="auto"/>
              </w:rPr>
              <w:t>3-5</w:t>
            </w:r>
            <w:r>
              <w:rPr>
                <w:rFonts w:hint="eastAsia"/>
                <w:color w:val="auto"/>
              </w:rPr>
              <w:t>分</w:t>
            </w:r>
          </w:p>
          <w:p w14:paraId="455BACF3">
            <w:pPr>
              <w:pStyle w:val="44"/>
              <w:jc w:val="left"/>
              <w:rPr>
                <w:color w:val="auto"/>
              </w:rPr>
            </w:pPr>
            <w:r>
              <w:rPr>
                <w:color w:val="auto"/>
              </w:rPr>
              <w:t>7</w:t>
            </w:r>
            <w:r>
              <w:rPr>
                <w:rFonts w:hint="eastAsia"/>
                <w:color w:val="auto"/>
              </w:rPr>
              <w:t>）层门安装不牢固或承载力不足，扣</w:t>
            </w:r>
            <w:r>
              <w:rPr>
                <w:color w:val="auto"/>
              </w:rPr>
              <w:t>5-10</w:t>
            </w:r>
            <w:r>
              <w:rPr>
                <w:rFonts w:hint="eastAsia"/>
                <w:color w:val="auto"/>
              </w:rPr>
              <w:t>分</w:t>
            </w:r>
          </w:p>
          <w:p w14:paraId="410D4873">
            <w:pPr>
              <w:pStyle w:val="44"/>
              <w:jc w:val="left"/>
              <w:rPr>
                <w:color w:val="auto"/>
              </w:rPr>
            </w:pPr>
            <w:r>
              <w:rPr>
                <w:color w:val="auto"/>
              </w:rPr>
              <w:t>8</w:t>
            </w:r>
            <w:r>
              <w:rPr>
                <w:rFonts w:hint="eastAsia"/>
                <w:color w:val="auto"/>
              </w:rPr>
              <w:t>）地面进出口未设置防护棚，扣</w:t>
            </w:r>
            <w:r>
              <w:rPr>
                <w:color w:val="auto"/>
              </w:rPr>
              <w:t>10</w:t>
            </w:r>
            <w:r>
              <w:rPr>
                <w:rFonts w:hint="eastAsia"/>
                <w:color w:val="auto"/>
              </w:rPr>
              <w:t>分；设置不符合标准要求，扣</w:t>
            </w:r>
            <w:r>
              <w:rPr>
                <w:color w:val="auto"/>
              </w:rPr>
              <w:t>3-5</w:t>
            </w:r>
            <w:r>
              <w:rPr>
                <w:rFonts w:hint="eastAsia"/>
                <w:color w:val="auto"/>
              </w:rPr>
              <w:t>分</w:t>
            </w:r>
          </w:p>
        </w:tc>
        <w:tc>
          <w:tcPr>
            <w:tcW w:w="720" w:type="dxa"/>
            <w:vAlign w:val="center"/>
          </w:tcPr>
          <w:p w14:paraId="42E7ADAA">
            <w:pPr>
              <w:pStyle w:val="44"/>
              <w:rPr>
                <w:color w:val="auto"/>
              </w:rPr>
            </w:pPr>
            <w:r>
              <w:rPr>
                <w:color w:val="auto"/>
              </w:rPr>
              <w:t>10</w:t>
            </w:r>
          </w:p>
        </w:tc>
        <w:tc>
          <w:tcPr>
            <w:tcW w:w="720" w:type="dxa"/>
            <w:vAlign w:val="center"/>
          </w:tcPr>
          <w:p w14:paraId="6A4CF9B2">
            <w:pPr>
              <w:pStyle w:val="44"/>
              <w:rPr>
                <w:color w:val="auto"/>
              </w:rPr>
            </w:pPr>
          </w:p>
        </w:tc>
        <w:tc>
          <w:tcPr>
            <w:tcW w:w="720" w:type="dxa"/>
            <w:vAlign w:val="center"/>
          </w:tcPr>
          <w:p w14:paraId="3176633F">
            <w:pPr>
              <w:pStyle w:val="44"/>
              <w:rPr>
                <w:color w:val="auto"/>
              </w:rPr>
            </w:pPr>
          </w:p>
        </w:tc>
      </w:tr>
      <w:tr w14:paraId="7941D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291BC245">
            <w:pPr>
              <w:pStyle w:val="44"/>
              <w:rPr>
                <w:color w:val="auto"/>
              </w:rPr>
            </w:pPr>
            <w:r>
              <w:rPr>
                <w:color w:val="auto"/>
              </w:rPr>
              <w:t>4</w:t>
            </w:r>
          </w:p>
        </w:tc>
        <w:tc>
          <w:tcPr>
            <w:tcW w:w="543" w:type="dxa"/>
            <w:vMerge w:val="continue"/>
          </w:tcPr>
          <w:p w14:paraId="4B26D4FC">
            <w:pPr>
              <w:pStyle w:val="44"/>
              <w:rPr>
                <w:color w:val="auto"/>
              </w:rPr>
            </w:pPr>
          </w:p>
        </w:tc>
        <w:tc>
          <w:tcPr>
            <w:tcW w:w="898" w:type="dxa"/>
            <w:vAlign w:val="center"/>
          </w:tcPr>
          <w:p w14:paraId="284840BE">
            <w:pPr>
              <w:pStyle w:val="44"/>
              <w:rPr>
                <w:color w:val="auto"/>
              </w:rPr>
            </w:pPr>
            <w:r>
              <w:rPr>
                <w:rFonts w:hint="eastAsia"/>
                <w:color w:val="auto"/>
              </w:rPr>
              <w:t>附墙架</w:t>
            </w:r>
          </w:p>
        </w:tc>
        <w:tc>
          <w:tcPr>
            <w:tcW w:w="5580" w:type="dxa"/>
            <w:vAlign w:val="center"/>
          </w:tcPr>
          <w:p w14:paraId="69C50EAC">
            <w:pPr>
              <w:pStyle w:val="44"/>
              <w:jc w:val="left"/>
              <w:rPr>
                <w:color w:val="auto"/>
              </w:rPr>
            </w:pPr>
            <w:r>
              <w:rPr>
                <w:color w:val="auto"/>
              </w:rPr>
              <w:t>1</w:t>
            </w:r>
            <w:r>
              <w:rPr>
                <w:rFonts w:hint="eastAsia"/>
                <w:color w:val="auto"/>
              </w:rPr>
              <w:t>）附墙架采用非配套标准产品时未进行设计计算，扣</w:t>
            </w:r>
            <w:r>
              <w:rPr>
                <w:color w:val="auto"/>
              </w:rPr>
              <w:t>10</w:t>
            </w:r>
            <w:r>
              <w:rPr>
                <w:rFonts w:hint="eastAsia"/>
                <w:color w:val="auto"/>
              </w:rPr>
              <w:t>分</w:t>
            </w:r>
          </w:p>
          <w:p w14:paraId="2503D7CE">
            <w:pPr>
              <w:pStyle w:val="44"/>
              <w:jc w:val="left"/>
              <w:rPr>
                <w:color w:val="auto"/>
              </w:rPr>
            </w:pPr>
            <w:r>
              <w:rPr>
                <w:color w:val="auto"/>
              </w:rPr>
              <w:t>2</w:t>
            </w:r>
            <w:r>
              <w:rPr>
                <w:rFonts w:hint="eastAsia"/>
                <w:color w:val="auto"/>
              </w:rPr>
              <w:t>）附墙架与结构物连接方式、角度不符合产品说明书要求或连接不牢固，扣</w:t>
            </w:r>
            <w:r>
              <w:rPr>
                <w:color w:val="auto"/>
              </w:rPr>
              <w:t>5</w:t>
            </w:r>
            <w:r>
              <w:rPr>
                <w:rFonts w:hint="eastAsia"/>
                <w:color w:val="auto"/>
              </w:rPr>
              <w:t>～</w:t>
            </w:r>
            <w:r>
              <w:rPr>
                <w:color w:val="auto"/>
              </w:rPr>
              <w:t>10</w:t>
            </w:r>
            <w:r>
              <w:rPr>
                <w:rFonts w:hint="eastAsia"/>
                <w:color w:val="auto"/>
              </w:rPr>
              <w:t>分</w:t>
            </w:r>
          </w:p>
          <w:p w14:paraId="7AC7EB2C">
            <w:pPr>
              <w:pStyle w:val="44"/>
              <w:jc w:val="left"/>
              <w:rPr>
                <w:color w:val="auto"/>
              </w:rPr>
            </w:pPr>
            <w:r>
              <w:rPr>
                <w:color w:val="auto"/>
              </w:rPr>
              <w:t>3</w:t>
            </w:r>
            <w:r>
              <w:rPr>
                <w:rFonts w:hint="eastAsia"/>
                <w:color w:val="auto"/>
              </w:rPr>
              <w:t>）附墙架间距、最高附着点以上导轨架的自由高度超过产品说明书要求，扣</w:t>
            </w:r>
            <w:r>
              <w:rPr>
                <w:color w:val="auto"/>
              </w:rPr>
              <w:t>10</w:t>
            </w:r>
            <w:r>
              <w:rPr>
                <w:rFonts w:hint="eastAsia"/>
                <w:color w:val="auto"/>
              </w:rPr>
              <w:t>分。</w:t>
            </w:r>
          </w:p>
        </w:tc>
        <w:tc>
          <w:tcPr>
            <w:tcW w:w="720" w:type="dxa"/>
            <w:vAlign w:val="center"/>
          </w:tcPr>
          <w:p w14:paraId="4DB40190">
            <w:pPr>
              <w:pStyle w:val="44"/>
              <w:rPr>
                <w:color w:val="auto"/>
              </w:rPr>
            </w:pPr>
            <w:r>
              <w:rPr>
                <w:color w:val="auto"/>
              </w:rPr>
              <w:t>10</w:t>
            </w:r>
          </w:p>
        </w:tc>
        <w:tc>
          <w:tcPr>
            <w:tcW w:w="720" w:type="dxa"/>
            <w:vAlign w:val="center"/>
          </w:tcPr>
          <w:p w14:paraId="46DB0EB2">
            <w:pPr>
              <w:pStyle w:val="44"/>
              <w:rPr>
                <w:color w:val="auto"/>
              </w:rPr>
            </w:pPr>
          </w:p>
        </w:tc>
        <w:tc>
          <w:tcPr>
            <w:tcW w:w="720" w:type="dxa"/>
            <w:vAlign w:val="center"/>
          </w:tcPr>
          <w:p w14:paraId="17C0032C">
            <w:pPr>
              <w:pStyle w:val="44"/>
              <w:rPr>
                <w:color w:val="auto"/>
              </w:rPr>
            </w:pPr>
          </w:p>
        </w:tc>
      </w:tr>
      <w:tr w14:paraId="794DA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trPr>
        <w:tc>
          <w:tcPr>
            <w:tcW w:w="539" w:type="dxa"/>
            <w:vAlign w:val="center"/>
          </w:tcPr>
          <w:p w14:paraId="1015D05D">
            <w:pPr>
              <w:pStyle w:val="44"/>
              <w:rPr>
                <w:color w:val="auto"/>
              </w:rPr>
            </w:pPr>
            <w:r>
              <w:rPr>
                <w:color w:val="auto"/>
              </w:rPr>
              <w:t>5</w:t>
            </w:r>
          </w:p>
        </w:tc>
        <w:tc>
          <w:tcPr>
            <w:tcW w:w="543" w:type="dxa"/>
            <w:vMerge w:val="continue"/>
          </w:tcPr>
          <w:p w14:paraId="51A1F405">
            <w:pPr>
              <w:pStyle w:val="44"/>
              <w:rPr>
                <w:color w:val="auto"/>
              </w:rPr>
            </w:pPr>
          </w:p>
        </w:tc>
        <w:tc>
          <w:tcPr>
            <w:tcW w:w="898" w:type="dxa"/>
            <w:vAlign w:val="center"/>
          </w:tcPr>
          <w:p w14:paraId="528FA0BD">
            <w:pPr>
              <w:pStyle w:val="44"/>
              <w:rPr>
                <w:color w:val="auto"/>
              </w:rPr>
            </w:pPr>
            <w:r>
              <w:rPr>
                <w:rFonts w:hint="eastAsia"/>
                <w:color w:val="auto"/>
              </w:rPr>
              <w:t>钢丝绳、滑轮与对重</w:t>
            </w:r>
          </w:p>
        </w:tc>
        <w:tc>
          <w:tcPr>
            <w:tcW w:w="5580" w:type="dxa"/>
            <w:vAlign w:val="center"/>
          </w:tcPr>
          <w:p w14:paraId="060B6832">
            <w:pPr>
              <w:pStyle w:val="44"/>
              <w:jc w:val="left"/>
              <w:rPr>
                <w:color w:val="auto"/>
              </w:rPr>
            </w:pPr>
            <w:r>
              <w:rPr>
                <w:color w:val="auto"/>
              </w:rPr>
              <w:t>1</w:t>
            </w:r>
            <w:r>
              <w:rPr>
                <w:rFonts w:hint="eastAsia"/>
                <w:color w:val="auto"/>
              </w:rPr>
              <w:t>）对重钢丝绳数少于</w:t>
            </w:r>
            <w:r>
              <w:rPr>
                <w:color w:val="auto"/>
              </w:rPr>
              <w:t>2</w:t>
            </w:r>
            <w:r>
              <w:rPr>
                <w:rFonts w:hint="eastAsia"/>
                <w:color w:val="auto"/>
              </w:rPr>
              <w:t>根或未相对独立，扣</w:t>
            </w:r>
            <w:r>
              <w:rPr>
                <w:color w:val="auto"/>
              </w:rPr>
              <w:t>5</w:t>
            </w:r>
            <w:r>
              <w:rPr>
                <w:rFonts w:hint="eastAsia"/>
                <w:color w:val="auto"/>
              </w:rPr>
              <w:t>分</w:t>
            </w:r>
          </w:p>
          <w:p w14:paraId="4ACF56CD">
            <w:pPr>
              <w:pStyle w:val="44"/>
              <w:jc w:val="left"/>
              <w:rPr>
                <w:color w:val="auto"/>
              </w:rPr>
            </w:pPr>
            <w:r>
              <w:rPr>
                <w:color w:val="auto"/>
              </w:rPr>
              <w:t>2</w:t>
            </w:r>
            <w:r>
              <w:rPr>
                <w:rFonts w:hint="eastAsia"/>
                <w:color w:val="auto"/>
              </w:rPr>
              <w:t>）钢丝绳磨损、断丝、变形、锈蚀达到报废标准，扣</w:t>
            </w:r>
            <w:r>
              <w:rPr>
                <w:color w:val="auto"/>
              </w:rPr>
              <w:t>10</w:t>
            </w:r>
            <w:r>
              <w:rPr>
                <w:rFonts w:hint="eastAsia"/>
                <w:color w:val="auto"/>
              </w:rPr>
              <w:t>分</w:t>
            </w:r>
          </w:p>
          <w:p w14:paraId="17B15A9F">
            <w:pPr>
              <w:pStyle w:val="44"/>
              <w:jc w:val="left"/>
              <w:rPr>
                <w:color w:val="auto"/>
              </w:rPr>
            </w:pPr>
            <w:r>
              <w:rPr>
                <w:color w:val="auto"/>
              </w:rPr>
              <w:t>3</w:t>
            </w:r>
            <w:r>
              <w:rPr>
                <w:rFonts w:hint="eastAsia"/>
                <w:color w:val="auto"/>
              </w:rPr>
              <w:t>）钢丝绳的规格、型号不符合产品说明书要求或穿绕不正确，扣</w:t>
            </w:r>
            <w:r>
              <w:rPr>
                <w:color w:val="auto"/>
              </w:rPr>
              <w:t>10</w:t>
            </w:r>
            <w:r>
              <w:rPr>
                <w:rFonts w:hint="eastAsia"/>
                <w:color w:val="auto"/>
              </w:rPr>
              <w:t>分</w:t>
            </w:r>
          </w:p>
          <w:p w14:paraId="4E8CBD91">
            <w:pPr>
              <w:pStyle w:val="44"/>
              <w:jc w:val="left"/>
              <w:rPr>
                <w:color w:val="auto"/>
              </w:rPr>
            </w:pPr>
            <w:r>
              <w:rPr>
                <w:color w:val="auto"/>
              </w:rPr>
              <w:t>4</w:t>
            </w:r>
            <w:r>
              <w:rPr>
                <w:rFonts w:hint="eastAsia"/>
                <w:color w:val="auto"/>
              </w:rPr>
              <w:t>）钢丝绳的端部固接不符合标准要求，扣</w:t>
            </w:r>
            <w:r>
              <w:rPr>
                <w:color w:val="auto"/>
              </w:rPr>
              <w:t>10</w:t>
            </w:r>
            <w:r>
              <w:rPr>
                <w:rFonts w:hint="eastAsia"/>
                <w:color w:val="auto"/>
              </w:rPr>
              <w:t>分</w:t>
            </w:r>
          </w:p>
          <w:p w14:paraId="72C7E297">
            <w:pPr>
              <w:pStyle w:val="44"/>
              <w:jc w:val="left"/>
              <w:rPr>
                <w:color w:val="auto"/>
              </w:rPr>
            </w:pPr>
            <w:r>
              <w:rPr>
                <w:color w:val="auto"/>
              </w:rPr>
              <w:t>5</w:t>
            </w:r>
            <w:r>
              <w:rPr>
                <w:rFonts w:hint="eastAsia"/>
                <w:color w:val="auto"/>
              </w:rPr>
              <w:t>）滑轮未设置钢丝绳防脱装置或不符合标准要求，扣</w:t>
            </w:r>
            <w:r>
              <w:rPr>
                <w:color w:val="auto"/>
              </w:rPr>
              <w:t>5</w:t>
            </w:r>
            <w:r>
              <w:rPr>
                <w:rFonts w:hint="eastAsia"/>
                <w:color w:val="auto"/>
              </w:rPr>
              <w:t>分</w:t>
            </w:r>
          </w:p>
          <w:p w14:paraId="731A827C">
            <w:pPr>
              <w:pStyle w:val="44"/>
              <w:jc w:val="left"/>
              <w:rPr>
                <w:color w:val="auto"/>
              </w:rPr>
            </w:pPr>
            <w:r>
              <w:rPr>
                <w:color w:val="auto"/>
              </w:rPr>
              <w:t>6</w:t>
            </w:r>
            <w:r>
              <w:rPr>
                <w:rFonts w:hint="eastAsia"/>
                <w:color w:val="auto"/>
              </w:rPr>
              <w:t>）对重重量、固定不符合产品说明书要求，扣</w:t>
            </w:r>
            <w:r>
              <w:rPr>
                <w:color w:val="auto"/>
              </w:rPr>
              <w:t>10</w:t>
            </w:r>
            <w:r>
              <w:rPr>
                <w:rFonts w:hint="eastAsia"/>
                <w:color w:val="auto"/>
              </w:rPr>
              <w:t>分</w:t>
            </w:r>
          </w:p>
          <w:p w14:paraId="1A2B246E">
            <w:pPr>
              <w:pStyle w:val="44"/>
              <w:jc w:val="left"/>
              <w:rPr>
                <w:color w:val="auto"/>
              </w:rPr>
            </w:pPr>
            <w:r>
              <w:rPr>
                <w:color w:val="auto"/>
              </w:rPr>
              <w:t>7</w:t>
            </w:r>
            <w:r>
              <w:rPr>
                <w:rFonts w:hint="eastAsia"/>
                <w:color w:val="auto"/>
              </w:rPr>
              <w:t>）对重未设置防脱轨保护装置，扣</w:t>
            </w:r>
            <w:r>
              <w:rPr>
                <w:color w:val="auto"/>
              </w:rPr>
              <w:t>5</w:t>
            </w:r>
            <w:r>
              <w:rPr>
                <w:rFonts w:hint="eastAsia"/>
                <w:color w:val="auto"/>
              </w:rPr>
              <w:t>分</w:t>
            </w:r>
          </w:p>
        </w:tc>
        <w:tc>
          <w:tcPr>
            <w:tcW w:w="720" w:type="dxa"/>
            <w:vAlign w:val="center"/>
          </w:tcPr>
          <w:p w14:paraId="49D5AB49">
            <w:pPr>
              <w:pStyle w:val="44"/>
              <w:rPr>
                <w:color w:val="auto"/>
              </w:rPr>
            </w:pPr>
            <w:r>
              <w:rPr>
                <w:color w:val="auto"/>
              </w:rPr>
              <w:t>10</w:t>
            </w:r>
          </w:p>
        </w:tc>
        <w:tc>
          <w:tcPr>
            <w:tcW w:w="720" w:type="dxa"/>
            <w:vAlign w:val="center"/>
          </w:tcPr>
          <w:p w14:paraId="3442D39A">
            <w:pPr>
              <w:pStyle w:val="44"/>
              <w:rPr>
                <w:color w:val="auto"/>
              </w:rPr>
            </w:pPr>
          </w:p>
        </w:tc>
        <w:tc>
          <w:tcPr>
            <w:tcW w:w="720" w:type="dxa"/>
            <w:vAlign w:val="center"/>
          </w:tcPr>
          <w:p w14:paraId="36909D6C">
            <w:pPr>
              <w:pStyle w:val="44"/>
              <w:rPr>
                <w:color w:val="auto"/>
              </w:rPr>
            </w:pPr>
          </w:p>
        </w:tc>
      </w:tr>
      <w:tr w14:paraId="33979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751597B9">
            <w:pPr>
              <w:pStyle w:val="44"/>
              <w:rPr>
                <w:color w:val="auto"/>
              </w:rPr>
            </w:pPr>
            <w:r>
              <w:rPr>
                <w:color w:val="auto"/>
              </w:rPr>
              <w:t>6</w:t>
            </w:r>
          </w:p>
        </w:tc>
        <w:tc>
          <w:tcPr>
            <w:tcW w:w="543" w:type="dxa"/>
            <w:vMerge w:val="continue"/>
            <w:vAlign w:val="center"/>
          </w:tcPr>
          <w:p w14:paraId="3F08F4EB">
            <w:pPr>
              <w:pStyle w:val="44"/>
              <w:rPr>
                <w:color w:val="auto"/>
              </w:rPr>
            </w:pPr>
          </w:p>
        </w:tc>
        <w:tc>
          <w:tcPr>
            <w:tcW w:w="898" w:type="dxa"/>
            <w:vAlign w:val="center"/>
          </w:tcPr>
          <w:p w14:paraId="2D192A3F">
            <w:pPr>
              <w:pStyle w:val="44"/>
              <w:rPr>
                <w:color w:val="auto"/>
              </w:rPr>
            </w:pPr>
            <w:r>
              <w:rPr>
                <w:rFonts w:hint="eastAsia"/>
                <w:color w:val="auto"/>
              </w:rPr>
              <w:t>安装、拆卸与验收</w:t>
            </w:r>
          </w:p>
        </w:tc>
        <w:tc>
          <w:tcPr>
            <w:tcW w:w="5580" w:type="dxa"/>
            <w:vAlign w:val="center"/>
          </w:tcPr>
          <w:p w14:paraId="38299187">
            <w:pPr>
              <w:pStyle w:val="44"/>
              <w:jc w:val="left"/>
              <w:rPr>
                <w:color w:val="auto"/>
              </w:rPr>
            </w:pPr>
            <w:r>
              <w:rPr>
                <w:color w:val="auto"/>
              </w:rPr>
              <w:t>1</w:t>
            </w:r>
            <w:r>
              <w:rPr>
                <w:rFonts w:hint="eastAsia"/>
                <w:color w:val="auto"/>
              </w:rPr>
              <w:t>）无制造许可证、产品合格证、备案证明和产品说明书，扣</w:t>
            </w:r>
            <w:r>
              <w:rPr>
                <w:color w:val="auto"/>
              </w:rPr>
              <w:t>10</w:t>
            </w:r>
            <w:r>
              <w:rPr>
                <w:rFonts w:hint="eastAsia"/>
                <w:color w:val="auto"/>
              </w:rPr>
              <w:t>分</w:t>
            </w:r>
          </w:p>
          <w:p w14:paraId="493FADFF">
            <w:pPr>
              <w:pStyle w:val="44"/>
              <w:jc w:val="left"/>
              <w:rPr>
                <w:color w:val="auto"/>
              </w:rPr>
            </w:pPr>
            <w:r>
              <w:rPr>
                <w:color w:val="auto"/>
              </w:rPr>
              <w:t>2</w:t>
            </w:r>
            <w:r>
              <w:rPr>
                <w:rFonts w:hint="eastAsia"/>
                <w:color w:val="auto"/>
              </w:rPr>
              <w:t>）安装、拆卸单位未取得设备安装工程专业承包资质和安全生产许可证，扣</w:t>
            </w:r>
            <w:r>
              <w:rPr>
                <w:color w:val="auto"/>
              </w:rPr>
              <w:t>10</w:t>
            </w:r>
            <w:r>
              <w:rPr>
                <w:rFonts w:hint="eastAsia"/>
                <w:color w:val="auto"/>
              </w:rPr>
              <w:t>分</w:t>
            </w:r>
          </w:p>
          <w:p w14:paraId="08F234F5">
            <w:pPr>
              <w:pStyle w:val="44"/>
              <w:jc w:val="left"/>
              <w:rPr>
                <w:color w:val="auto"/>
              </w:rPr>
            </w:pPr>
            <w:r>
              <w:rPr>
                <w:color w:val="auto"/>
              </w:rPr>
              <w:t>3</w:t>
            </w:r>
            <w:r>
              <w:rPr>
                <w:rFonts w:hint="eastAsia"/>
                <w:color w:val="auto"/>
              </w:rPr>
              <w:t>）安装、拆卸作业人员未取得特种作业资格证书，扣</w:t>
            </w:r>
            <w:r>
              <w:rPr>
                <w:color w:val="auto"/>
              </w:rPr>
              <w:t>10</w:t>
            </w:r>
            <w:r>
              <w:rPr>
                <w:rFonts w:hint="eastAsia"/>
                <w:color w:val="auto"/>
              </w:rPr>
              <w:t>分</w:t>
            </w:r>
          </w:p>
          <w:p w14:paraId="3EB47AA7">
            <w:pPr>
              <w:pStyle w:val="44"/>
              <w:jc w:val="left"/>
              <w:rPr>
                <w:color w:val="auto"/>
              </w:rPr>
            </w:pPr>
            <w:r>
              <w:rPr>
                <w:color w:val="auto"/>
              </w:rPr>
              <w:t>4</w:t>
            </w:r>
            <w:r>
              <w:rPr>
                <w:rFonts w:hint="eastAsia"/>
                <w:color w:val="auto"/>
              </w:rPr>
              <w:t>）未编制安装、拆卸专项施工方案或未经审核、审批，扣</w:t>
            </w:r>
            <w:r>
              <w:rPr>
                <w:color w:val="auto"/>
              </w:rPr>
              <w:t>10</w:t>
            </w:r>
            <w:r>
              <w:rPr>
                <w:rFonts w:hint="eastAsia"/>
                <w:color w:val="auto"/>
              </w:rPr>
              <w:t>分</w:t>
            </w:r>
          </w:p>
          <w:p w14:paraId="63B74CD2">
            <w:pPr>
              <w:pStyle w:val="44"/>
              <w:jc w:val="left"/>
              <w:rPr>
                <w:color w:val="auto"/>
              </w:rPr>
            </w:pPr>
            <w:r>
              <w:rPr>
                <w:color w:val="auto"/>
              </w:rPr>
              <w:t>5</w:t>
            </w:r>
            <w:r>
              <w:rPr>
                <w:rFonts w:hint="eastAsia"/>
                <w:color w:val="auto"/>
              </w:rPr>
              <w:t>）未履行验收程序或未经责任人签字确认，扣</w:t>
            </w:r>
            <w:r>
              <w:rPr>
                <w:color w:val="auto"/>
              </w:rPr>
              <w:t>10</w:t>
            </w:r>
            <w:r>
              <w:rPr>
                <w:rFonts w:hint="eastAsia"/>
                <w:color w:val="auto"/>
              </w:rPr>
              <w:t>分；</w:t>
            </w:r>
          </w:p>
          <w:p w14:paraId="17FE36AE">
            <w:pPr>
              <w:pStyle w:val="44"/>
              <w:jc w:val="left"/>
              <w:rPr>
                <w:color w:val="auto"/>
              </w:rPr>
            </w:pPr>
            <w:r>
              <w:rPr>
                <w:color w:val="auto"/>
              </w:rPr>
              <w:t>6</w:t>
            </w:r>
            <w:r>
              <w:rPr>
                <w:rFonts w:hint="eastAsia"/>
                <w:color w:val="auto"/>
              </w:rPr>
              <w:t>）验收后未办理使用登记，扣</w:t>
            </w:r>
            <w:r>
              <w:rPr>
                <w:color w:val="auto"/>
              </w:rPr>
              <w:t>5</w:t>
            </w:r>
            <w:r>
              <w:rPr>
                <w:rFonts w:hint="eastAsia"/>
                <w:color w:val="auto"/>
              </w:rPr>
              <w:t>分；</w:t>
            </w:r>
          </w:p>
        </w:tc>
        <w:tc>
          <w:tcPr>
            <w:tcW w:w="720" w:type="dxa"/>
            <w:vAlign w:val="center"/>
          </w:tcPr>
          <w:p w14:paraId="4D92387D">
            <w:pPr>
              <w:pStyle w:val="44"/>
              <w:rPr>
                <w:color w:val="auto"/>
              </w:rPr>
            </w:pPr>
            <w:r>
              <w:rPr>
                <w:color w:val="auto"/>
              </w:rPr>
              <w:t>10</w:t>
            </w:r>
          </w:p>
        </w:tc>
        <w:tc>
          <w:tcPr>
            <w:tcW w:w="720" w:type="dxa"/>
            <w:vAlign w:val="center"/>
          </w:tcPr>
          <w:p w14:paraId="1B31B417">
            <w:pPr>
              <w:pStyle w:val="44"/>
              <w:rPr>
                <w:color w:val="auto"/>
              </w:rPr>
            </w:pPr>
          </w:p>
        </w:tc>
        <w:tc>
          <w:tcPr>
            <w:tcW w:w="720" w:type="dxa"/>
            <w:vAlign w:val="center"/>
          </w:tcPr>
          <w:p w14:paraId="44407793">
            <w:pPr>
              <w:pStyle w:val="44"/>
              <w:rPr>
                <w:color w:val="auto"/>
              </w:rPr>
            </w:pPr>
          </w:p>
        </w:tc>
      </w:tr>
      <w:tr w14:paraId="6701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1324862F">
            <w:pPr>
              <w:pStyle w:val="44"/>
              <w:rPr>
                <w:color w:val="auto"/>
              </w:rPr>
            </w:pPr>
            <w:r>
              <w:rPr>
                <w:color w:val="auto"/>
              </w:rPr>
              <w:t>7</w:t>
            </w:r>
          </w:p>
        </w:tc>
        <w:tc>
          <w:tcPr>
            <w:tcW w:w="543" w:type="dxa"/>
            <w:vMerge w:val="continue"/>
          </w:tcPr>
          <w:p w14:paraId="6C3BC0C7">
            <w:pPr>
              <w:pStyle w:val="44"/>
              <w:rPr>
                <w:color w:val="auto"/>
              </w:rPr>
            </w:pPr>
          </w:p>
        </w:tc>
        <w:tc>
          <w:tcPr>
            <w:tcW w:w="898" w:type="dxa"/>
            <w:vAlign w:val="center"/>
          </w:tcPr>
          <w:p w14:paraId="5D8097B3">
            <w:pPr>
              <w:pStyle w:val="44"/>
              <w:rPr>
                <w:color w:val="auto"/>
              </w:rPr>
            </w:pPr>
            <w:r>
              <w:rPr>
                <w:rFonts w:hint="eastAsia"/>
                <w:color w:val="auto"/>
              </w:rPr>
              <w:t>使用</w:t>
            </w:r>
          </w:p>
        </w:tc>
        <w:tc>
          <w:tcPr>
            <w:tcW w:w="5580" w:type="dxa"/>
            <w:vAlign w:val="center"/>
          </w:tcPr>
          <w:p w14:paraId="7A1E4D33">
            <w:pPr>
              <w:pStyle w:val="44"/>
              <w:jc w:val="left"/>
              <w:rPr>
                <w:color w:val="auto"/>
              </w:rPr>
            </w:pPr>
            <w:r>
              <w:rPr>
                <w:color w:val="auto"/>
              </w:rPr>
              <w:t>1</w:t>
            </w:r>
            <w:r>
              <w:rPr>
                <w:rFonts w:hint="eastAsia"/>
                <w:color w:val="auto"/>
              </w:rPr>
              <w:t>）司机未取得特种作业资格证书，扣</w:t>
            </w:r>
            <w:r>
              <w:rPr>
                <w:color w:val="auto"/>
              </w:rPr>
              <w:t>10</w:t>
            </w:r>
            <w:r>
              <w:rPr>
                <w:rFonts w:hint="eastAsia"/>
                <w:color w:val="auto"/>
              </w:rPr>
              <w:t>分</w:t>
            </w:r>
          </w:p>
          <w:p w14:paraId="154A2CBF">
            <w:pPr>
              <w:pStyle w:val="44"/>
              <w:jc w:val="left"/>
              <w:rPr>
                <w:color w:val="auto"/>
              </w:rPr>
            </w:pPr>
            <w:r>
              <w:rPr>
                <w:color w:val="auto"/>
              </w:rPr>
              <w:t>2</w:t>
            </w:r>
            <w:r>
              <w:rPr>
                <w:rFonts w:hint="eastAsia"/>
                <w:color w:val="auto"/>
              </w:rPr>
              <w:t>）作业前未按规定进行例行检查或未填写检查记录，扣</w:t>
            </w:r>
            <w:r>
              <w:rPr>
                <w:color w:val="auto"/>
              </w:rPr>
              <w:t>5</w:t>
            </w:r>
            <w:r>
              <w:rPr>
                <w:rFonts w:hint="eastAsia"/>
                <w:color w:val="auto"/>
              </w:rPr>
              <w:t>分</w:t>
            </w:r>
          </w:p>
          <w:p w14:paraId="44155108">
            <w:pPr>
              <w:pStyle w:val="44"/>
              <w:jc w:val="left"/>
              <w:rPr>
                <w:color w:val="auto"/>
              </w:rPr>
            </w:pPr>
            <w:r>
              <w:rPr>
                <w:color w:val="auto"/>
              </w:rPr>
              <w:t>3</w:t>
            </w:r>
            <w:r>
              <w:rPr>
                <w:rFonts w:hint="eastAsia"/>
                <w:color w:val="auto"/>
              </w:rPr>
              <w:t>）每日作业结束后未将吊笼返回最底层停放，扣</w:t>
            </w:r>
            <w:r>
              <w:rPr>
                <w:color w:val="auto"/>
              </w:rPr>
              <w:t>5</w:t>
            </w:r>
            <w:r>
              <w:rPr>
                <w:rFonts w:hint="eastAsia"/>
                <w:color w:val="auto"/>
              </w:rPr>
              <w:t>分</w:t>
            </w:r>
          </w:p>
          <w:p w14:paraId="1BA9C365">
            <w:pPr>
              <w:pStyle w:val="44"/>
              <w:jc w:val="left"/>
              <w:rPr>
                <w:color w:val="auto"/>
              </w:rPr>
            </w:pPr>
            <w:r>
              <w:rPr>
                <w:color w:val="auto"/>
              </w:rPr>
              <w:t>4</w:t>
            </w:r>
            <w:r>
              <w:rPr>
                <w:rFonts w:hint="eastAsia"/>
                <w:color w:val="auto"/>
              </w:rPr>
              <w:t>）实行多班作业未按规定填写交接班记录，扣</w:t>
            </w:r>
            <w:r>
              <w:rPr>
                <w:color w:val="auto"/>
              </w:rPr>
              <w:t>3</w:t>
            </w:r>
            <w:r>
              <w:rPr>
                <w:rFonts w:hint="eastAsia"/>
                <w:color w:val="auto"/>
              </w:rPr>
              <w:t>分</w:t>
            </w:r>
          </w:p>
          <w:p w14:paraId="49804C03">
            <w:pPr>
              <w:pStyle w:val="44"/>
              <w:jc w:val="left"/>
              <w:rPr>
                <w:color w:val="auto"/>
              </w:rPr>
            </w:pPr>
            <w:r>
              <w:rPr>
                <w:color w:val="auto"/>
              </w:rPr>
              <w:t>5</w:t>
            </w:r>
            <w:r>
              <w:rPr>
                <w:rFonts w:hint="eastAsia"/>
                <w:color w:val="auto"/>
              </w:rPr>
              <w:t>）施工升降机未安装信号联络装置，扣</w:t>
            </w:r>
            <w:r>
              <w:rPr>
                <w:color w:val="auto"/>
              </w:rPr>
              <w:t>10</w:t>
            </w:r>
            <w:r>
              <w:rPr>
                <w:rFonts w:hint="eastAsia"/>
                <w:color w:val="auto"/>
              </w:rPr>
              <w:t>分；信号联络不清晰，扣</w:t>
            </w:r>
            <w:r>
              <w:rPr>
                <w:color w:val="auto"/>
              </w:rPr>
              <w:t>5</w:t>
            </w:r>
            <w:r>
              <w:rPr>
                <w:rFonts w:hint="eastAsia"/>
                <w:color w:val="auto"/>
              </w:rPr>
              <w:t>分</w:t>
            </w:r>
          </w:p>
          <w:p w14:paraId="344BD1E0">
            <w:pPr>
              <w:pStyle w:val="44"/>
              <w:jc w:val="left"/>
              <w:rPr>
                <w:color w:val="auto"/>
              </w:rPr>
            </w:pPr>
            <w:r>
              <w:rPr>
                <w:color w:val="auto"/>
              </w:rPr>
              <w:t>6</w:t>
            </w:r>
            <w:r>
              <w:rPr>
                <w:rFonts w:hint="eastAsia"/>
                <w:color w:val="auto"/>
              </w:rPr>
              <w:t>）未按规定周期和方法进行超载试验，扣</w:t>
            </w:r>
            <w:r>
              <w:rPr>
                <w:color w:val="auto"/>
              </w:rPr>
              <w:t>10</w:t>
            </w:r>
            <w:r>
              <w:rPr>
                <w:rFonts w:hint="eastAsia"/>
                <w:color w:val="auto"/>
              </w:rPr>
              <w:t>分</w:t>
            </w:r>
          </w:p>
        </w:tc>
        <w:tc>
          <w:tcPr>
            <w:tcW w:w="720" w:type="dxa"/>
            <w:vAlign w:val="center"/>
          </w:tcPr>
          <w:p w14:paraId="4EA319F2">
            <w:pPr>
              <w:pStyle w:val="44"/>
              <w:rPr>
                <w:color w:val="auto"/>
              </w:rPr>
            </w:pPr>
            <w:r>
              <w:rPr>
                <w:color w:val="auto"/>
              </w:rPr>
              <w:t>10</w:t>
            </w:r>
          </w:p>
        </w:tc>
        <w:tc>
          <w:tcPr>
            <w:tcW w:w="720" w:type="dxa"/>
            <w:vAlign w:val="center"/>
          </w:tcPr>
          <w:p w14:paraId="02BA557F">
            <w:pPr>
              <w:pStyle w:val="44"/>
              <w:rPr>
                <w:color w:val="auto"/>
              </w:rPr>
            </w:pPr>
          </w:p>
        </w:tc>
        <w:tc>
          <w:tcPr>
            <w:tcW w:w="720" w:type="dxa"/>
            <w:vAlign w:val="center"/>
          </w:tcPr>
          <w:p w14:paraId="7BA1CA28">
            <w:pPr>
              <w:pStyle w:val="44"/>
              <w:rPr>
                <w:color w:val="auto"/>
              </w:rPr>
            </w:pPr>
          </w:p>
        </w:tc>
      </w:tr>
      <w:tr w14:paraId="157D8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2CDABD59">
            <w:pPr>
              <w:pStyle w:val="44"/>
              <w:rPr>
                <w:color w:val="auto"/>
              </w:rPr>
            </w:pPr>
          </w:p>
        </w:tc>
        <w:tc>
          <w:tcPr>
            <w:tcW w:w="543" w:type="dxa"/>
            <w:vMerge w:val="continue"/>
          </w:tcPr>
          <w:p w14:paraId="72B7C4DA">
            <w:pPr>
              <w:pStyle w:val="44"/>
              <w:rPr>
                <w:color w:val="auto"/>
              </w:rPr>
            </w:pPr>
          </w:p>
        </w:tc>
        <w:tc>
          <w:tcPr>
            <w:tcW w:w="6478" w:type="dxa"/>
            <w:gridSpan w:val="2"/>
            <w:vAlign w:val="center"/>
          </w:tcPr>
          <w:p w14:paraId="251EFBB1">
            <w:pPr>
              <w:pStyle w:val="44"/>
              <w:rPr>
                <w:b/>
                <w:bCs w:val="0"/>
                <w:color w:val="auto"/>
              </w:rPr>
            </w:pPr>
            <w:r>
              <w:rPr>
                <w:rFonts w:hint="eastAsia"/>
                <w:b/>
                <w:bCs w:val="0"/>
                <w:color w:val="auto"/>
              </w:rPr>
              <w:t xml:space="preserve">小 </w:t>
            </w:r>
            <w:r>
              <w:rPr>
                <w:b/>
                <w:bCs w:val="0"/>
                <w:color w:val="auto"/>
              </w:rPr>
              <w:t xml:space="preserve"> </w:t>
            </w:r>
            <w:r>
              <w:rPr>
                <w:rFonts w:hint="eastAsia"/>
                <w:b/>
                <w:bCs w:val="0"/>
                <w:color w:val="auto"/>
              </w:rPr>
              <w:t>计</w:t>
            </w:r>
          </w:p>
        </w:tc>
        <w:tc>
          <w:tcPr>
            <w:tcW w:w="720" w:type="dxa"/>
            <w:vAlign w:val="center"/>
          </w:tcPr>
          <w:p w14:paraId="1C35C5B8">
            <w:pPr>
              <w:pStyle w:val="44"/>
              <w:rPr>
                <w:color w:val="auto"/>
              </w:rPr>
            </w:pPr>
            <w:r>
              <w:rPr>
                <w:color w:val="auto"/>
              </w:rPr>
              <w:t>70</w:t>
            </w:r>
          </w:p>
        </w:tc>
        <w:tc>
          <w:tcPr>
            <w:tcW w:w="720" w:type="dxa"/>
            <w:vAlign w:val="center"/>
          </w:tcPr>
          <w:p w14:paraId="7D778EAB">
            <w:pPr>
              <w:pStyle w:val="44"/>
              <w:rPr>
                <w:color w:val="auto"/>
              </w:rPr>
            </w:pPr>
          </w:p>
        </w:tc>
        <w:tc>
          <w:tcPr>
            <w:tcW w:w="720" w:type="dxa"/>
            <w:vAlign w:val="center"/>
          </w:tcPr>
          <w:p w14:paraId="33394984">
            <w:pPr>
              <w:pStyle w:val="44"/>
              <w:rPr>
                <w:color w:val="auto"/>
              </w:rPr>
            </w:pPr>
          </w:p>
        </w:tc>
      </w:tr>
      <w:tr w14:paraId="5E1B2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trPr>
        <w:tc>
          <w:tcPr>
            <w:tcW w:w="539" w:type="dxa"/>
            <w:vAlign w:val="center"/>
          </w:tcPr>
          <w:p w14:paraId="304C3530">
            <w:pPr>
              <w:pStyle w:val="44"/>
              <w:rPr>
                <w:color w:val="auto"/>
              </w:rPr>
            </w:pPr>
            <w:r>
              <w:rPr>
                <w:color w:val="auto"/>
              </w:rPr>
              <w:t>1</w:t>
            </w:r>
          </w:p>
        </w:tc>
        <w:tc>
          <w:tcPr>
            <w:tcW w:w="543" w:type="dxa"/>
            <w:vMerge w:val="restart"/>
            <w:vAlign w:val="center"/>
          </w:tcPr>
          <w:p w14:paraId="0ED29C4B">
            <w:pPr>
              <w:pStyle w:val="44"/>
              <w:rPr>
                <w:color w:val="auto"/>
              </w:rPr>
            </w:pPr>
            <w:r>
              <w:rPr>
                <w:rFonts w:hint="eastAsia"/>
                <w:color w:val="auto"/>
              </w:rPr>
              <w:t>一</w:t>
            </w:r>
          </w:p>
          <w:p w14:paraId="754DFF27">
            <w:pPr>
              <w:pStyle w:val="44"/>
              <w:rPr>
                <w:color w:val="auto"/>
              </w:rPr>
            </w:pPr>
            <w:r>
              <w:rPr>
                <w:rFonts w:hint="eastAsia"/>
                <w:color w:val="auto"/>
              </w:rPr>
              <w:t>般</w:t>
            </w:r>
          </w:p>
          <w:p w14:paraId="033EB2C6">
            <w:pPr>
              <w:pStyle w:val="44"/>
              <w:rPr>
                <w:color w:val="auto"/>
              </w:rPr>
            </w:pPr>
            <w:r>
              <w:rPr>
                <w:rFonts w:hint="eastAsia"/>
                <w:color w:val="auto"/>
              </w:rPr>
              <w:t>项</w:t>
            </w:r>
          </w:p>
          <w:p w14:paraId="2F247676">
            <w:pPr>
              <w:pStyle w:val="44"/>
              <w:rPr>
                <w:color w:val="auto"/>
              </w:rPr>
            </w:pPr>
            <w:r>
              <w:rPr>
                <w:rFonts w:hint="eastAsia"/>
                <w:color w:val="auto"/>
              </w:rPr>
              <w:t>目</w:t>
            </w:r>
          </w:p>
        </w:tc>
        <w:tc>
          <w:tcPr>
            <w:tcW w:w="898" w:type="dxa"/>
            <w:vAlign w:val="center"/>
          </w:tcPr>
          <w:p w14:paraId="13118E40">
            <w:pPr>
              <w:pStyle w:val="44"/>
              <w:rPr>
                <w:color w:val="auto"/>
              </w:rPr>
            </w:pPr>
            <w:r>
              <w:rPr>
                <w:rFonts w:hint="eastAsia"/>
                <w:color w:val="auto"/>
              </w:rPr>
              <w:t>导轨架</w:t>
            </w:r>
          </w:p>
        </w:tc>
        <w:tc>
          <w:tcPr>
            <w:tcW w:w="5580" w:type="dxa"/>
            <w:vAlign w:val="center"/>
          </w:tcPr>
          <w:p w14:paraId="470A0B71">
            <w:pPr>
              <w:pStyle w:val="44"/>
              <w:jc w:val="left"/>
              <w:rPr>
                <w:color w:val="auto"/>
              </w:rPr>
            </w:pPr>
            <w:r>
              <w:rPr>
                <w:color w:val="auto"/>
              </w:rPr>
              <w:t>1</w:t>
            </w:r>
            <w:r>
              <w:rPr>
                <w:rFonts w:hint="eastAsia"/>
                <w:color w:val="auto"/>
              </w:rPr>
              <w:t>）导轨架垂直度不符合使用产品说明书及规定要求，扣</w:t>
            </w:r>
            <w:r>
              <w:rPr>
                <w:color w:val="auto"/>
              </w:rPr>
              <w:t>10</w:t>
            </w:r>
            <w:r>
              <w:rPr>
                <w:rFonts w:hint="eastAsia"/>
                <w:color w:val="auto"/>
              </w:rPr>
              <w:t>分</w:t>
            </w:r>
          </w:p>
          <w:p w14:paraId="44743489">
            <w:pPr>
              <w:pStyle w:val="44"/>
              <w:jc w:val="left"/>
              <w:rPr>
                <w:color w:val="auto"/>
              </w:rPr>
            </w:pPr>
            <w:r>
              <w:rPr>
                <w:color w:val="auto"/>
              </w:rPr>
              <w:t>2</w:t>
            </w:r>
            <w:r>
              <w:rPr>
                <w:rFonts w:hint="eastAsia"/>
                <w:color w:val="auto"/>
              </w:rPr>
              <w:t>）标准节质量不符合产品说明书及相关标准要求，扣</w:t>
            </w:r>
            <w:r>
              <w:rPr>
                <w:color w:val="auto"/>
              </w:rPr>
              <w:t>10</w:t>
            </w:r>
            <w:r>
              <w:rPr>
                <w:rFonts w:hint="eastAsia"/>
                <w:color w:val="auto"/>
              </w:rPr>
              <w:t>分</w:t>
            </w:r>
          </w:p>
          <w:p w14:paraId="5A26D804">
            <w:pPr>
              <w:pStyle w:val="44"/>
              <w:jc w:val="left"/>
              <w:rPr>
                <w:color w:val="auto"/>
              </w:rPr>
            </w:pPr>
            <w:r>
              <w:rPr>
                <w:color w:val="auto"/>
              </w:rPr>
              <w:t>3</w:t>
            </w:r>
            <w:r>
              <w:rPr>
                <w:rFonts w:hint="eastAsia"/>
                <w:color w:val="auto"/>
              </w:rPr>
              <w:t>）对重导轨不符合规定要求，扣</w:t>
            </w:r>
            <w:r>
              <w:rPr>
                <w:color w:val="auto"/>
              </w:rPr>
              <w:t>5</w:t>
            </w:r>
            <w:r>
              <w:rPr>
                <w:rFonts w:hint="eastAsia"/>
                <w:color w:val="auto"/>
              </w:rPr>
              <w:t>分</w:t>
            </w:r>
          </w:p>
          <w:p w14:paraId="40B98BB3">
            <w:pPr>
              <w:pStyle w:val="44"/>
              <w:jc w:val="left"/>
              <w:rPr>
                <w:color w:val="auto"/>
              </w:rPr>
            </w:pPr>
            <w:r>
              <w:rPr>
                <w:color w:val="auto"/>
              </w:rPr>
              <w:t>4</w:t>
            </w:r>
            <w:r>
              <w:rPr>
                <w:rFonts w:hint="eastAsia"/>
                <w:color w:val="auto"/>
              </w:rPr>
              <w:t>）标准节连接螺栓使用不符合产品说明书及标准要求，扣</w:t>
            </w:r>
            <w:r>
              <w:rPr>
                <w:color w:val="auto"/>
              </w:rPr>
              <w:t>5</w:t>
            </w:r>
            <w:r>
              <w:rPr>
                <w:rFonts w:hint="eastAsia"/>
                <w:color w:val="auto"/>
              </w:rPr>
              <w:t>～</w:t>
            </w:r>
            <w:r>
              <w:rPr>
                <w:color w:val="auto"/>
              </w:rPr>
              <w:t>8</w:t>
            </w:r>
            <w:r>
              <w:rPr>
                <w:rFonts w:hint="eastAsia"/>
                <w:color w:val="auto"/>
              </w:rPr>
              <w:t>分</w:t>
            </w:r>
          </w:p>
        </w:tc>
        <w:tc>
          <w:tcPr>
            <w:tcW w:w="720" w:type="dxa"/>
            <w:vAlign w:val="center"/>
          </w:tcPr>
          <w:p w14:paraId="3CD248AC">
            <w:pPr>
              <w:pStyle w:val="44"/>
              <w:rPr>
                <w:color w:val="auto"/>
              </w:rPr>
            </w:pPr>
            <w:r>
              <w:rPr>
                <w:color w:val="auto"/>
              </w:rPr>
              <w:t>10</w:t>
            </w:r>
          </w:p>
        </w:tc>
        <w:tc>
          <w:tcPr>
            <w:tcW w:w="720" w:type="dxa"/>
            <w:vAlign w:val="center"/>
          </w:tcPr>
          <w:p w14:paraId="547F606B">
            <w:pPr>
              <w:pStyle w:val="44"/>
              <w:rPr>
                <w:color w:val="auto"/>
              </w:rPr>
            </w:pPr>
          </w:p>
        </w:tc>
        <w:tc>
          <w:tcPr>
            <w:tcW w:w="720" w:type="dxa"/>
            <w:vAlign w:val="center"/>
          </w:tcPr>
          <w:p w14:paraId="1EAB394B">
            <w:pPr>
              <w:pStyle w:val="44"/>
              <w:rPr>
                <w:color w:val="auto"/>
              </w:rPr>
            </w:pPr>
          </w:p>
        </w:tc>
      </w:tr>
      <w:tr w14:paraId="285D5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131035BA">
            <w:pPr>
              <w:pStyle w:val="44"/>
              <w:rPr>
                <w:color w:val="auto"/>
              </w:rPr>
            </w:pPr>
            <w:r>
              <w:rPr>
                <w:color w:val="auto"/>
              </w:rPr>
              <w:t>2</w:t>
            </w:r>
          </w:p>
        </w:tc>
        <w:tc>
          <w:tcPr>
            <w:tcW w:w="543" w:type="dxa"/>
            <w:vMerge w:val="continue"/>
          </w:tcPr>
          <w:p w14:paraId="0C2955DD">
            <w:pPr>
              <w:pStyle w:val="44"/>
              <w:rPr>
                <w:color w:val="auto"/>
              </w:rPr>
            </w:pPr>
          </w:p>
        </w:tc>
        <w:tc>
          <w:tcPr>
            <w:tcW w:w="898" w:type="dxa"/>
            <w:vAlign w:val="center"/>
          </w:tcPr>
          <w:p w14:paraId="4BA88639">
            <w:pPr>
              <w:pStyle w:val="44"/>
              <w:rPr>
                <w:color w:val="auto"/>
              </w:rPr>
            </w:pPr>
            <w:r>
              <w:rPr>
                <w:rFonts w:hint="eastAsia"/>
                <w:color w:val="auto"/>
              </w:rPr>
              <w:t>基础</w:t>
            </w:r>
          </w:p>
        </w:tc>
        <w:tc>
          <w:tcPr>
            <w:tcW w:w="5580" w:type="dxa"/>
            <w:vAlign w:val="center"/>
          </w:tcPr>
          <w:p w14:paraId="4F081CEF">
            <w:pPr>
              <w:pStyle w:val="44"/>
              <w:jc w:val="left"/>
              <w:rPr>
                <w:color w:val="auto"/>
              </w:rPr>
            </w:pPr>
            <w:r>
              <w:rPr>
                <w:color w:val="auto"/>
              </w:rPr>
              <w:t>1</w:t>
            </w:r>
            <w:r>
              <w:rPr>
                <w:rFonts w:hint="eastAsia"/>
                <w:color w:val="auto"/>
              </w:rPr>
              <w:t>）基础形式、材料、尺寸不符合产品说明书及标准要求，扣</w:t>
            </w:r>
            <w:r>
              <w:rPr>
                <w:color w:val="auto"/>
              </w:rPr>
              <w:t>10</w:t>
            </w:r>
            <w:r>
              <w:rPr>
                <w:rFonts w:hint="eastAsia"/>
                <w:color w:val="auto"/>
              </w:rPr>
              <w:t>分；未按标准进行验收，扣</w:t>
            </w:r>
            <w:r>
              <w:rPr>
                <w:color w:val="auto"/>
              </w:rPr>
              <w:t>5-10</w:t>
            </w:r>
            <w:r>
              <w:rPr>
                <w:rFonts w:hint="eastAsia"/>
                <w:color w:val="auto"/>
              </w:rPr>
              <w:t>分</w:t>
            </w:r>
          </w:p>
          <w:p w14:paraId="12FAC38B">
            <w:pPr>
              <w:pStyle w:val="44"/>
              <w:jc w:val="left"/>
              <w:rPr>
                <w:color w:val="auto"/>
              </w:rPr>
            </w:pPr>
            <w:r>
              <w:rPr>
                <w:color w:val="auto"/>
              </w:rPr>
              <w:t>2</w:t>
            </w:r>
            <w:r>
              <w:rPr>
                <w:rFonts w:hint="eastAsia"/>
                <w:color w:val="auto"/>
              </w:rPr>
              <w:t>）基础设置在既有结构上未对其支承结构进行承载力验算，扣</w:t>
            </w:r>
            <w:r>
              <w:rPr>
                <w:color w:val="auto"/>
              </w:rPr>
              <w:t>10</w:t>
            </w:r>
            <w:r>
              <w:rPr>
                <w:rFonts w:hint="eastAsia"/>
                <w:color w:val="auto"/>
              </w:rPr>
              <w:t>分</w:t>
            </w:r>
          </w:p>
          <w:p w14:paraId="1236CF4E">
            <w:pPr>
              <w:pStyle w:val="44"/>
              <w:jc w:val="left"/>
              <w:rPr>
                <w:color w:val="auto"/>
              </w:rPr>
            </w:pPr>
            <w:r>
              <w:rPr>
                <w:color w:val="auto"/>
              </w:rPr>
              <w:t>3</w:t>
            </w:r>
            <w:r>
              <w:rPr>
                <w:rFonts w:hint="eastAsia"/>
                <w:color w:val="auto"/>
              </w:rPr>
              <w:t>）未设置防、排水设施，扣</w:t>
            </w:r>
            <w:r>
              <w:rPr>
                <w:color w:val="auto"/>
              </w:rPr>
              <w:t>4</w:t>
            </w:r>
            <w:r>
              <w:rPr>
                <w:rFonts w:hint="eastAsia"/>
                <w:color w:val="auto"/>
              </w:rPr>
              <w:t>分</w:t>
            </w:r>
          </w:p>
        </w:tc>
        <w:tc>
          <w:tcPr>
            <w:tcW w:w="720" w:type="dxa"/>
            <w:vAlign w:val="center"/>
          </w:tcPr>
          <w:p w14:paraId="4AFC7A10">
            <w:pPr>
              <w:pStyle w:val="44"/>
              <w:rPr>
                <w:color w:val="auto"/>
              </w:rPr>
            </w:pPr>
            <w:r>
              <w:rPr>
                <w:color w:val="auto"/>
              </w:rPr>
              <w:t>10</w:t>
            </w:r>
          </w:p>
        </w:tc>
        <w:tc>
          <w:tcPr>
            <w:tcW w:w="720" w:type="dxa"/>
            <w:vAlign w:val="center"/>
          </w:tcPr>
          <w:p w14:paraId="35103FB3">
            <w:pPr>
              <w:pStyle w:val="44"/>
              <w:rPr>
                <w:color w:val="auto"/>
              </w:rPr>
            </w:pPr>
          </w:p>
        </w:tc>
        <w:tc>
          <w:tcPr>
            <w:tcW w:w="720" w:type="dxa"/>
            <w:vAlign w:val="center"/>
          </w:tcPr>
          <w:p w14:paraId="6B2DAFC5">
            <w:pPr>
              <w:pStyle w:val="44"/>
              <w:rPr>
                <w:color w:val="auto"/>
              </w:rPr>
            </w:pPr>
          </w:p>
        </w:tc>
      </w:tr>
      <w:tr w14:paraId="02558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7D6862E2">
            <w:pPr>
              <w:pStyle w:val="44"/>
              <w:rPr>
                <w:color w:val="auto"/>
              </w:rPr>
            </w:pPr>
            <w:r>
              <w:rPr>
                <w:color w:val="auto"/>
              </w:rPr>
              <w:t>3</w:t>
            </w:r>
          </w:p>
        </w:tc>
        <w:tc>
          <w:tcPr>
            <w:tcW w:w="543" w:type="dxa"/>
            <w:vMerge w:val="continue"/>
          </w:tcPr>
          <w:p w14:paraId="4931190C">
            <w:pPr>
              <w:pStyle w:val="44"/>
              <w:rPr>
                <w:color w:val="auto"/>
              </w:rPr>
            </w:pPr>
          </w:p>
        </w:tc>
        <w:tc>
          <w:tcPr>
            <w:tcW w:w="898" w:type="dxa"/>
            <w:vAlign w:val="center"/>
          </w:tcPr>
          <w:p w14:paraId="29A4B039">
            <w:pPr>
              <w:pStyle w:val="44"/>
              <w:rPr>
                <w:color w:val="auto"/>
              </w:rPr>
            </w:pPr>
            <w:r>
              <w:rPr>
                <w:rFonts w:hint="eastAsia"/>
                <w:color w:val="auto"/>
              </w:rPr>
              <w:t>电气安全</w:t>
            </w:r>
          </w:p>
        </w:tc>
        <w:tc>
          <w:tcPr>
            <w:tcW w:w="5580" w:type="dxa"/>
            <w:vAlign w:val="center"/>
          </w:tcPr>
          <w:p w14:paraId="210EA628">
            <w:pPr>
              <w:pStyle w:val="44"/>
              <w:jc w:val="left"/>
              <w:rPr>
                <w:color w:val="auto"/>
              </w:rPr>
            </w:pPr>
            <w:r>
              <w:rPr>
                <w:color w:val="auto"/>
              </w:rPr>
              <w:t>1</w:t>
            </w:r>
            <w:r>
              <w:rPr>
                <w:rFonts w:hint="eastAsia"/>
                <w:color w:val="auto"/>
              </w:rPr>
              <w:t>）未安装非自动复位型急停开关或不灵敏，扣</w:t>
            </w:r>
            <w:r>
              <w:rPr>
                <w:color w:val="auto"/>
              </w:rPr>
              <w:t>5</w:t>
            </w:r>
            <w:r>
              <w:rPr>
                <w:rFonts w:hint="eastAsia"/>
                <w:color w:val="auto"/>
              </w:rPr>
              <w:t>分</w:t>
            </w:r>
          </w:p>
          <w:p w14:paraId="3E608F2D">
            <w:pPr>
              <w:pStyle w:val="44"/>
              <w:jc w:val="left"/>
              <w:rPr>
                <w:color w:val="auto"/>
              </w:rPr>
            </w:pPr>
            <w:r>
              <w:rPr>
                <w:color w:val="auto"/>
              </w:rPr>
              <w:t>2</w:t>
            </w:r>
            <w:r>
              <w:rPr>
                <w:rFonts w:hint="eastAsia"/>
                <w:color w:val="auto"/>
              </w:rPr>
              <w:t>）施工升降机在其他避雷装置保护范围以外未设置避雷装置，扣</w:t>
            </w:r>
            <w:r>
              <w:rPr>
                <w:color w:val="auto"/>
              </w:rPr>
              <w:t>10</w:t>
            </w:r>
            <w:r>
              <w:rPr>
                <w:rFonts w:hint="eastAsia"/>
                <w:color w:val="auto"/>
              </w:rPr>
              <w:t>分；避雷装置不符合相关标准要求，扣</w:t>
            </w:r>
            <w:r>
              <w:rPr>
                <w:color w:val="auto"/>
              </w:rPr>
              <w:t>5</w:t>
            </w:r>
            <w:r>
              <w:rPr>
                <w:rFonts w:hint="eastAsia"/>
                <w:color w:val="auto"/>
              </w:rPr>
              <w:t>分</w:t>
            </w:r>
          </w:p>
          <w:p w14:paraId="36564411">
            <w:pPr>
              <w:pStyle w:val="44"/>
              <w:jc w:val="left"/>
              <w:rPr>
                <w:color w:val="auto"/>
              </w:rPr>
            </w:pPr>
            <w:r>
              <w:rPr>
                <w:color w:val="auto"/>
              </w:rPr>
              <w:t>3</w:t>
            </w:r>
            <w:r>
              <w:rPr>
                <w:rFonts w:hint="eastAsia"/>
                <w:color w:val="auto"/>
              </w:rPr>
              <w:t>）金属结构和所有电气设备系统金属外壳未进行可靠接地，扣</w:t>
            </w:r>
            <w:r>
              <w:rPr>
                <w:color w:val="auto"/>
              </w:rPr>
              <w:t>5</w:t>
            </w:r>
            <w:r>
              <w:rPr>
                <w:rFonts w:hint="eastAsia"/>
                <w:color w:val="auto"/>
              </w:rPr>
              <w:t>分</w:t>
            </w:r>
          </w:p>
          <w:p w14:paraId="183B2A16">
            <w:pPr>
              <w:pStyle w:val="44"/>
              <w:jc w:val="left"/>
              <w:rPr>
                <w:color w:val="auto"/>
              </w:rPr>
            </w:pPr>
            <w:r>
              <w:rPr>
                <w:color w:val="auto"/>
              </w:rPr>
              <w:t>4</w:t>
            </w:r>
            <w:r>
              <w:rPr>
                <w:rFonts w:hint="eastAsia"/>
                <w:color w:val="auto"/>
              </w:rPr>
              <w:t>）施工升降机与架空线路的安全距离不符合标准要求时，未采取防护措施，扣</w:t>
            </w:r>
            <w:r>
              <w:rPr>
                <w:color w:val="auto"/>
              </w:rPr>
              <w:t>10</w:t>
            </w:r>
            <w:r>
              <w:rPr>
                <w:rFonts w:hint="eastAsia"/>
                <w:color w:val="auto"/>
              </w:rPr>
              <w:t>分</w:t>
            </w:r>
          </w:p>
          <w:p w14:paraId="656F3AA3">
            <w:pPr>
              <w:pStyle w:val="44"/>
              <w:jc w:val="left"/>
              <w:rPr>
                <w:color w:val="auto"/>
              </w:rPr>
            </w:pPr>
            <w:r>
              <w:rPr>
                <w:color w:val="auto"/>
              </w:rPr>
              <w:t>5</w:t>
            </w:r>
            <w:r>
              <w:rPr>
                <w:rFonts w:hint="eastAsia"/>
                <w:color w:val="auto"/>
              </w:rPr>
              <w:t>）未设置电缆导向架或设置不符合说明书及标准要求，扣</w:t>
            </w:r>
            <w:r>
              <w:rPr>
                <w:color w:val="auto"/>
              </w:rPr>
              <w:t>5</w:t>
            </w:r>
            <w:r>
              <w:rPr>
                <w:rFonts w:hint="eastAsia"/>
                <w:color w:val="auto"/>
              </w:rPr>
              <w:t>分</w:t>
            </w:r>
          </w:p>
          <w:p w14:paraId="73806A66">
            <w:pPr>
              <w:pStyle w:val="44"/>
              <w:jc w:val="left"/>
              <w:rPr>
                <w:color w:val="auto"/>
              </w:rPr>
            </w:pPr>
            <w:r>
              <w:rPr>
                <w:color w:val="auto"/>
              </w:rPr>
              <w:t>6</w:t>
            </w:r>
            <w:r>
              <w:rPr>
                <w:rFonts w:hint="eastAsia"/>
                <w:color w:val="auto"/>
              </w:rPr>
              <w:t>）吊笼顶窗未安装电气安全开关或不灵敏，扣</w:t>
            </w:r>
            <w:r>
              <w:rPr>
                <w:color w:val="auto"/>
              </w:rPr>
              <w:t>5</w:t>
            </w:r>
            <w:r>
              <w:rPr>
                <w:rFonts w:hint="eastAsia"/>
                <w:color w:val="auto"/>
              </w:rPr>
              <w:t>分</w:t>
            </w:r>
          </w:p>
        </w:tc>
        <w:tc>
          <w:tcPr>
            <w:tcW w:w="720" w:type="dxa"/>
            <w:vAlign w:val="center"/>
          </w:tcPr>
          <w:p w14:paraId="18C6B3B7">
            <w:pPr>
              <w:pStyle w:val="44"/>
              <w:rPr>
                <w:color w:val="auto"/>
              </w:rPr>
            </w:pPr>
            <w:r>
              <w:rPr>
                <w:color w:val="auto"/>
              </w:rPr>
              <w:t>10</w:t>
            </w:r>
          </w:p>
        </w:tc>
        <w:tc>
          <w:tcPr>
            <w:tcW w:w="720" w:type="dxa"/>
            <w:vAlign w:val="center"/>
          </w:tcPr>
          <w:p w14:paraId="1CF0F2B5">
            <w:pPr>
              <w:pStyle w:val="44"/>
              <w:rPr>
                <w:color w:val="auto"/>
              </w:rPr>
            </w:pPr>
          </w:p>
        </w:tc>
        <w:tc>
          <w:tcPr>
            <w:tcW w:w="720" w:type="dxa"/>
            <w:vAlign w:val="center"/>
          </w:tcPr>
          <w:p w14:paraId="2245F363">
            <w:pPr>
              <w:pStyle w:val="44"/>
              <w:rPr>
                <w:color w:val="auto"/>
              </w:rPr>
            </w:pPr>
          </w:p>
        </w:tc>
      </w:tr>
      <w:tr w14:paraId="2EF5D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11AD0E56">
            <w:pPr>
              <w:pStyle w:val="44"/>
              <w:rPr>
                <w:color w:val="auto"/>
              </w:rPr>
            </w:pPr>
          </w:p>
        </w:tc>
        <w:tc>
          <w:tcPr>
            <w:tcW w:w="543" w:type="dxa"/>
            <w:vMerge w:val="continue"/>
          </w:tcPr>
          <w:p w14:paraId="0BF79646">
            <w:pPr>
              <w:pStyle w:val="44"/>
              <w:rPr>
                <w:color w:val="auto"/>
              </w:rPr>
            </w:pPr>
          </w:p>
        </w:tc>
        <w:tc>
          <w:tcPr>
            <w:tcW w:w="6478" w:type="dxa"/>
            <w:gridSpan w:val="2"/>
            <w:vAlign w:val="center"/>
          </w:tcPr>
          <w:p w14:paraId="7BF5B994">
            <w:pPr>
              <w:pStyle w:val="44"/>
              <w:rPr>
                <w:b/>
                <w:bCs w:val="0"/>
                <w:color w:val="auto"/>
              </w:rPr>
            </w:pPr>
            <w:r>
              <w:rPr>
                <w:rFonts w:hint="eastAsia"/>
                <w:b/>
                <w:bCs w:val="0"/>
                <w:color w:val="auto"/>
              </w:rPr>
              <w:t>小</w:t>
            </w:r>
            <w:r>
              <w:rPr>
                <w:b/>
                <w:bCs w:val="0"/>
                <w:color w:val="auto"/>
              </w:rPr>
              <w:t xml:space="preserve">  </w:t>
            </w:r>
            <w:r>
              <w:rPr>
                <w:rFonts w:hint="eastAsia"/>
                <w:b/>
                <w:bCs w:val="0"/>
                <w:color w:val="auto"/>
              </w:rPr>
              <w:t>计</w:t>
            </w:r>
          </w:p>
        </w:tc>
        <w:tc>
          <w:tcPr>
            <w:tcW w:w="720" w:type="dxa"/>
            <w:vAlign w:val="center"/>
          </w:tcPr>
          <w:p w14:paraId="786EE7F9">
            <w:pPr>
              <w:pStyle w:val="44"/>
              <w:rPr>
                <w:color w:val="auto"/>
              </w:rPr>
            </w:pPr>
            <w:r>
              <w:rPr>
                <w:color w:val="auto"/>
              </w:rPr>
              <w:t>30</w:t>
            </w:r>
          </w:p>
        </w:tc>
        <w:tc>
          <w:tcPr>
            <w:tcW w:w="720" w:type="dxa"/>
            <w:vAlign w:val="center"/>
          </w:tcPr>
          <w:p w14:paraId="13AF3868">
            <w:pPr>
              <w:pStyle w:val="44"/>
              <w:rPr>
                <w:color w:val="auto"/>
              </w:rPr>
            </w:pPr>
          </w:p>
        </w:tc>
        <w:tc>
          <w:tcPr>
            <w:tcW w:w="720" w:type="dxa"/>
            <w:vAlign w:val="center"/>
          </w:tcPr>
          <w:p w14:paraId="0E89C310">
            <w:pPr>
              <w:pStyle w:val="44"/>
              <w:rPr>
                <w:color w:val="auto"/>
              </w:rPr>
            </w:pPr>
          </w:p>
        </w:tc>
      </w:tr>
      <w:tr w14:paraId="5CE64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trPr>
        <w:tc>
          <w:tcPr>
            <w:tcW w:w="7560" w:type="dxa"/>
            <w:gridSpan w:val="4"/>
            <w:vAlign w:val="center"/>
          </w:tcPr>
          <w:p w14:paraId="4ADF55D8">
            <w:pPr>
              <w:pStyle w:val="44"/>
              <w:rPr>
                <w:b/>
                <w:bCs w:val="0"/>
                <w:color w:val="auto"/>
              </w:rPr>
            </w:pPr>
            <w:r>
              <w:rPr>
                <w:rFonts w:hint="eastAsia"/>
                <w:b/>
                <w:bCs w:val="0"/>
                <w:color w:val="auto"/>
              </w:rPr>
              <w:t>检查项目合计</w:t>
            </w:r>
          </w:p>
        </w:tc>
        <w:tc>
          <w:tcPr>
            <w:tcW w:w="720" w:type="dxa"/>
            <w:vAlign w:val="center"/>
          </w:tcPr>
          <w:p w14:paraId="512EFC50">
            <w:pPr>
              <w:pStyle w:val="44"/>
              <w:rPr>
                <w:color w:val="auto"/>
              </w:rPr>
            </w:pPr>
            <w:r>
              <w:rPr>
                <w:color w:val="auto"/>
              </w:rPr>
              <w:t>100</w:t>
            </w:r>
          </w:p>
        </w:tc>
        <w:tc>
          <w:tcPr>
            <w:tcW w:w="720" w:type="dxa"/>
            <w:vAlign w:val="center"/>
          </w:tcPr>
          <w:p w14:paraId="01159CC1">
            <w:pPr>
              <w:pStyle w:val="44"/>
              <w:rPr>
                <w:color w:val="auto"/>
              </w:rPr>
            </w:pPr>
          </w:p>
        </w:tc>
        <w:tc>
          <w:tcPr>
            <w:tcW w:w="720" w:type="dxa"/>
            <w:vAlign w:val="center"/>
          </w:tcPr>
          <w:p w14:paraId="32295770">
            <w:pPr>
              <w:pStyle w:val="44"/>
              <w:rPr>
                <w:color w:val="auto"/>
              </w:rPr>
            </w:pPr>
          </w:p>
        </w:tc>
      </w:tr>
    </w:tbl>
    <w:p w14:paraId="64A38365"/>
    <w:p w14:paraId="19087E24">
      <w:pPr>
        <w:pStyle w:val="5"/>
      </w:pPr>
      <w:r>
        <w:rPr>
          <w:rFonts w:hint="eastAsia"/>
        </w:rPr>
        <w:br w:type="page"/>
      </w:r>
      <w:bookmarkStart w:id="97" w:name="_Toc19424"/>
      <w:bookmarkStart w:id="98" w:name="_Toc16210"/>
      <w:bookmarkStart w:id="99" w:name="_Toc9706"/>
      <w:r>
        <w:rPr>
          <w:rFonts w:hint="eastAsia"/>
        </w:rPr>
        <w:t>表B.30  物料提升机检查</w:t>
      </w:r>
      <w:r>
        <w:t>评分表</w:t>
      </w:r>
      <w:bookmarkEnd w:id="97"/>
      <w:bookmarkEnd w:id="98"/>
      <w:bookmarkEnd w:id="99"/>
    </w:p>
    <w:tbl>
      <w:tblPr>
        <w:tblStyle w:val="19"/>
        <w:tblpPr w:leftFromText="180" w:rightFromText="180" w:vertAnchor="text" w:horzAnchor="page" w:tblpX="1150" w:tblpY="631"/>
        <w:tblOverlap w:val="never"/>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433FC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trPr>
        <w:tc>
          <w:tcPr>
            <w:tcW w:w="539" w:type="dxa"/>
            <w:vAlign w:val="center"/>
          </w:tcPr>
          <w:p w14:paraId="49BACA0A">
            <w:pPr>
              <w:pStyle w:val="44"/>
              <w:rPr>
                <w:color w:val="auto"/>
              </w:rPr>
            </w:pPr>
            <w:r>
              <w:rPr>
                <w:rFonts w:hint="eastAsia"/>
                <w:color w:val="auto"/>
              </w:rPr>
              <w:t>序号</w:t>
            </w:r>
          </w:p>
        </w:tc>
        <w:tc>
          <w:tcPr>
            <w:tcW w:w="1441" w:type="dxa"/>
            <w:gridSpan w:val="2"/>
            <w:vAlign w:val="center"/>
          </w:tcPr>
          <w:p w14:paraId="2179A38A">
            <w:pPr>
              <w:pStyle w:val="44"/>
              <w:rPr>
                <w:color w:val="auto"/>
              </w:rPr>
            </w:pPr>
            <w:r>
              <w:rPr>
                <w:rFonts w:hint="eastAsia"/>
                <w:color w:val="auto"/>
              </w:rPr>
              <w:t>检查项目</w:t>
            </w:r>
          </w:p>
        </w:tc>
        <w:tc>
          <w:tcPr>
            <w:tcW w:w="5580" w:type="dxa"/>
            <w:vAlign w:val="center"/>
          </w:tcPr>
          <w:p w14:paraId="598BF883">
            <w:pPr>
              <w:pStyle w:val="44"/>
              <w:rPr>
                <w:color w:val="auto"/>
              </w:rPr>
            </w:pPr>
            <w:r>
              <w:rPr>
                <w:rFonts w:hint="eastAsia"/>
                <w:color w:val="auto"/>
              </w:rPr>
              <w:t>扣</w:t>
            </w:r>
            <w:r>
              <w:rPr>
                <w:color w:val="auto"/>
              </w:rPr>
              <w:t xml:space="preserve"> </w:t>
            </w:r>
            <w:r>
              <w:rPr>
                <w:rFonts w:hint="eastAsia"/>
                <w:color w:val="auto"/>
              </w:rPr>
              <w:t>分</w:t>
            </w:r>
            <w:r>
              <w:rPr>
                <w:color w:val="auto"/>
              </w:rPr>
              <w:t xml:space="preserve"> </w:t>
            </w:r>
            <w:r>
              <w:rPr>
                <w:rFonts w:hint="eastAsia"/>
                <w:color w:val="auto"/>
              </w:rPr>
              <w:t>标</w:t>
            </w:r>
            <w:r>
              <w:rPr>
                <w:color w:val="auto"/>
              </w:rPr>
              <w:t xml:space="preserve"> </w:t>
            </w:r>
            <w:r>
              <w:rPr>
                <w:rFonts w:hint="eastAsia"/>
                <w:color w:val="auto"/>
              </w:rPr>
              <w:t>准</w:t>
            </w:r>
          </w:p>
        </w:tc>
        <w:tc>
          <w:tcPr>
            <w:tcW w:w="720" w:type="dxa"/>
            <w:vAlign w:val="center"/>
          </w:tcPr>
          <w:p w14:paraId="3DAB4DB2">
            <w:pPr>
              <w:pStyle w:val="44"/>
              <w:rPr>
                <w:color w:val="auto"/>
              </w:rPr>
            </w:pPr>
            <w:r>
              <w:rPr>
                <w:rFonts w:hint="eastAsia"/>
                <w:color w:val="auto"/>
              </w:rPr>
              <w:t>应得</w:t>
            </w:r>
          </w:p>
          <w:p w14:paraId="0E324363">
            <w:pPr>
              <w:pStyle w:val="44"/>
              <w:rPr>
                <w:color w:val="auto"/>
              </w:rPr>
            </w:pPr>
            <w:r>
              <w:rPr>
                <w:rFonts w:hint="eastAsia"/>
                <w:color w:val="auto"/>
              </w:rPr>
              <w:t>分数</w:t>
            </w:r>
          </w:p>
        </w:tc>
        <w:tc>
          <w:tcPr>
            <w:tcW w:w="720" w:type="dxa"/>
            <w:vAlign w:val="center"/>
          </w:tcPr>
          <w:p w14:paraId="1BDAE6A8">
            <w:pPr>
              <w:pStyle w:val="44"/>
              <w:rPr>
                <w:color w:val="auto"/>
              </w:rPr>
            </w:pPr>
            <w:r>
              <w:rPr>
                <w:rFonts w:hint="eastAsia"/>
                <w:color w:val="auto"/>
              </w:rPr>
              <w:t>扣减</w:t>
            </w:r>
          </w:p>
          <w:p w14:paraId="2007E740">
            <w:pPr>
              <w:pStyle w:val="44"/>
              <w:rPr>
                <w:color w:val="auto"/>
              </w:rPr>
            </w:pPr>
            <w:r>
              <w:rPr>
                <w:rFonts w:hint="eastAsia"/>
                <w:color w:val="auto"/>
              </w:rPr>
              <w:t>分数</w:t>
            </w:r>
          </w:p>
        </w:tc>
        <w:tc>
          <w:tcPr>
            <w:tcW w:w="720" w:type="dxa"/>
            <w:vAlign w:val="center"/>
          </w:tcPr>
          <w:p w14:paraId="0ED1DEF5">
            <w:pPr>
              <w:pStyle w:val="44"/>
              <w:rPr>
                <w:color w:val="auto"/>
              </w:rPr>
            </w:pPr>
            <w:r>
              <w:rPr>
                <w:rFonts w:hint="eastAsia"/>
                <w:color w:val="auto"/>
              </w:rPr>
              <w:t>实得</w:t>
            </w:r>
          </w:p>
          <w:p w14:paraId="34F94DFC">
            <w:pPr>
              <w:pStyle w:val="44"/>
              <w:rPr>
                <w:color w:val="auto"/>
              </w:rPr>
            </w:pPr>
            <w:r>
              <w:rPr>
                <w:rFonts w:hint="eastAsia"/>
                <w:color w:val="auto"/>
              </w:rPr>
              <w:t>分数</w:t>
            </w:r>
          </w:p>
        </w:tc>
      </w:tr>
      <w:tr w14:paraId="66CA8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trPr>
        <w:tc>
          <w:tcPr>
            <w:tcW w:w="539" w:type="dxa"/>
            <w:vAlign w:val="center"/>
          </w:tcPr>
          <w:p w14:paraId="634DD72D">
            <w:pPr>
              <w:pStyle w:val="44"/>
              <w:rPr>
                <w:color w:val="auto"/>
              </w:rPr>
            </w:pPr>
            <w:r>
              <w:rPr>
                <w:color w:val="auto"/>
              </w:rPr>
              <w:t>1</w:t>
            </w:r>
          </w:p>
        </w:tc>
        <w:tc>
          <w:tcPr>
            <w:tcW w:w="543" w:type="dxa"/>
            <w:vMerge w:val="restart"/>
            <w:vAlign w:val="center"/>
          </w:tcPr>
          <w:p w14:paraId="0393A712">
            <w:pPr>
              <w:pStyle w:val="44"/>
              <w:rPr>
                <w:color w:val="auto"/>
              </w:rPr>
            </w:pPr>
            <w:r>
              <w:rPr>
                <w:rFonts w:hint="eastAsia"/>
                <w:color w:val="auto"/>
              </w:rPr>
              <w:t>保</w:t>
            </w:r>
          </w:p>
          <w:p w14:paraId="2397F2F5">
            <w:pPr>
              <w:pStyle w:val="44"/>
              <w:rPr>
                <w:color w:val="auto"/>
              </w:rPr>
            </w:pPr>
            <w:r>
              <w:rPr>
                <w:rFonts w:hint="eastAsia"/>
                <w:color w:val="auto"/>
              </w:rPr>
              <w:t>证</w:t>
            </w:r>
          </w:p>
          <w:p w14:paraId="086D6807">
            <w:pPr>
              <w:pStyle w:val="44"/>
              <w:rPr>
                <w:color w:val="auto"/>
              </w:rPr>
            </w:pPr>
            <w:r>
              <w:rPr>
                <w:rFonts w:hint="eastAsia"/>
                <w:color w:val="auto"/>
              </w:rPr>
              <w:t>项</w:t>
            </w:r>
          </w:p>
          <w:p w14:paraId="0DA4FBBB">
            <w:pPr>
              <w:pStyle w:val="44"/>
              <w:rPr>
                <w:color w:val="auto"/>
              </w:rPr>
            </w:pPr>
            <w:r>
              <w:rPr>
                <w:rFonts w:hint="eastAsia"/>
                <w:color w:val="auto"/>
              </w:rPr>
              <w:t>目</w:t>
            </w:r>
          </w:p>
        </w:tc>
        <w:tc>
          <w:tcPr>
            <w:tcW w:w="898" w:type="dxa"/>
            <w:vAlign w:val="center"/>
          </w:tcPr>
          <w:p w14:paraId="09239728">
            <w:pPr>
              <w:pStyle w:val="44"/>
              <w:rPr>
                <w:color w:val="auto"/>
              </w:rPr>
            </w:pPr>
            <w:r>
              <w:rPr>
                <w:rFonts w:hint="eastAsia"/>
                <w:color w:val="auto"/>
              </w:rPr>
              <w:t>安全装置</w:t>
            </w:r>
          </w:p>
        </w:tc>
        <w:tc>
          <w:tcPr>
            <w:tcW w:w="5580" w:type="dxa"/>
            <w:vAlign w:val="center"/>
          </w:tcPr>
          <w:p w14:paraId="10AAB269">
            <w:pPr>
              <w:pStyle w:val="44"/>
              <w:jc w:val="left"/>
              <w:rPr>
                <w:color w:val="auto"/>
              </w:rPr>
            </w:pPr>
            <w:r>
              <w:rPr>
                <w:color w:val="auto"/>
              </w:rPr>
              <w:t>1</w:t>
            </w:r>
            <w:r>
              <w:rPr>
                <w:rFonts w:hint="eastAsia"/>
                <w:color w:val="auto"/>
              </w:rPr>
              <w:t>）未安装起重量限制器或不灵敏，扣</w:t>
            </w:r>
            <w:r>
              <w:rPr>
                <w:color w:val="auto"/>
              </w:rPr>
              <w:t>10</w:t>
            </w:r>
            <w:r>
              <w:rPr>
                <w:rFonts w:hint="eastAsia"/>
                <w:color w:val="auto"/>
              </w:rPr>
              <w:t>分</w:t>
            </w:r>
          </w:p>
          <w:p w14:paraId="212CCBA9">
            <w:pPr>
              <w:pStyle w:val="44"/>
              <w:jc w:val="left"/>
              <w:rPr>
                <w:color w:val="auto"/>
              </w:rPr>
            </w:pPr>
            <w:r>
              <w:rPr>
                <w:color w:val="auto"/>
              </w:rPr>
              <w:t>2</w:t>
            </w:r>
            <w:r>
              <w:rPr>
                <w:rFonts w:hint="eastAsia"/>
                <w:color w:val="auto"/>
              </w:rPr>
              <w:t>）未安装防坠安全器或不灵敏，扣</w:t>
            </w:r>
            <w:r>
              <w:rPr>
                <w:color w:val="auto"/>
              </w:rPr>
              <w:t>10</w:t>
            </w:r>
            <w:r>
              <w:rPr>
                <w:rFonts w:hint="eastAsia"/>
                <w:color w:val="auto"/>
              </w:rPr>
              <w:t>分</w:t>
            </w:r>
          </w:p>
          <w:p w14:paraId="1DDC8199">
            <w:pPr>
              <w:pStyle w:val="44"/>
              <w:jc w:val="left"/>
              <w:rPr>
                <w:color w:val="auto"/>
              </w:rPr>
            </w:pPr>
            <w:r>
              <w:rPr>
                <w:color w:val="auto"/>
              </w:rPr>
              <w:t>3</w:t>
            </w:r>
            <w:r>
              <w:rPr>
                <w:rFonts w:hint="eastAsia"/>
                <w:color w:val="auto"/>
              </w:rPr>
              <w:t>）未设置刚性停靠装置或承载力不足，扣</w:t>
            </w:r>
            <w:r>
              <w:rPr>
                <w:color w:val="auto"/>
              </w:rPr>
              <w:t>10</w:t>
            </w:r>
            <w:r>
              <w:rPr>
                <w:rFonts w:hint="eastAsia"/>
                <w:color w:val="auto"/>
              </w:rPr>
              <w:t>分；未达到定型化，扣</w:t>
            </w:r>
            <w:r>
              <w:rPr>
                <w:color w:val="auto"/>
              </w:rPr>
              <w:t>3</w:t>
            </w:r>
            <w:r>
              <w:rPr>
                <w:rFonts w:hint="eastAsia"/>
                <w:color w:val="auto"/>
              </w:rPr>
              <w:t>分</w:t>
            </w:r>
          </w:p>
          <w:p w14:paraId="49AB6573">
            <w:pPr>
              <w:pStyle w:val="44"/>
              <w:jc w:val="left"/>
              <w:rPr>
                <w:color w:val="auto"/>
              </w:rPr>
            </w:pPr>
            <w:r>
              <w:rPr>
                <w:color w:val="auto"/>
              </w:rPr>
              <w:t>4</w:t>
            </w:r>
            <w:r>
              <w:rPr>
                <w:rFonts w:hint="eastAsia"/>
                <w:color w:val="auto"/>
              </w:rPr>
              <w:t>）未安装上限位开关或不灵敏，扣</w:t>
            </w:r>
            <w:r>
              <w:rPr>
                <w:color w:val="auto"/>
              </w:rPr>
              <w:t>10</w:t>
            </w:r>
            <w:r>
              <w:rPr>
                <w:rFonts w:hint="eastAsia"/>
                <w:color w:val="auto"/>
              </w:rPr>
              <w:t>分；安全越程小于</w:t>
            </w:r>
            <w:r>
              <w:rPr>
                <w:color w:val="auto"/>
              </w:rPr>
              <w:t>3m</w:t>
            </w:r>
            <w:r>
              <w:rPr>
                <w:rFonts w:hint="eastAsia"/>
                <w:color w:val="auto"/>
              </w:rPr>
              <w:t>，扣</w:t>
            </w:r>
            <w:r>
              <w:rPr>
                <w:color w:val="auto"/>
              </w:rPr>
              <w:t>5</w:t>
            </w:r>
            <w:r>
              <w:rPr>
                <w:rFonts w:hint="eastAsia"/>
                <w:color w:val="auto"/>
              </w:rPr>
              <w:t>分</w:t>
            </w:r>
          </w:p>
          <w:p w14:paraId="46CE4F7A">
            <w:pPr>
              <w:pStyle w:val="44"/>
              <w:jc w:val="left"/>
              <w:rPr>
                <w:color w:val="auto"/>
              </w:rPr>
            </w:pPr>
            <w:r>
              <w:rPr>
                <w:color w:val="auto"/>
              </w:rPr>
              <w:t>5</w:t>
            </w:r>
            <w:r>
              <w:rPr>
                <w:rFonts w:hint="eastAsia"/>
                <w:color w:val="auto"/>
              </w:rPr>
              <w:t>）底架未安装吊笼和对重缓冲器或缓冲器不符合标准要求，扣</w:t>
            </w:r>
            <w:r>
              <w:rPr>
                <w:color w:val="auto"/>
              </w:rPr>
              <w:t>5</w:t>
            </w:r>
            <w:r>
              <w:rPr>
                <w:rFonts w:hint="eastAsia"/>
                <w:color w:val="auto"/>
              </w:rPr>
              <w:t>分</w:t>
            </w:r>
          </w:p>
          <w:p w14:paraId="7DD98555">
            <w:pPr>
              <w:pStyle w:val="44"/>
              <w:jc w:val="left"/>
              <w:rPr>
                <w:color w:val="auto"/>
              </w:rPr>
            </w:pPr>
            <w:r>
              <w:rPr>
                <w:color w:val="auto"/>
              </w:rPr>
              <w:t>6</w:t>
            </w:r>
            <w:r>
              <w:rPr>
                <w:rFonts w:hint="eastAsia"/>
                <w:color w:val="auto"/>
              </w:rPr>
              <w:t>）未安装通信装置，扣</w:t>
            </w:r>
            <w:r>
              <w:rPr>
                <w:color w:val="auto"/>
              </w:rPr>
              <w:t>8</w:t>
            </w:r>
            <w:r>
              <w:rPr>
                <w:rFonts w:hint="eastAsia"/>
                <w:color w:val="auto"/>
              </w:rPr>
              <w:t>分；不具备语音和影象显示功能或信号不清晰，扣</w:t>
            </w:r>
            <w:r>
              <w:rPr>
                <w:color w:val="auto"/>
              </w:rPr>
              <w:t>3-5</w:t>
            </w:r>
            <w:r>
              <w:rPr>
                <w:rFonts w:hint="eastAsia"/>
                <w:color w:val="auto"/>
              </w:rPr>
              <w:t>分</w:t>
            </w:r>
          </w:p>
          <w:p w14:paraId="77E652B0">
            <w:pPr>
              <w:pStyle w:val="44"/>
              <w:jc w:val="left"/>
              <w:rPr>
                <w:color w:val="auto"/>
              </w:rPr>
            </w:pPr>
            <w:r>
              <w:rPr>
                <w:color w:val="auto"/>
              </w:rPr>
              <w:t>7</w:t>
            </w:r>
            <w:r>
              <w:rPr>
                <w:rFonts w:hint="eastAsia"/>
                <w:color w:val="auto"/>
              </w:rPr>
              <w:t>）安装高度超过</w:t>
            </w:r>
            <w:r>
              <w:rPr>
                <w:color w:val="auto"/>
              </w:rPr>
              <w:t>30m</w:t>
            </w:r>
            <w:r>
              <w:rPr>
                <w:rFonts w:hint="eastAsia"/>
                <w:color w:val="auto"/>
              </w:rPr>
              <w:t>未安装渐进式防坠安全器和自动停靠装置，每项扣</w:t>
            </w:r>
            <w:r>
              <w:rPr>
                <w:color w:val="auto"/>
              </w:rPr>
              <w:t>5</w:t>
            </w:r>
            <w:r>
              <w:rPr>
                <w:rFonts w:hint="eastAsia"/>
                <w:color w:val="auto"/>
              </w:rPr>
              <w:t>分</w:t>
            </w:r>
          </w:p>
        </w:tc>
        <w:tc>
          <w:tcPr>
            <w:tcW w:w="720" w:type="dxa"/>
            <w:vAlign w:val="center"/>
          </w:tcPr>
          <w:p w14:paraId="2C32C1BC">
            <w:pPr>
              <w:pStyle w:val="44"/>
              <w:rPr>
                <w:color w:val="auto"/>
              </w:rPr>
            </w:pPr>
            <w:r>
              <w:rPr>
                <w:color w:val="auto"/>
              </w:rPr>
              <w:t>10</w:t>
            </w:r>
          </w:p>
        </w:tc>
        <w:tc>
          <w:tcPr>
            <w:tcW w:w="720" w:type="dxa"/>
            <w:vAlign w:val="center"/>
          </w:tcPr>
          <w:p w14:paraId="4381FDAD">
            <w:pPr>
              <w:pStyle w:val="44"/>
              <w:rPr>
                <w:color w:val="auto"/>
              </w:rPr>
            </w:pPr>
          </w:p>
        </w:tc>
        <w:tc>
          <w:tcPr>
            <w:tcW w:w="720" w:type="dxa"/>
            <w:vAlign w:val="center"/>
          </w:tcPr>
          <w:p w14:paraId="645C3061">
            <w:pPr>
              <w:pStyle w:val="44"/>
              <w:rPr>
                <w:color w:val="auto"/>
              </w:rPr>
            </w:pPr>
          </w:p>
        </w:tc>
      </w:tr>
      <w:tr w14:paraId="3C648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trPr>
        <w:tc>
          <w:tcPr>
            <w:tcW w:w="539" w:type="dxa"/>
            <w:vAlign w:val="center"/>
          </w:tcPr>
          <w:p w14:paraId="492FD127">
            <w:pPr>
              <w:pStyle w:val="44"/>
              <w:rPr>
                <w:color w:val="auto"/>
              </w:rPr>
            </w:pPr>
            <w:r>
              <w:rPr>
                <w:color w:val="auto"/>
              </w:rPr>
              <w:t>2</w:t>
            </w:r>
          </w:p>
        </w:tc>
        <w:tc>
          <w:tcPr>
            <w:tcW w:w="543" w:type="dxa"/>
            <w:vMerge w:val="continue"/>
          </w:tcPr>
          <w:p w14:paraId="3F78A457">
            <w:pPr>
              <w:pStyle w:val="44"/>
              <w:rPr>
                <w:color w:val="auto"/>
              </w:rPr>
            </w:pPr>
          </w:p>
        </w:tc>
        <w:tc>
          <w:tcPr>
            <w:tcW w:w="898" w:type="dxa"/>
            <w:vAlign w:val="center"/>
          </w:tcPr>
          <w:p w14:paraId="648833F9">
            <w:pPr>
              <w:pStyle w:val="44"/>
              <w:rPr>
                <w:color w:val="auto"/>
              </w:rPr>
            </w:pPr>
            <w:r>
              <w:rPr>
                <w:rFonts w:hint="eastAsia"/>
                <w:color w:val="auto"/>
              </w:rPr>
              <w:t>防护设施</w:t>
            </w:r>
          </w:p>
        </w:tc>
        <w:tc>
          <w:tcPr>
            <w:tcW w:w="5580" w:type="dxa"/>
            <w:vAlign w:val="center"/>
          </w:tcPr>
          <w:p w14:paraId="505ACA08">
            <w:pPr>
              <w:pStyle w:val="44"/>
              <w:jc w:val="left"/>
              <w:rPr>
                <w:color w:val="auto"/>
              </w:rPr>
            </w:pPr>
            <w:r>
              <w:rPr>
                <w:color w:val="auto"/>
              </w:rPr>
              <w:t>1</w:t>
            </w:r>
            <w:r>
              <w:rPr>
                <w:rFonts w:hint="eastAsia"/>
                <w:color w:val="auto"/>
              </w:rPr>
              <w:t>）地面进料口未设置防护围栏，扣</w:t>
            </w:r>
            <w:r>
              <w:rPr>
                <w:color w:val="auto"/>
              </w:rPr>
              <w:t>10</w:t>
            </w:r>
            <w:r>
              <w:rPr>
                <w:rFonts w:hint="eastAsia"/>
                <w:color w:val="auto"/>
              </w:rPr>
              <w:t>分；围栏高度小于</w:t>
            </w:r>
            <w:r>
              <w:rPr>
                <w:color w:val="auto"/>
              </w:rPr>
              <w:t>1.8m</w:t>
            </w:r>
            <w:r>
              <w:rPr>
                <w:rFonts w:hint="eastAsia"/>
                <w:color w:val="auto"/>
              </w:rPr>
              <w:t>，扣</w:t>
            </w:r>
            <w:r>
              <w:rPr>
                <w:color w:val="auto"/>
              </w:rPr>
              <w:t>5</w:t>
            </w:r>
            <w:r>
              <w:rPr>
                <w:rFonts w:hint="eastAsia"/>
                <w:color w:val="auto"/>
              </w:rPr>
              <w:t>分</w:t>
            </w:r>
          </w:p>
          <w:p w14:paraId="0454F202">
            <w:pPr>
              <w:pStyle w:val="44"/>
              <w:jc w:val="left"/>
              <w:rPr>
                <w:color w:val="auto"/>
              </w:rPr>
            </w:pPr>
            <w:r>
              <w:rPr>
                <w:color w:val="auto"/>
              </w:rPr>
              <w:t>2</w:t>
            </w:r>
            <w:r>
              <w:rPr>
                <w:rFonts w:hint="eastAsia"/>
                <w:color w:val="auto"/>
              </w:rPr>
              <w:t>）停层平台两侧未设置防护栏杆、挡脚板，扣</w:t>
            </w:r>
            <w:r>
              <w:rPr>
                <w:color w:val="auto"/>
              </w:rPr>
              <w:t>10</w:t>
            </w:r>
            <w:r>
              <w:rPr>
                <w:rFonts w:hint="eastAsia"/>
                <w:color w:val="auto"/>
              </w:rPr>
              <w:t>分，设置不符合临边作业防护要求，扣</w:t>
            </w:r>
            <w:r>
              <w:rPr>
                <w:color w:val="auto"/>
              </w:rPr>
              <w:t>3-8</w:t>
            </w:r>
            <w:r>
              <w:rPr>
                <w:rFonts w:hint="eastAsia"/>
                <w:color w:val="auto"/>
              </w:rPr>
              <w:t>分</w:t>
            </w:r>
          </w:p>
          <w:p w14:paraId="1700507D">
            <w:pPr>
              <w:pStyle w:val="44"/>
              <w:jc w:val="left"/>
              <w:rPr>
                <w:color w:val="auto"/>
              </w:rPr>
            </w:pPr>
            <w:r>
              <w:rPr>
                <w:color w:val="auto"/>
              </w:rPr>
              <w:t>3</w:t>
            </w:r>
            <w:r>
              <w:rPr>
                <w:rFonts w:hint="eastAsia"/>
                <w:color w:val="auto"/>
              </w:rPr>
              <w:t>）停层平台面脚手板未满铺或未牢固固定，扣</w:t>
            </w:r>
            <w:r>
              <w:rPr>
                <w:color w:val="auto"/>
              </w:rPr>
              <w:t>10</w:t>
            </w:r>
            <w:r>
              <w:rPr>
                <w:rFonts w:hint="eastAsia"/>
                <w:color w:val="auto"/>
              </w:rPr>
              <w:t>分</w:t>
            </w:r>
          </w:p>
          <w:p w14:paraId="1AC3E62A">
            <w:pPr>
              <w:pStyle w:val="44"/>
              <w:jc w:val="left"/>
              <w:rPr>
                <w:color w:val="auto"/>
              </w:rPr>
            </w:pPr>
            <w:r>
              <w:rPr>
                <w:color w:val="auto"/>
              </w:rPr>
              <w:t>4</w:t>
            </w:r>
            <w:r>
              <w:rPr>
                <w:rFonts w:hint="eastAsia"/>
                <w:color w:val="auto"/>
              </w:rPr>
              <w:t>）未安装平台门或平台门不起作用，扣</w:t>
            </w:r>
            <w:r>
              <w:rPr>
                <w:color w:val="auto"/>
              </w:rPr>
              <w:t>10</w:t>
            </w:r>
            <w:r>
              <w:rPr>
                <w:rFonts w:hint="eastAsia"/>
                <w:color w:val="auto"/>
              </w:rPr>
              <w:t>分；未实现定型化，扣</w:t>
            </w:r>
            <w:r>
              <w:rPr>
                <w:color w:val="auto"/>
              </w:rPr>
              <w:t>3</w:t>
            </w:r>
            <w:r>
              <w:rPr>
                <w:rFonts w:hint="eastAsia"/>
                <w:color w:val="auto"/>
              </w:rPr>
              <w:t>分</w:t>
            </w:r>
          </w:p>
          <w:p w14:paraId="28F8BA4C">
            <w:pPr>
              <w:pStyle w:val="44"/>
              <w:jc w:val="left"/>
              <w:rPr>
                <w:color w:val="auto"/>
              </w:rPr>
            </w:pPr>
            <w:r>
              <w:rPr>
                <w:color w:val="auto"/>
              </w:rPr>
              <w:t>5</w:t>
            </w:r>
            <w:r>
              <w:rPr>
                <w:rFonts w:hint="eastAsia"/>
                <w:color w:val="auto"/>
              </w:rPr>
              <w:t>）平台门高度不符合标准要求，扣</w:t>
            </w:r>
            <w:r>
              <w:rPr>
                <w:color w:val="auto"/>
              </w:rPr>
              <w:t>3-5</w:t>
            </w:r>
            <w:r>
              <w:rPr>
                <w:rFonts w:hint="eastAsia"/>
                <w:color w:val="auto"/>
              </w:rPr>
              <w:t>分</w:t>
            </w:r>
          </w:p>
          <w:p w14:paraId="76FA9E6F">
            <w:pPr>
              <w:pStyle w:val="44"/>
              <w:jc w:val="left"/>
              <w:rPr>
                <w:color w:val="auto"/>
              </w:rPr>
            </w:pPr>
            <w:r>
              <w:rPr>
                <w:color w:val="auto"/>
              </w:rPr>
              <w:t>6</w:t>
            </w:r>
            <w:r>
              <w:rPr>
                <w:rFonts w:hint="eastAsia"/>
                <w:color w:val="auto"/>
              </w:rPr>
              <w:t>）平台门安装不牢固或承载力不足，扣</w:t>
            </w:r>
            <w:r>
              <w:rPr>
                <w:color w:val="auto"/>
              </w:rPr>
              <w:t>5-10</w:t>
            </w:r>
            <w:r>
              <w:rPr>
                <w:rFonts w:hint="eastAsia"/>
                <w:color w:val="auto"/>
              </w:rPr>
              <w:t>分</w:t>
            </w:r>
          </w:p>
          <w:p w14:paraId="59E99466">
            <w:pPr>
              <w:pStyle w:val="44"/>
              <w:jc w:val="left"/>
              <w:rPr>
                <w:color w:val="auto"/>
              </w:rPr>
            </w:pPr>
            <w:r>
              <w:rPr>
                <w:color w:val="auto"/>
              </w:rPr>
              <w:t>7</w:t>
            </w:r>
            <w:r>
              <w:rPr>
                <w:rFonts w:hint="eastAsia"/>
                <w:color w:val="auto"/>
              </w:rPr>
              <w:t>）地面进料口未设置防护棚，扣</w:t>
            </w:r>
            <w:r>
              <w:rPr>
                <w:color w:val="auto"/>
              </w:rPr>
              <w:t>10</w:t>
            </w:r>
            <w:r>
              <w:rPr>
                <w:rFonts w:hint="eastAsia"/>
                <w:color w:val="auto"/>
              </w:rPr>
              <w:t>分；设置不符合标准要求，扣</w:t>
            </w:r>
            <w:r>
              <w:rPr>
                <w:color w:val="auto"/>
              </w:rPr>
              <w:t>3-5</w:t>
            </w:r>
            <w:r>
              <w:rPr>
                <w:rFonts w:hint="eastAsia"/>
                <w:color w:val="auto"/>
              </w:rPr>
              <w:t>分</w:t>
            </w:r>
          </w:p>
          <w:p w14:paraId="0B148DF8">
            <w:pPr>
              <w:pStyle w:val="44"/>
              <w:jc w:val="left"/>
              <w:rPr>
                <w:color w:val="auto"/>
              </w:rPr>
            </w:pPr>
            <w:r>
              <w:rPr>
                <w:color w:val="auto"/>
              </w:rPr>
              <w:t>8</w:t>
            </w:r>
            <w:r>
              <w:rPr>
                <w:rFonts w:hint="eastAsia"/>
                <w:color w:val="auto"/>
              </w:rPr>
              <w:t>）未设置卷扬机操作棚，扣</w:t>
            </w:r>
            <w:r>
              <w:rPr>
                <w:color w:val="auto"/>
              </w:rPr>
              <w:t>8</w:t>
            </w:r>
            <w:r>
              <w:rPr>
                <w:rFonts w:hint="eastAsia"/>
                <w:color w:val="auto"/>
              </w:rPr>
              <w:t>分；未实现定型化，扣</w:t>
            </w:r>
            <w:r>
              <w:rPr>
                <w:color w:val="auto"/>
              </w:rPr>
              <w:t>3</w:t>
            </w:r>
            <w:r>
              <w:rPr>
                <w:rFonts w:hint="eastAsia"/>
                <w:color w:val="auto"/>
              </w:rPr>
              <w:t>分</w:t>
            </w:r>
          </w:p>
        </w:tc>
        <w:tc>
          <w:tcPr>
            <w:tcW w:w="720" w:type="dxa"/>
            <w:vAlign w:val="center"/>
          </w:tcPr>
          <w:p w14:paraId="0C71B082">
            <w:pPr>
              <w:pStyle w:val="44"/>
              <w:rPr>
                <w:color w:val="auto"/>
              </w:rPr>
            </w:pPr>
            <w:r>
              <w:rPr>
                <w:color w:val="auto"/>
              </w:rPr>
              <w:t>10</w:t>
            </w:r>
          </w:p>
        </w:tc>
        <w:tc>
          <w:tcPr>
            <w:tcW w:w="720" w:type="dxa"/>
            <w:vAlign w:val="center"/>
          </w:tcPr>
          <w:p w14:paraId="3C20CC99">
            <w:pPr>
              <w:pStyle w:val="44"/>
              <w:rPr>
                <w:color w:val="auto"/>
              </w:rPr>
            </w:pPr>
          </w:p>
        </w:tc>
        <w:tc>
          <w:tcPr>
            <w:tcW w:w="720" w:type="dxa"/>
            <w:vAlign w:val="center"/>
          </w:tcPr>
          <w:p w14:paraId="14922D34">
            <w:pPr>
              <w:pStyle w:val="44"/>
              <w:rPr>
                <w:color w:val="auto"/>
              </w:rPr>
            </w:pPr>
          </w:p>
        </w:tc>
      </w:tr>
      <w:tr w14:paraId="3F47E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1DFA4E73">
            <w:pPr>
              <w:pStyle w:val="44"/>
              <w:rPr>
                <w:color w:val="auto"/>
              </w:rPr>
            </w:pPr>
            <w:r>
              <w:rPr>
                <w:color w:val="auto"/>
              </w:rPr>
              <w:t>3</w:t>
            </w:r>
          </w:p>
        </w:tc>
        <w:tc>
          <w:tcPr>
            <w:tcW w:w="543" w:type="dxa"/>
            <w:vMerge w:val="continue"/>
          </w:tcPr>
          <w:p w14:paraId="0304DF32">
            <w:pPr>
              <w:pStyle w:val="44"/>
              <w:rPr>
                <w:color w:val="auto"/>
              </w:rPr>
            </w:pPr>
          </w:p>
        </w:tc>
        <w:tc>
          <w:tcPr>
            <w:tcW w:w="898" w:type="dxa"/>
            <w:vAlign w:val="center"/>
          </w:tcPr>
          <w:p w14:paraId="724EA71B">
            <w:pPr>
              <w:pStyle w:val="44"/>
              <w:rPr>
                <w:color w:val="auto"/>
              </w:rPr>
            </w:pPr>
            <w:r>
              <w:rPr>
                <w:rFonts w:hint="eastAsia"/>
                <w:color w:val="auto"/>
              </w:rPr>
              <w:t>附墙架、缆风绳与地锚</w:t>
            </w:r>
          </w:p>
        </w:tc>
        <w:tc>
          <w:tcPr>
            <w:tcW w:w="5580" w:type="dxa"/>
          </w:tcPr>
          <w:p w14:paraId="16C4268F">
            <w:pPr>
              <w:pStyle w:val="44"/>
              <w:jc w:val="left"/>
              <w:rPr>
                <w:color w:val="auto"/>
              </w:rPr>
            </w:pPr>
            <w:r>
              <w:rPr>
                <w:color w:val="auto"/>
              </w:rPr>
              <w:t>1</w:t>
            </w:r>
            <w:r>
              <w:rPr>
                <w:rFonts w:hint="eastAsia"/>
                <w:color w:val="auto"/>
              </w:rPr>
              <w:t>）附墙架结构形式、材质、间距、最高附着点以上导轨架的自由高度不符合产品说明书要求，扣</w:t>
            </w:r>
            <w:r>
              <w:rPr>
                <w:color w:val="auto"/>
              </w:rPr>
              <w:t>10</w:t>
            </w:r>
            <w:r>
              <w:rPr>
                <w:rFonts w:hint="eastAsia"/>
                <w:color w:val="auto"/>
              </w:rPr>
              <w:t>分</w:t>
            </w:r>
          </w:p>
          <w:p w14:paraId="101138A7">
            <w:pPr>
              <w:pStyle w:val="44"/>
              <w:jc w:val="left"/>
              <w:rPr>
                <w:color w:val="auto"/>
              </w:rPr>
            </w:pPr>
            <w:r>
              <w:rPr>
                <w:color w:val="auto"/>
              </w:rPr>
              <w:t>2</w:t>
            </w:r>
            <w:r>
              <w:rPr>
                <w:rFonts w:hint="eastAsia"/>
                <w:color w:val="auto"/>
              </w:rPr>
              <w:t>）附墙架与导轨架、建筑结构未采用刚性连接或连接不牢靠，扣</w:t>
            </w:r>
            <w:r>
              <w:rPr>
                <w:color w:val="auto"/>
              </w:rPr>
              <w:t>10</w:t>
            </w:r>
            <w:r>
              <w:rPr>
                <w:rFonts w:hint="eastAsia"/>
                <w:color w:val="auto"/>
              </w:rPr>
              <w:t>分</w:t>
            </w:r>
          </w:p>
          <w:p w14:paraId="01C36A6F">
            <w:pPr>
              <w:pStyle w:val="44"/>
              <w:jc w:val="left"/>
              <w:rPr>
                <w:color w:val="auto"/>
              </w:rPr>
            </w:pPr>
            <w:r>
              <w:rPr>
                <w:color w:val="auto"/>
              </w:rPr>
              <w:t>3</w:t>
            </w:r>
            <w:r>
              <w:rPr>
                <w:rFonts w:hint="eastAsia"/>
                <w:color w:val="auto"/>
              </w:rPr>
              <w:t>）缆风绳设置数量、位置、直径、角度不符合标准和产品说明书要求，扣</w:t>
            </w:r>
            <w:r>
              <w:rPr>
                <w:color w:val="auto"/>
              </w:rPr>
              <w:t>5-10</w:t>
            </w:r>
            <w:r>
              <w:rPr>
                <w:rFonts w:hint="eastAsia"/>
                <w:color w:val="auto"/>
              </w:rPr>
              <w:t>分</w:t>
            </w:r>
          </w:p>
          <w:p w14:paraId="31EABB69">
            <w:pPr>
              <w:pStyle w:val="44"/>
              <w:jc w:val="left"/>
              <w:rPr>
                <w:color w:val="auto"/>
              </w:rPr>
            </w:pPr>
            <w:r>
              <w:rPr>
                <w:color w:val="auto"/>
              </w:rPr>
              <w:t>4</w:t>
            </w:r>
            <w:r>
              <w:rPr>
                <w:rFonts w:hint="eastAsia"/>
                <w:color w:val="auto"/>
              </w:rPr>
              <w:t>）缆风绳与地锚连接不牢固，扣</w:t>
            </w:r>
            <w:r>
              <w:rPr>
                <w:color w:val="auto"/>
              </w:rPr>
              <w:t>10</w:t>
            </w:r>
            <w:r>
              <w:rPr>
                <w:rFonts w:hint="eastAsia"/>
                <w:color w:val="auto"/>
              </w:rPr>
              <w:t>分</w:t>
            </w:r>
          </w:p>
          <w:p w14:paraId="263398DA">
            <w:pPr>
              <w:pStyle w:val="44"/>
              <w:jc w:val="left"/>
              <w:rPr>
                <w:color w:val="auto"/>
              </w:rPr>
            </w:pPr>
            <w:r>
              <w:rPr>
                <w:color w:val="auto"/>
              </w:rPr>
              <w:t>5</w:t>
            </w:r>
            <w:r>
              <w:rPr>
                <w:rFonts w:hint="eastAsia"/>
                <w:color w:val="auto"/>
              </w:rPr>
              <w:t>）安装高度在</w:t>
            </w:r>
            <w:r>
              <w:rPr>
                <w:color w:val="auto"/>
              </w:rPr>
              <w:t>30m</w:t>
            </w:r>
            <w:r>
              <w:rPr>
                <w:rFonts w:hint="eastAsia"/>
                <w:color w:val="auto"/>
              </w:rPr>
              <w:t>及以上时未设置附墙架，扣</w:t>
            </w:r>
            <w:r>
              <w:rPr>
                <w:color w:val="auto"/>
              </w:rPr>
              <w:t>10</w:t>
            </w:r>
            <w:r>
              <w:rPr>
                <w:rFonts w:hint="eastAsia"/>
                <w:color w:val="auto"/>
              </w:rPr>
              <w:t>分</w:t>
            </w:r>
          </w:p>
          <w:p w14:paraId="50A24CB7">
            <w:pPr>
              <w:pStyle w:val="44"/>
              <w:jc w:val="left"/>
              <w:rPr>
                <w:color w:val="auto"/>
              </w:rPr>
            </w:pPr>
            <w:r>
              <w:rPr>
                <w:color w:val="auto"/>
              </w:rPr>
              <w:t>6</w:t>
            </w:r>
            <w:r>
              <w:rPr>
                <w:rFonts w:hint="eastAsia"/>
                <w:color w:val="auto"/>
              </w:rPr>
              <w:t>）地锚设置不符合标准要求，每处扣</w:t>
            </w:r>
            <w:r>
              <w:rPr>
                <w:color w:val="auto"/>
              </w:rPr>
              <w:t>5</w:t>
            </w:r>
            <w:r>
              <w:rPr>
                <w:rFonts w:hint="eastAsia"/>
                <w:color w:val="auto"/>
              </w:rPr>
              <w:t>分</w:t>
            </w:r>
          </w:p>
        </w:tc>
        <w:tc>
          <w:tcPr>
            <w:tcW w:w="720" w:type="dxa"/>
            <w:vAlign w:val="center"/>
          </w:tcPr>
          <w:p w14:paraId="53EF3588">
            <w:pPr>
              <w:pStyle w:val="44"/>
              <w:rPr>
                <w:color w:val="auto"/>
              </w:rPr>
            </w:pPr>
            <w:r>
              <w:rPr>
                <w:color w:val="auto"/>
              </w:rPr>
              <w:t>10</w:t>
            </w:r>
          </w:p>
        </w:tc>
        <w:tc>
          <w:tcPr>
            <w:tcW w:w="720" w:type="dxa"/>
            <w:vAlign w:val="center"/>
          </w:tcPr>
          <w:p w14:paraId="1554C0A6">
            <w:pPr>
              <w:pStyle w:val="44"/>
              <w:rPr>
                <w:color w:val="auto"/>
              </w:rPr>
            </w:pPr>
          </w:p>
        </w:tc>
        <w:tc>
          <w:tcPr>
            <w:tcW w:w="720" w:type="dxa"/>
            <w:vAlign w:val="center"/>
          </w:tcPr>
          <w:p w14:paraId="39A194E0">
            <w:pPr>
              <w:pStyle w:val="44"/>
              <w:rPr>
                <w:color w:val="auto"/>
              </w:rPr>
            </w:pPr>
          </w:p>
        </w:tc>
      </w:tr>
      <w:tr w14:paraId="76396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461E73EE">
            <w:pPr>
              <w:pStyle w:val="44"/>
              <w:rPr>
                <w:color w:val="auto"/>
              </w:rPr>
            </w:pPr>
            <w:r>
              <w:rPr>
                <w:color w:val="auto"/>
              </w:rPr>
              <w:t>4</w:t>
            </w:r>
          </w:p>
        </w:tc>
        <w:tc>
          <w:tcPr>
            <w:tcW w:w="543" w:type="dxa"/>
            <w:vMerge w:val="continue"/>
          </w:tcPr>
          <w:p w14:paraId="1BD0F382">
            <w:pPr>
              <w:pStyle w:val="44"/>
              <w:rPr>
                <w:color w:val="auto"/>
              </w:rPr>
            </w:pPr>
          </w:p>
        </w:tc>
        <w:tc>
          <w:tcPr>
            <w:tcW w:w="898" w:type="dxa"/>
            <w:vAlign w:val="center"/>
          </w:tcPr>
          <w:p w14:paraId="43EBF85C">
            <w:pPr>
              <w:pStyle w:val="44"/>
              <w:rPr>
                <w:color w:val="auto"/>
              </w:rPr>
            </w:pPr>
            <w:r>
              <w:rPr>
                <w:rFonts w:hint="eastAsia"/>
                <w:color w:val="auto"/>
              </w:rPr>
              <w:t>钢丝绳</w:t>
            </w:r>
          </w:p>
        </w:tc>
        <w:tc>
          <w:tcPr>
            <w:tcW w:w="5580" w:type="dxa"/>
          </w:tcPr>
          <w:p w14:paraId="2BD5BB10">
            <w:pPr>
              <w:pStyle w:val="44"/>
              <w:jc w:val="left"/>
              <w:rPr>
                <w:color w:val="auto"/>
              </w:rPr>
            </w:pPr>
            <w:r>
              <w:rPr>
                <w:color w:val="auto"/>
              </w:rPr>
              <w:t>1</w:t>
            </w:r>
            <w:r>
              <w:rPr>
                <w:rFonts w:hint="eastAsia"/>
                <w:color w:val="auto"/>
              </w:rPr>
              <w:t>）钢丝绳磨损、断丝、变形、锈蚀达到报废标准，扣</w:t>
            </w:r>
            <w:r>
              <w:rPr>
                <w:color w:val="auto"/>
              </w:rPr>
              <w:t>10</w:t>
            </w:r>
            <w:r>
              <w:rPr>
                <w:rFonts w:hint="eastAsia"/>
                <w:color w:val="auto"/>
              </w:rPr>
              <w:t>分</w:t>
            </w:r>
          </w:p>
          <w:p w14:paraId="09D20145">
            <w:pPr>
              <w:pStyle w:val="44"/>
              <w:jc w:val="left"/>
              <w:rPr>
                <w:color w:val="auto"/>
              </w:rPr>
            </w:pPr>
            <w:r>
              <w:rPr>
                <w:color w:val="auto"/>
              </w:rPr>
              <w:t>2</w:t>
            </w:r>
            <w:r>
              <w:rPr>
                <w:rFonts w:hint="eastAsia"/>
                <w:color w:val="auto"/>
              </w:rPr>
              <w:t>）钢丝绳绳夹设置不符合相关标准要求，每处扣</w:t>
            </w:r>
            <w:r>
              <w:rPr>
                <w:color w:val="auto"/>
              </w:rPr>
              <w:t>2</w:t>
            </w:r>
            <w:r>
              <w:rPr>
                <w:rFonts w:hint="eastAsia"/>
                <w:color w:val="auto"/>
              </w:rPr>
              <w:t>分</w:t>
            </w:r>
          </w:p>
          <w:p w14:paraId="06707218">
            <w:pPr>
              <w:pStyle w:val="44"/>
              <w:jc w:val="left"/>
              <w:rPr>
                <w:color w:val="auto"/>
              </w:rPr>
            </w:pPr>
            <w:r>
              <w:rPr>
                <w:color w:val="auto"/>
              </w:rPr>
              <w:t>3</w:t>
            </w:r>
            <w:r>
              <w:rPr>
                <w:rFonts w:hint="eastAsia"/>
                <w:color w:val="auto"/>
              </w:rPr>
              <w:t>）当吊笼处于最低位置时，卷筒上钢丝绳少于</w:t>
            </w:r>
            <w:r>
              <w:rPr>
                <w:color w:val="auto"/>
              </w:rPr>
              <w:t>3</w:t>
            </w:r>
            <w:r>
              <w:rPr>
                <w:rFonts w:hint="eastAsia"/>
                <w:color w:val="auto"/>
              </w:rPr>
              <w:t>圈，扣</w:t>
            </w:r>
            <w:r>
              <w:rPr>
                <w:color w:val="auto"/>
              </w:rPr>
              <w:t>10</w:t>
            </w:r>
            <w:r>
              <w:rPr>
                <w:rFonts w:hint="eastAsia"/>
                <w:color w:val="auto"/>
              </w:rPr>
              <w:t>分</w:t>
            </w:r>
          </w:p>
          <w:p w14:paraId="1C1647EE">
            <w:pPr>
              <w:pStyle w:val="44"/>
              <w:jc w:val="left"/>
              <w:rPr>
                <w:color w:val="auto"/>
              </w:rPr>
            </w:pPr>
            <w:r>
              <w:rPr>
                <w:color w:val="auto"/>
              </w:rPr>
              <w:t>4</w:t>
            </w:r>
            <w:r>
              <w:rPr>
                <w:rFonts w:hint="eastAsia"/>
                <w:color w:val="auto"/>
              </w:rPr>
              <w:t>）未设置钢丝绳过路保护措施或钢丝绳拖地，扣</w:t>
            </w:r>
            <w:r>
              <w:rPr>
                <w:color w:val="auto"/>
              </w:rPr>
              <w:t>5</w:t>
            </w:r>
            <w:r>
              <w:rPr>
                <w:rFonts w:hint="eastAsia"/>
                <w:color w:val="auto"/>
              </w:rPr>
              <w:t>分</w:t>
            </w:r>
          </w:p>
        </w:tc>
        <w:tc>
          <w:tcPr>
            <w:tcW w:w="720" w:type="dxa"/>
            <w:vAlign w:val="center"/>
          </w:tcPr>
          <w:p w14:paraId="3277FC2E">
            <w:pPr>
              <w:pStyle w:val="44"/>
              <w:rPr>
                <w:color w:val="auto"/>
              </w:rPr>
            </w:pPr>
            <w:r>
              <w:rPr>
                <w:color w:val="auto"/>
              </w:rPr>
              <w:t>10</w:t>
            </w:r>
          </w:p>
        </w:tc>
        <w:tc>
          <w:tcPr>
            <w:tcW w:w="720" w:type="dxa"/>
            <w:vAlign w:val="center"/>
          </w:tcPr>
          <w:p w14:paraId="38FA44FD">
            <w:pPr>
              <w:pStyle w:val="44"/>
              <w:rPr>
                <w:color w:val="auto"/>
              </w:rPr>
            </w:pPr>
          </w:p>
        </w:tc>
        <w:tc>
          <w:tcPr>
            <w:tcW w:w="720" w:type="dxa"/>
            <w:vAlign w:val="center"/>
          </w:tcPr>
          <w:p w14:paraId="5701EE17">
            <w:pPr>
              <w:pStyle w:val="44"/>
              <w:rPr>
                <w:color w:val="auto"/>
              </w:rPr>
            </w:pPr>
          </w:p>
        </w:tc>
      </w:tr>
      <w:tr w14:paraId="66DD5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trPr>
        <w:tc>
          <w:tcPr>
            <w:tcW w:w="539" w:type="dxa"/>
            <w:vAlign w:val="center"/>
          </w:tcPr>
          <w:p w14:paraId="36B1EEC2">
            <w:pPr>
              <w:pStyle w:val="44"/>
              <w:rPr>
                <w:color w:val="auto"/>
              </w:rPr>
            </w:pPr>
            <w:r>
              <w:rPr>
                <w:color w:val="auto"/>
              </w:rPr>
              <w:t>5</w:t>
            </w:r>
          </w:p>
        </w:tc>
        <w:tc>
          <w:tcPr>
            <w:tcW w:w="543" w:type="dxa"/>
            <w:vMerge w:val="continue"/>
          </w:tcPr>
          <w:p w14:paraId="6A6EF6C9">
            <w:pPr>
              <w:pStyle w:val="44"/>
              <w:rPr>
                <w:color w:val="auto"/>
              </w:rPr>
            </w:pPr>
          </w:p>
        </w:tc>
        <w:tc>
          <w:tcPr>
            <w:tcW w:w="898" w:type="dxa"/>
            <w:vAlign w:val="center"/>
          </w:tcPr>
          <w:p w14:paraId="3B1AD888">
            <w:pPr>
              <w:pStyle w:val="44"/>
              <w:rPr>
                <w:color w:val="auto"/>
              </w:rPr>
            </w:pPr>
            <w:r>
              <w:rPr>
                <w:rFonts w:hint="eastAsia"/>
                <w:color w:val="auto"/>
              </w:rPr>
              <w:t>架体结构</w:t>
            </w:r>
          </w:p>
        </w:tc>
        <w:tc>
          <w:tcPr>
            <w:tcW w:w="5580" w:type="dxa"/>
            <w:vAlign w:val="center"/>
          </w:tcPr>
          <w:p w14:paraId="6AD84D45">
            <w:pPr>
              <w:pStyle w:val="44"/>
              <w:jc w:val="left"/>
              <w:rPr>
                <w:color w:val="auto"/>
              </w:rPr>
            </w:pPr>
            <w:r>
              <w:rPr>
                <w:color w:val="auto"/>
              </w:rPr>
              <w:t>1</w:t>
            </w:r>
            <w:r>
              <w:rPr>
                <w:rFonts w:hint="eastAsia"/>
                <w:color w:val="auto"/>
              </w:rPr>
              <w:t>）主要结构件有明显变形、严重锈蚀，或焊缝有明显可见裂纹，扣</w:t>
            </w:r>
            <w:r>
              <w:rPr>
                <w:color w:val="auto"/>
              </w:rPr>
              <w:t>10</w:t>
            </w:r>
            <w:r>
              <w:rPr>
                <w:rFonts w:hint="eastAsia"/>
                <w:color w:val="auto"/>
              </w:rPr>
              <w:t>分</w:t>
            </w:r>
          </w:p>
          <w:p w14:paraId="27938E64">
            <w:pPr>
              <w:pStyle w:val="44"/>
              <w:jc w:val="left"/>
              <w:rPr>
                <w:color w:val="auto"/>
              </w:rPr>
            </w:pPr>
            <w:r>
              <w:rPr>
                <w:color w:val="auto"/>
              </w:rPr>
              <w:t>2</w:t>
            </w:r>
            <w:r>
              <w:rPr>
                <w:rFonts w:hint="eastAsia"/>
                <w:color w:val="auto"/>
              </w:rPr>
              <w:t>）结构件安装不符合产品说明书要求，扣</w:t>
            </w:r>
            <w:r>
              <w:rPr>
                <w:color w:val="auto"/>
              </w:rPr>
              <w:t>10</w:t>
            </w:r>
            <w:r>
              <w:rPr>
                <w:rFonts w:hint="eastAsia"/>
                <w:color w:val="auto"/>
              </w:rPr>
              <w:t>分；连接螺栓不齐全或不紧固，每处扣</w:t>
            </w:r>
            <w:r>
              <w:rPr>
                <w:color w:val="auto"/>
              </w:rPr>
              <w:t>2</w:t>
            </w:r>
            <w:r>
              <w:rPr>
                <w:rFonts w:hint="eastAsia"/>
                <w:color w:val="auto"/>
              </w:rPr>
              <w:t>分</w:t>
            </w:r>
          </w:p>
          <w:p w14:paraId="21AFBC36">
            <w:pPr>
              <w:pStyle w:val="44"/>
              <w:jc w:val="left"/>
              <w:rPr>
                <w:color w:val="auto"/>
              </w:rPr>
            </w:pPr>
            <w:r>
              <w:rPr>
                <w:color w:val="auto"/>
              </w:rPr>
              <w:t>3</w:t>
            </w:r>
            <w:r>
              <w:rPr>
                <w:rFonts w:hint="eastAsia"/>
                <w:color w:val="auto"/>
              </w:rPr>
              <w:t>）导轨架垂直度偏差大于导轨架高度的</w:t>
            </w:r>
            <w:r>
              <w:rPr>
                <w:color w:val="auto"/>
              </w:rPr>
              <w:t>0.15%</w:t>
            </w:r>
            <w:r>
              <w:rPr>
                <w:rFonts w:hint="eastAsia"/>
                <w:color w:val="auto"/>
              </w:rPr>
              <w:t>，扣</w:t>
            </w:r>
            <w:r>
              <w:rPr>
                <w:color w:val="auto"/>
              </w:rPr>
              <w:t>10</w:t>
            </w:r>
            <w:r>
              <w:rPr>
                <w:rFonts w:hint="eastAsia"/>
                <w:color w:val="auto"/>
              </w:rPr>
              <w:t>分</w:t>
            </w:r>
          </w:p>
          <w:p w14:paraId="280ECCF7">
            <w:pPr>
              <w:pStyle w:val="44"/>
              <w:jc w:val="left"/>
              <w:rPr>
                <w:color w:val="auto"/>
              </w:rPr>
            </w:pPr>
            <w:r>
              <w:rPr>
                <w:color w:val="auto"/>
              </w:rPr>
              <w:t>4</w:t>
            </w:r>
            <w:r>
              <w:rPr>
                <w:rFonts w:hint="eastAsia"/>
                <w:color w:val="auto"/>
              </w:rPr>
              <w:t>）井架停靠平台通道处的结构未采取加强措施，扣</w:t>
            </w:r>
            <w:r>
              <w:rPr>
                <w:color w:val="auto"/>
              </w:rPr>
              <w:t>10</w:t>
            </w:r>
            <w:r>
              <w:rPr>
                <w:rFonts w:hint="eastAsia"/>
                <w:color w:val="auto"/>
              </w:rPr>
              <w:t>分</w:t>
            </w:r>
          </w:p>
        </w:tc>
        <w:tc>
          <w:tcPr>
            <w:tcW w:w="720" w:type="dxa"/>
            <w:vAlign w:val="center"/>
          </w:tcPr>
          <w:p w14:paraId="3D5174ED">
            <w:pPr>
              <w:pStyle w:val="44"/>
              <w:rPr>
                <w:color w:val="auto"/>
              </w:rPr>
            </w:pPr>
            <w:r>
              <w:rPr>
                <w:color w:val="auto"/>
              </w:rPr>
              <w:t>10</w:t>
            </w:r>
          </w:p>
        </w:tc>
        <w:tc>
          <w:tcPr>
            <w:tcW w:w="720" w:type="dxa"/>
            <w:vAlign w:val="center"/>
          </w:tcPr>
          <w:p w14:paraId="16E7241C">
            <w:pPr>
              <w:pStyle w:val="44"/>
              <w:rPr>
                <w:color w:val="auto"/>
              </w:rPr>
            </w:pPr>
          </w:p>
        </w:tc>
        <w:tc>
          <w:tcPr>
            <w:tcW w:w="720" w:type="dxa"/>
            <w:vAlign w:val="center"/>
          </w:tcPr>
          <w:p w14:paraId="382E68E5">
            <w:pPr>
              <w:pStyle w:val="44"/>
              <w:rPr>
                <w:color w:val="auto"/>
              </w:rPr>
            </w:pPr>
          </w:p>
        </w:tc>
      </w:tr>
      <w:tr w14:paraId="331EA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20FF7210">
            <w:pPr>
              <w:pStyle w:val="44"/>
              <w:rPr>
                <w:color w:val="auto"/>
              </w:rPr>
            </w:pPr>
            <w:r>
              <w:rPr>
                <w:color w:val="auto"/>
              </w:rPr>
              <w:t>6</w:t>
            </w:r>
          </w:p>
        </w:tc>
        <w:tc>
          <w:tcPr>
            <w:tcW w:w="543" w:type="dxa"/>
            <w:vMerge w:val="continue"/>
            <w:vAlign w:val="center"/>
          </w:tcPr>
          <w:p w14:paraId="2B6637B0">
            <w:pPr>
              <w:pStyle w:val="44"/>
              <w:rPr>
                <w:color w:val="auto"/>
              </w:rPr>
            </w:pPr>
          </w:p>
        </w:tc>
        <w:tc>
          <w:tcPr>
            <w:tcW w:w="898" w:type="dxa"/>
            <w:vAlign w:val="center"/>
          </w:tcPr>
          <w:p w14:paraId="468304CF">
            <w:pPr>
              <w:pStyle w:val="44"/>
              <w:rPr>
                <w:color w:val="auto"/>
              </w:rPr>
            </w:pPr>
            <w:r>
              <w:rPr>
                <w:rFonts w:hint="eastAsia"/>
                <w:color w:val="auto"/>
              </w:rPr>
              <w:t>动力与传动装置</w:t>
            </w:r>
          </w:p>
        </w:tc>
        <w:tc>
          <w:tcPr>
            <w:tcW w:w="5580" w:type="dxa"/>
            <w:vAlign w:val="center"/>
          </w:tcPr>
          <w:p w14:paraId="011886AC">
            <w:pPr>
              <w:pStyle w:val="44"/>
              <w:jc w:val="left"/>
              <w:rPr>
                <w:color w:val="auto"/>
              </w:rPr>
            </w:pPr>
            <w:r>
              <w:rPr>
                <w:color w:val="auto"/>
              </w:rPr>
              <w:t>1</w:t>
            </w:r>
            <w:r>
              <w:rPr>
                <w:rFonts w:hint="eastAsia"/>
                <w:color w:val="auto"/>
              </w:rPr>
              <w:t>）卷扬机、曳引机安装不牢固，扣</w:t>
            </w:r>
            <w:r>
              <w:rPr>
                <w:color w:val="auto"/>
              </w:rPr>
              <w:t>10</w:t>
            </w:r>
            <w:r>
              <w:rPr>
                <w:rFonts w:hint="eastAsia"/>
                <w:color w:val="auto"/>
              </w:rPr>
              <w:t>分</w:t>
            </w:r>
          </w:p>
          <w:p w14:paraId="4F8C3589">
            <w:pPr>
              <w:pStyle w:val="44"/>
              <w:jc w:val="left"/>
              <w:rPr>
                <w:color w:val="auto"/>
              </w:rPr>
            </w:pPr>
            <w:r>
              <w:rPr>
                <w:color w:val="auto"/>
              </w:rPr>
              <w:t>2</w:t>
            </w:r>
            <w:r>
              <w:rPr>
                <w:rFonts w:hint="eastAsia"/>
                <w:color w:val="auto"/>
              </w:rPr>
              <w:t>）卷筒与导向轮底部导向轮的距离小于</w:t>
            </w:r>
            <w:r>
              <w:rPr>
                <w:color w:val="auto"/>
              </w:rPr>
              <w:t>20</w:t>
            </w:r>
            <w:r>
              <w:rPr>
                <w:rFonts w:hint="eastAsia"/>
                <w:color w:val="auto"/>
              </w:rPr>
              <w:t>倍卷筒宽度未设置排绳器，扣</w:t>
            </w:r>
            <w:r>
              <w:rPr>
                <w:color w:val="auto"/>
              </w:rPr>
              <w:t>5</w:t>
            </w:r>
            <w:r>
              <w:rPr>
                <w:rFonts w:hint="eastAsia"/>
                <w:color w:val="auto"/>
              </w:rPr>
              <w:t>分</w:t>
            </w:r>
          </w:p>
          <w:p w14:paraId="7C74C87F">
            <w:pPr>
              <w:pStyle w:val="44"/>
              <w:jc w:val="left"/>
              <w:rPr>
                <w:color w:val="auto"/>
              </w:rPr>
            </w:pPr>
            <w:r>
              <w:rPr>
                <w:color w:val="auto"/>
              </w:rPr>
              <w:t>3</w:t>
            </w:r>
            <w:r>
              <w:rPr>
                <w:rFonts w:hint="eastAsia"/>
                <w:color w:val="auto"/>
              </w:rPr>
              <w:t>）钢丝绳应在卷筒上排列不整齐或端部与卷筒压紧装置连接不牢固，扣</w:t>
            </w:r>
            <w:r>
              <w:rPr>
                <w:color w:val="auto"/>
              </w:rPr>
              <w:t>5</w:t>
            </w:r>
            <w:r>
              <w:rPr>
                <w:rFonts w:hint="eastAsia"/>
                <w:color w:val="auto"/>
              </w:rPr>
              <w:t>分</w:t>
            </w:r>
          </w:p>
          <w:p w14:paraId="254B9EBC">
            <w:pPr>
              <w:pStyle w:val="44"/>
              <w:jc w:val="left"/>
              <w:rPr>
                <w:color w:val="auto"/>
              </w:rPr>
            </w:pPr>
            <w:r>
              <w:rPr>
                <w:color w:val="auto"/>
              </w:rPr>
              <w:t>4</w:t>
            </w:r>
            <w:r>
              <w:rPr>
                <w:rFonts w:hint="eastAsia"/>
                <w:color w:val="auto"/>
              </w:rPr>
              <w:t>）滑轮与导轨架、吊笼未采用刚性连接，扣</w:t>
            </w:r>
            <w:r>
              <w:rPr>
                <w:color w:val="auto"/>
              </w:rPr>
              <w:t>10</w:t>
            </w:r>
            <w:r>
              <w:rPr>
                <w:rFonts w:hint="eastAsia"/>
                <w:color w:val="auto"/>
              </w:rPr>
              <w:t>分</w:t>
            </w:r>
          </w:p>
          <w:p w14:paraId="11EE77C7">
            <w:pPr>
              <w:pStyle w:val="44"/>
              <w:jc w:val="left"/>
              <w:rPr>
                <w:color w:val="auto"/>
              </w:rPr>
            </w:pPr>
            <w:r>
              <w:rPr>
                <w:color w:val="auto"/>
              </w:rPr>
              <w:t>5</w:t>
            </w:r>
            <w:r>
              <w:rPr>
                <w:rFonts w:hint="eastAsia"/>
                <w:color w:val="auto"/>
              </w:rPr>
              <w:t>）滑轮与钢丝绳不匹配，扣</w:t>
            </w:r>
            <w:r>
              <w:rPr>
                <w:color w:val="auto"/>
              </w:rPr>
              <w:t>10</w:t>
            </w:r>
            <w:r>
              <w:rPr>
                <w:rFonts w:hint="eastAsia"/>
                <w:color w:val="auto"/>
              </w:rPr>
              <w:t>分</w:t>
            </w:r>
          </w:p>
          <w:p w14:paraId="473769DD">
            <w:pPr>
              <w:pStyle w:val="44"/>
              <w:jc w:val="left"/>
              <w:rPr>
                <w:color w:val="auto"/>
              </w:rPr>
            </w:pPr>
            <w:r>
              <w:rPr>
                <w:color w:val="auto"/>
              </w:rPr>
              <w:t>6</w:t>
            </w:r>
            <w:r>
              <w:rPr>
                <w:rFonts w:hint="eastAsia"/>
                <w:color w:val="auto"/>
              </w:rPr>
              <w:t>）滑轮、卷筒磨损达到报废标准，扣</w:t>
            </w:r>
            <w:r>
              <w:rPr>
                <w:color w:val="auto"/>
              </w:rPr>
              <w:t>10</w:t>
            </w:r>
            <w:r>
              <w:rPr>
                <w:rFonts w:hint="eastAsia"/>
                <w:color w:val="auto"/>
              </w:rPr>
              <w:t>分</w:t>
            </w:r>
          </w:p>
          <w:p w14:paraId="79B2B4DC">
            <w:pPr>
              <w:pStyle w:val="44"/>
              <w:jc w:val="left"/>
              <w:rPr>
                <w:color w:val="auto"/>
              </w:rPr>
            </w:pPr>
            <w:r>
              <w:rPr>
                <w:color w:val="auto"/>
              </w:rPr>
              <w:t>7</w:t>
            </w:r>
            <w:r>
              <w:rPr>
                <w:rFonts w:hint="eastAsia"/>
                <w:color w:val="auto"/>
              </w:rPr>
              <w:t>）滑轮、卷筒未设置钢丝绳防脱装置或不符合标准要求，扣</w:t>
            </w:r>
            <w:r>
              <w:rPr>
                <w:color w:val="auto"/>
              </w:rPr>
              <w:t>10</w:t>
            </w:r>
            <w:r>
              <w:rPr>
                <w:rFonts w:hint="eastAsia"/>
                <w:color w:val="auto"/>
              </w:rPr>
              <w:t>分</w:t>
            </w:r>
          </w:p>
          <w:p w14:paraId="37D00D98">
            <w:pPr>
              <w:pStyle w:val="44"/>
              <w:jc w:val="left"/>
              <w:rPr>
                <w:color w:val="auto"/>
              </w:rPr>
            </w:pPr>
            <w:r>
              <w:rPr>
                <w:color w:val="auto"/>
              </w:rPr>
              <w:t>8</w:t>
            </w:r>
            <w:r>
              <w:rPr>
                <w:rFonts w:hint="eastAsia"/>
                <w:color w:val="auto"/>
              </w:rPr>
              <w:t>）当曳引钢丝绳为</w:t>
            </w:r>
            <w:r>
              <w:rPr>
                <w:color w:val="auto"/>
              </w:rPr>
              <w:t>2</w:t>
            </w:r>
            <w:r>
              <w:rPr>
                <w:rFonts w:hint="eastAsia"/>
                <w:color w:val="auto"/>
              </w:rPr>
              <w:t>根及以上时，未设置曳引力自动平衡装置，扣</w:t>
            </w:r>
            <w:r>
              <w:rPr>
                <w:color w:val="auto"/>
              </w:rPr>
              <w:t>5</w:t>
            </w:r>
            <w:r>
              <w:rPr>
                <w:rFonts w:hint="eastAsia"/>
                <w:color w:val="auto"/>
              </w:rPr>
              <w:t>分</w:t>
            </w:r>
          </w:p>
        </w:tc>
        <w:tc>
          <w:tcPr>
            <w:tcW w:w="720" w:type="dxa"/>
            <w:vAlign w:val="center"/>
          </w:tcPr>
          <w:p w14:paraId="47088599">
            <w:pPr>
              <w:pStyle w:val="44"/>
              <w:rPr>
                <w:color w:val="auto"/>
              </w:rPr>
            </w:pPr>
            <w:r>
              <w:rPr>
                <w:color w:val="auto"/>
              </w:rPr>
              <w:t>10</w:t>
            </w:r>
          </w:p>
        </w:tc>
        <w:tc>
          <w:tcPr>
            <w:tcW w:w="720" w:type="dxa"/>
            <w:vAlign w:val="center"/>
          </w:tcPr>
          <w:p w14:paraId="2E80847E">
            <w:pPr>
              <w:pStyle w:val="44"/>
              <w:rPr>
                <w:color w:val="auto"/>
              </w:rPr>
            </w:pPr>
          </w:p>
        </w:tc>
        <w:tc>
          <w:tcPr>
            <w:tcW w:w="720" w:type="dxa"/>
            <w:vAlign w:val="center"/>
          </w:tcPr>
          <w:p w14:paraId="430FD64D">
            <w:pPr>
              <w:pStyle w:val="44"/>
              <w:rPr>
                <w:color w:val="auto"/>
              </w:rPr>
            </w:pPr>
          </w:p>
        </w:tc>
      </w:tr>
      <w:tr w14:paraId="4C1F3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46B8F852">
            <w:pPr>
              <w:pStyle w:val="44"/>
              <w:rPr>
                <w:color w:val="auto"/>
              </w:rPr>
            </w:pPr>
            <w:r>
              <w:rPr>
                <w:color w:val="auto"/>
              </w:rPr>
              <w:t>7</w:t>
            </w:r>
          </w:p>
        </w:tc>
        <w:tc>
          <w:tcPr>
            <w:tcW w:w="543" w:type="dxa"/>
            <w:vMerge w:val="continue"/>
            <w:vAlign w:val="center"/>
          </w:tcPr>
          <w:p w14:paraId="528D07D1">
            <w:pPr>
              <w:pStyle w:val="44"/>
              <w:rPr>
                <w:color w:val="auto"/>
              </w:rPr>
            </w:pPr>
          </w:p>
        </w:tc>
        <w:tc>
          <w:tcPr>
            <w:tcW w:w="898" w:type="dxa"/>
            <w:vAlign w:val="center"/>
          </w:tcPr>
          <w:p w14:paraId="2C8CDEBC">
            <w:pPr>
              <w:pStyle w:val="44"/>
              <w:rPr>
                <w:color w:val="auto"/>
              </w:rPr>
            </w:pPr>
            <w:r>
              <w:rPr>
                <w:rFonts w:hint="eastAsia"/>
                <w:color w:val="auto"/>
              </w:rPr>
              <w:t>安拆、验收与使用</w:t>
            </w:r>
          </w:p>
        </w:tc>
        <w:tc>
          <w:tcPr>
            <w:tcW w:w="5580" w:type="dxa"/>
            <w:vAlign w:val="center"/>
          </w:tcPr>
          <w:p w14:paraId="69C93EBE">
            <w:pPr>
              <w:pStyle w:val="44"/>
              <w:jc w:val="left"/>
              <w:rPr>
                <w:color w:val="auto"/>
              </w:rPr>
            </w:pPr>
            <w:r>
              <w:rPr>
                <w:color w:val="auto"/>
              </w:rPr>
              <w:t>1</w:t>
            </w:r>
            <w:r>
              <w:rPr>
                <w:rFonts w:hint="eastAsia"/>
                <w:color w:val="auto"/>
              </w:rPr>
              <w:t>）无制造许可证、产品合格证、备案证明和产品说明书，扣</w:t>
            </w:r>
            <w:r>
              <w:rPr>
                <w:color w:val="auto"/>
              </w:rPr>
              <w:t>5</w:t>
            </w:r>
            <w:r>
              <w:rPr>
                <w:rFonts w:hint="eastAsia"/>
                <w:color w:val="auto"/>
              </w:rPr>
              <w:t>分</w:t>
            </w:r>
          </w:p>
          <w:p w14:paraId="2D6FFA6B">
            <w:pPr>
              <w:pStyle w:val="44"/>
              <w:jc w:val="left"/>
              <w:rPr>
                <w:color w:val="auto"/>
              </w:rPr>
            </w:pPr>
            <w:r>
              <w:rPr>
                <w:color w:val="auto"/>
              </w:rPr>
              <w:t>2</w:t>
            </w:r>
            <w:r>
              <w:rPr>
                <w:rFonts w:hint="eastAsia"/>
                <w:color w:val="auto"/>
              </w:rPr>
              <w:t>）安装、拆卸单位未取得专业承包资质和安全生产许可证，扣</w:t>
            </w:r>
            <w:r>
              <w:rPr>
                <w:color w:val="auto"/>
              </w:rPr>
              <w:t>10</w:t>
            </w:r>
            <w:r>
              <w:rPr>
                <w:rFonts w:hint="eastAsia"/>
                <w:color w:val="auto"/>
              </w:rPr>
              <w:t>分</w:t>
            </w:r>
          </w:p>
          <w:p w14:paraId="36FB8EE9">
            <w:pPr>
              <w:pStyle w:val="44"/>
              <w:jc w:val="left"/>
              <w:rPr>
                <w:color w:val="auto"/>
              </w:rPr>
            </w:pPr>
            <w:r>
              <w:rPr>
                <w:color w:val="auto"/>
              </w:rPr>
              <w:t>3</w:t>
            </w:r>
            <w:r>
              <w:rPr>
                <w:rFonts w:hint="eastAsia"/>
                <w:color w:val="auto"/>
              </w:rPr>
              <w:t>）安装、拆卸作业人员及司机未取得特种作业资格证书，扣</w:t>
            </w:r>
            <w:r>
              <w:rPr>
                <w:color w:val="auto"/>
              </w:rPr>
              <w:t>10</w:t>
            </w:r>
            <w:r>
              <w:rPr>
                <w:rFonts w:hint="eastAsia"/>
                <w:color w:val="auto"/>
              </w:rPr>
              <w:t>分</w:t>
            </w:r>
          </w:p>
          <w:p w14:paraId="1DAB908C">
            <w:pPr>
              <w:pStyle w:val="44"/>
              <w:jc w:val="left"/>
              <w:rPr>
                <w:color w:val="auto"/>
              </w:rPr>
            </w:pPr>
            <w:r>
              <w:rPr>
                <w:color w:val="auto"/>
              </w:rPr>
              <w:t>4</w:t>
            </w:r>
            <w:r>
              <w:rPr>
                <w:rFonts w:hint="eastAsia"/>
                <w:color w:val="auto"/>
              </w:rPr>
              <w:t>）未编制安装、拆卸专项施工方案或未经审核、审批，扣</w:t>
            </w:r>
            <w:r>
              <w:rPr>
                <w:color w:val="auto"/>
              </w:rPr>
              <w:t>10</w:t>
            </w:r>
            <w:r>
              <w:rPr>
                <w:rFonts w:hint="eastAsia"/>
                <w:color w:val="auto"/>
              </w:rPr>
              <w:t>分</w:t>
            </w:r>
          </w:p>
          <w:p w14:paraId="62E31C2D">
            <w:pPr>
              <w:pStyle w:val="44"/>
              <w:jc w:val="left"/>
              <w:rPr>
                <w:color w:val="auto"/>
              </w:rPr>
            </w:pPr>
            <w:r>
              <w:rPr>
                <w:color w:val="auto"/>
              </w:rPr>
              <w:t>5</w:t>
            </w:r>
            <w:r>
              <w:rPr>
                <w:rFonts w:hint="eastAsia"/>
                <w:color w:val="auto"/>
              </w:rPr>
              <w:t>）未履行验收程序或验收表无责任人签字，扣</w:t>
            </w:r>
            <w:r>
              <w:rPr>
                <w:color w:val="auto"/>
              </w:rPr>
              <w:t>10</w:t>
            </w:r>
            <w:r>
              <w:rPr>
                <w:rFonts w:hint="eastAsia"/>
                <w:color w:val="auto"/>
              </w:rPr>
              <w:t>分；</w:t>
            </w:r>
          </w:p>
          <w:p w14:paraId="036425F7">
            <w:pPr>
              <w:pStyle w:val="44"/>
              <w:jc w:val="left"/>
              <w:rPr>
                <w:color w:val="auto"/>
              </w:rPr>
            </w:pPr>
            <w:r>
              <w:rPr>
                <w:color w:val="auto"/>
              </w:rPr>
              <w:t>6</w:t>
            </w:r>
            <w:r>
              <w:rPr>
                <w:rFonts w:hint="eastAsia"/>
                <w:color w:val="auto"/>
              </w:rPr>
              <w:t>）验收后未办理使用登记，扣</w:t>
            </w:r>
            <w:r>
              <w:rPr>
                <w:color w:val="auto"/>
              </w:rPr>
              <w:t>5</w:t>
            </w:r>
            <w:r>
              <w:rPr>
                <w:rFonts w:hint="eastAsia"/>
                <w:color w:val="auto"/>
              </w:rPr>
              <w:t>分。</w:t>
            </w:r>
          </w:p>
          <w:p w14:paraId="4E494AA1">
            <w:pPr>
              <w:pStyle w:val="44"/>
              <w:jc w:val="left"/>
              <w:rPr>
                <w:color w:val="auto"/>
              </w:rPr>
            </w:pPr>
            <w:r>
              <w:rPr>
                <w:color w:val="auto"/>
              </w:rPr>
              <w:t>7</w:t>
            </w:r>
            <w:r>
              <w:rPr>
                <w:rFonts w:hint="eastAsia"/>
                <w:color w:val="auto"/>
              </w:rPr>
              <w:t>）作业前未按规定进行例行检查或未填写检查记录，扣</w:t>
            </w:r>
            <w:r>
              <w:rPr>
                <w:color w:val="auto"/>
              </w:rPr>
              <w:t>5</w:t>
            </w:r>
            <w:r>
              <w:rPr>
                <w:rFonts w:hint="eastAsia"/>
                <w:color w:val="auto"/>
              </w:rPr>
              <w:t>分</w:t>
            </w:r>
          </w:p>
          <w:p w14:paraId="1E245231">
            <w:pPr>
              <w:pStyle w:val="44"/>
              <w:jc w:val="left"/>
              <w:rPr>
                <w:color w:val="auto"/>
              </w:rPr>
            </w:pPr>
            <w:r>
              <w:rPr>
                <w:color w:val="auto"/>
              </w:rPr>
              <w:t>8</w:t>
            </w:r>
            <w:r>
              <w:rPr>
                <w:rFonts w:hint="eastAsia"/>
                <w:color w:val="auto"/>
              </w:rPr>
              <w:t>）利用物料提升机载运人员，扣</w:t>
            </w:r>
            <w:r>
              <w:rPr>
                <w:color w:val="auto"/>
              </w:rPr>
              <w:t>10</w:t>
            </w:r>
            <w:r>
              <w:rPr>
                <w:rFonts w:hint="eastAsia"/>
                <w:color w:val="auto"/>
              </w:rPr>
              <w:t>分</w:t>
            </w:r>
          </w:p>
          <w:p w14:paraId="7BD2D8DA">
            <w:pPr>
              <w:pStyle w:val="44"/>
              <w:jc w:val="left"/>
              <w:rPr>
                <w:color w:val="auto"/>
              </w:rPr>
            </w:pPr>
            <w:r>
              <w:rPr>
                <w:color w:val="auto"/>
              </w:rPr>
              <w:t>9</w:t>
            </w:r>
            <w:r>
              <w:rPr>
                <w:rFonts w:hint="eastAsia"/>
                <w:color w:val="auto"/>
              </w:rPr>
              <w:t>）每日作业结束后未将吊笼返回最底层停放，扣</w:t>
            </w:r>
            <w:r>
              <w:rPr>
                <w:color w:val="auto"/>
              </w:rPr>
              <w:t>5</w:t>
            </w:r>
            <w:r>
              <w:rPr>
                <w:rFonts w:hint="eastAsia"/>
                <w:color w:val="auto"/>
              </w:rPr>
              <w:t>分</w:t>
            </w:r>
          </w:p>
          <w:p w14:paraId="773DC289">
            <w:pPr>
              <w:pStyle w:val="44"/>
              <w:jc w:val="left"/>
              <w:rPr>
                <w:color w:val="auto"/>
              </w:rPr>
            </w:pPr>
            <w:r>
              <w:rPr>
                <w:color w:val="auto"/>
              </w:rPr>
              <w:t>10</w:t>
            </w:r>
            <w:r>
              <w:rPr>
                <w:rFonts w:hint="eastAsia"/>
                <w:color w:val="auto"/>
              </w:rPr>
              <w:t>）实行多班作业未按规定填写交接班记录，扣</w:t>
            </w:r>
            <w:r>
              <w:rPr>
                <w:color w:val="auto"/>
              </w:rPr>
              <w:t>3</w:t>
            </w:r>
            <w:r>
              <w:rPr>
                <w:rFonts w:hint="eastAsia"/>
                <w:color w:val="auto"/>
              </w:rPr>
              <w:t>分</w:t>
            </w:r>
          </w:p>
        </w:tc>
        <w:tc>
          <w:tcPr>
            <w:tcW w:w="720" w:type="dxa"/>
            <w:vAlign w:val="center"/>
          </w:tcPr>
          <w:p w14:paraId="108EC174">
            <w:pPr>
              <w:pStyle w:val="44"/>
              <w:rPr>
                <w:color w:val="auto"/>
              </w:rPr>
            </w:pPr>
            <w:r>
              <w:rPr>
                <w:color w:val="auto"/>
              </w:rPr>
              <w:t>10</w:t>
            </w:r>
          </w:p>
        </w:tc>
        <w:tc>
          <w:tcPr>
            <w:tcW w:w="720" w:type="dxa"/>
            <w:vAlign w:val="center"/>
          </w:tcPr>
          <w:p w14:paraId="7EB172C2">
            <w:pPr>
              <w:pStyle w:val="44"/>
              <w:rPr>
                <w:color w:val="auto"/>
              </w:rPr>
            </w:pPr>
          </w:p>
        </w:tc>
        <w:tc>
          <w:tcPr>
            <w:tcW w:w="720" w:type="dxa"/>
            <w:vAlign w:val="center"/>
          </w:tcPr>
          <w:p w14:paraId="6793CEB1">
            <w:pPr>
              <w:pStyle w:val="44"/>
              <w:rPr>
                <w:color w:val="auto"/>
              </w:rPr>
            </w:pPr>
          </w:p>
        </w:tc>
      </w:tr>
      <w:tr w14:paraId="27420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2CF4F198">
            <w:pPr>
              <w:pStyle w:val="44"/>
              <w:rPr>
                <w:color w:val="auto"/>
              </w:rPr>
            </w:pPr>
          </w:p>
        </w:tc>
        <w:tc>
          <w:tcPr>
            <w:tcW w:w="543" w:type="dxa"/>
            <w:vMerge w:val="continue"/>
            <w:vAlign w:val="center"/>
          </w:tcPr>
          <w:p w14:paraId="2EC80C4E">
            <w:pPr>
              <w:pStyle w:val="44"/>
              <w:rPr>
                <w:color w:val="auto"/>
              </w:rPr>
            </w:pPr>
          </w:p>
        </w:tc>
        <w:tc>
          <w:tcPr>
            <w:tcW w:w="6478" w:type="dxa"/>
            <w:gridSpan w:val="2"/>
            <w:vAlign w:val="center"/>
          </w:tcPr>
          <w:p w14:paraId="3321F86C">
            <w:pPr>
              <w:pStyle w:val="44"/>
              <w:rPr>
                <w:b/>
                <w:bCs w:val="0"/>
                <w:color w:val="auto"/>
              </w:rPr>
            </w:pPr>
            <w:r>
              <w:rPr>
                <w:rFonts w:hint="eastAsia"/>
                <w:b/>
                <w:bCs w:val="0"/>
                <w:color w:val="auto"/>
              </w:rPr>
              <w:t xml:space="preserve">小 </w:t>
            </w:r>
            <w:r>
              <w:rPr>
                <w:b/>
                <w:bCs w:val="0"/>
                <w:color w:val="auto"/>
              </w:rPr>
              <w:t xml:space="preserve"> </w:t>
            </w:r>
            <w:r>
              <w:rPr>
                <w:rFonts w:hint="eastAsia"/>
                <w:b/>
                <w:bCs w:val="0"/>
                <w:color w:val="auto"/>
              </w:rPr>
              <w:t>计</w:t>
            </w:r>
          </w:p>
        </w:tc>
        <w:tc>
          <w:tcPr>
            <w:tcW w:w="720" w:type="dxa"/>
            <w:vAlign w:val="center"/>
          </w:tcPr>
          <w:p w14:paraId="1827518A">
            <w:pPr>
              <w:pStyle w:val="44"/>
              <w:rPr>
                <w:color w:val="auto"/>
              </w:rPr>
            </w:pPr>
            <w:r>
              <w:rPr>
                <w:color w:val="auto"/>
              </w:rPr>
              <w:t>70</w:t>
            </w:r>
          </w:p>
        </w:tc>
        <w:tc>
          <w:tcPr>
            <w:tcW w:w="720" w:type="dxa"/>
            <w:vAlign w:val="center"/>
          </w:tcPr>
          <w:p w14:paraId="43B41969">
            <w:pPr>
              <w:pStyle w:val="44"/>
              <w:rPr>
                <w:color w:val="auto"/>
              </w:rPr>
            </w:pPr>
          </w:p>
        </w:tc>
        <w:tc>
          <w:tcPr>
            <w:tcW w:w="720" w:type="dxa"/>
            <w:vAlign w:val="center"/>
          </w:tcPr>
          <w:p w14:paraId="66AC5BAE">
            <w:pPr>
              <w:pStyle w:val="44"/>
              <w:rPr>
                <w:color w:val="auto"/>
              </w:rPr>
            </w:pPr>
          </w:p>
        </w:tc>
      </w:tr>
      <w:tr w14:paraId="37DA9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trPr>
        <w:tc>
          <w:tcPr>
            <w:tcW w:w="539" w:type="dxa"/>
            <w:vAlign w:val="center"/>
          </w:tcPr>
          <w:p w14:paraId="1D73243B">
            <w:pPr>
              <w:pStyle w:val="44"/>
              <w:rPr>
                <w:color w:val="auto"/>
              </w:rPr>
            </w:pPr>
            <w:r>
              <w:rPr>
                <w:color w:val="auto"/>
              </w:rPr>
              <w:t>1</w:t>
            </w:r>
          </w:p>
        </w:tc>
        <w:tc>
          <w:tcPr>
            <w:tcW w:w="543" w:type="dxa"/>
            <w:vMerge w:val="restart"/>
            <w:vAlign w:val="center"/>
          </w:tcPr>
          <w:p w14:paraId="21D9CE6D">
            <w:pPr>
              <w:pStyle w:val="44"/>
              <w:rPr>
                <w:color w:val="auto"/>
              </w:rPr>
            </w:pPr>
            <w:r>
              <w:rPr>
                <w:rFonts w:hint="eastAsia"/>
                <w:color w:val="auto"/>
              </w:rPr>
              <w:t>一</w:t>
            </w:r>
          </w:p>
          <w:p w14:paraId="3300AC9D">
            <w:pPr>
              <w:pStyle w:val="44"/>
              <w:rPr>
                <w:color w:val="auto"/>
              </w:rPr>
            </w:pPr>
            <w:r>
              <w:rPr>
                <w:rFonts w:hint="eastAsia"/>
                <w:color w:val="auto"/>
              </w:rPr>
              <w:t>般</w:t>
            </w:r>
          </w:p>
          <w:p w14:paraId="1B28DD0C">
            <w:pPr>
              <w:pStyle w:val="44"/>
              <w:rPr>
                <w:color w:val="auto"/>
              </w:rPr>
            </w:pPr>
            <w:r>
              <w:rPr>
                <w:rFonts w:hint="eastAsia"/>
                <w:color w:val="auto"/>
              </w:rPr>
              <w:t>项</w:t>
            </w:r>
          </w:p>
          <w:p w14:paraId="615F3384">
            <w:pPr>
              <w:pStyle w:val="44"/>
              <w:rPr>
                <w:color w:val="auto"/>
              </w:rPr>
            </w:pPr>
            <w:r>
              <w:rPr>
                <w:rFonts w:hint="eastAsia"/>
                <w:color w:val="auto"/>
              </w:rPr>
              <w:t>目</w:t>
            </w:r>
          </w:p>
        </w:tc>
        <w:tc>
          <w:tcPr>
            <w:tcW w:w="898" w:type="dxa"/>
            <w:vAlign w:val="center"/>
          </w:tcPr>
          <w:p w14:paraId="04EB0437">
            <w:pPr>
              <w:pStyle w:val="44"/>
              <w:rPr>
                <w:color w:val="auto"/>
              </w:rPr>
            </w:pPr>
            <w:r>
              <w:rPr>
                <w:rFonts w:hint="eastAsia"/>
                <w:color w:val="auto"/>
              </w:rPr>
              <w:t>基础</w:t>
            </w:r>
          </w:p>
        </w:tc>
        <w:tc>
          <w:tcPr>
            <w:tcW w:w="5580" w:type="dxa"/>
            <w:vAlign w:val="center"/>
          </w:tcPr>
          <w:p w14:paraId="6E7EDD17">
            <w:pPr>
              <w:pStyle w:val="44"/>
              <w:jc w:val="left"/>
              <w:rPr>
                <w:color w:val="auto"/>
              </w:rPr>
            </w:pPr>
            <w:r>
              <w:rPr>
                <w:color w:val="auto"/>
              </w:rPr>
              <w:t>1</w:t>
            </w:r>
            <w:r>
              <w:rPr>
                <w:rFonts w:hint="eastAsia"/>
                <w:color w:val="auto"/>
              </w:rPr>
              <w:t>）基础尺寸、混凝土强度等级及地基承载力不符合产品说明书及标准要求，扣</w:t>
            </w:r>
            <w:r>
              <w:rPr>
                <w:color w:val="auto"/>
              </w:rPr>
              <w:t>10</w:t>
            </w:r>
            <w:r>
              <w:rPr>
                <w:rFonts w:hint="eastAsia"/>
                <w:color w:val="auto"/>
              </w:rPr>
              <w:t>分</w:t>
            </w:r>
          </w:p>
          <w:p w14:paraId="42396B21">
            <w:pPr>
              <w:pStyle w:val="44"/>
              <w:jc w:val="left"/>
              <w:rPr>
                <w:color w:val="auto"/>
              </w:rPr>
            </w:pPr>
            <w:r>
              <w:rPr>
                <w:color w:val="auto"/>
              </w:rPr>
              <w:t>2</w:t>
            </w:r>
            <w:r>
              <w:rPr>
                <w:rFonts w:hint="eastAsia"/>
                <w:color w:val="auto"/>
              </w:rPr>
              <w:t>）基础未设置防、排水措施，扣</w:t>
            </w:r>
            <w:r>
              <w:rPr>
                <w:color w:val="auto"/>
              </w:rPr>
              <w:t>5</w:t>
            </w:r>
            <w:r>
              <w:rPr>
                <w:rFonts w:hint="eastAsia"/>
                <w:color w:val="auto"/>
              </w:rPr>
              <w:t>分</w:t>
            </w:r>
          </w:p>
          <w:p w14:paraId="0E0D224A">
            <w:pPr>
              <w:pStyle w:val="44"/>
              <w:jc w:val="left"/>
              <w:rPr>
                <w:color w:val="auto"/>
              </w:rPr>
            </w:pPr>
            <w:r>
              <w:rPr>
                <w:color w:val="auto"/>
              </w:rPr>
              <w:t>3</w:t>
            </w:r>
            <w:r>
              <w:rPr>
                <w:rFonts w:hint="eastAsia"/>
                <w:color w:val="auto"/>
              </w:rPr>
              <w:t>）</w:t>
            </w:r>
            <w:r>
              <w:rPr>
                <w:color w:val="auto"/>
              </w:rPr>
              <w:t>30m</w:t>
            </w:r>
            <w:r>
              <w:rPr>
                <w:rFonts w:hint="eastAsia"/>
                <w:color w:val="auto"/>
              </w:rPr>
              <w:t>及以上物料提升机的基础未进行设计计算，扣</w:t>
            </w:r>
            <w:r>
              <w:rPr>
                <w:color w:val="auto"/>
              </w:rPr>
              <w:t>10</w:t>
            </w:r>
            <w:r>
              <w:rPr>
                <w:rFonts w:hint="eastAsia"/>
                <w:color w:val="auto"/>
              </w:rPr>
              <w:t>分</w:t>
            </w:r>
          </w:p>
        </w:tc>
        <w:tc>
          <w:tcPr>
            <w:tcW w:w="720" w:type="dxa"/>
            <w:vAlign w:val="center"/>
          </w:tcPr>
          <w:p w14:paraId="6B972A43">
            <w:pPr>
              <w:pStyle w:val="44"/>
              <w:rPr>
                <w:color w:val="auto"/>
              </w:rPr>
            </w:pPr>
            <w:r>
              <w:rPr>
                <w:color w:val="auto"/>
              </w:rPr>
              <w:t>10</w:t>
            </w:r>
          </w:p>
        </w:tc>
        <w:tc>
          <w:tcPr>
            <w:tcW w:w="720" w:type="dxa"/>
            <w:vAlign w:val="center"/>
          </w:tcPr>
          <w:p w14:paraId="48FE2BB5">
            <w:pPr>
              <w:pStyle w:val="44"/>
              <w:rPr>
                <w:color w:val="auto"/>
              </w:rPr>
            </w:pPr>
          </w:p>
        </w:tc>
        <w:tc>
          <w:tcPr>
            <w:tcW w:w="720" w:type="dxa"/>
            <w:vAlign w:val="center"/>
          </w:tcPr>
          <w:p w14:paraId="1B21923C">
            <w:pPr>
              <w:pStyle w:val="44"/>
              <w:rPr>
                <w:color w:val="auto"/>
              </w:rPr>
            </w:pPr>
          </w:p>
        </w:tc>
      </w:tr>
      <w:tr w14:paraId="0F795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4CB8810B">
            <w:pPr>
              <w:pStyle w:val="44"/>
              <w:rPr>
                <w:color w:val="auto"/>
              </w:rPr>
            </w:pPr>
            <w:r>
              <w:rPr>
                <w:color w:val="auto"/>
              </w:rPr>
              <w:t>2</w:t>
            </w:r>
          </w:p>
        </w:tc>
        <w:tc>
          <w:tcPr>
            <w:tcW w:w="543" w:type="dxa"/>
            <w:vMerge w:val="continue"/>
          </w:tcPr>
          <w:p w14:paraId="52B1E81A">
            <w:pPr>
              <w:pStyle w:val="44"/>
              <w:rPr>
                <w:color w:val="auto"/>
              </w:rPr>
            </w:pPr>
          </w:p>
        </w:tc>
        <w:tc>
          <w:tcPr>
            <w:tcW w:w="898" w:type="dxa"/>
            <w:vAlign w:val="center"/>
          </w:tcPr>
          <w:p w14:paraId="76673A38">
            <w:pPr>
              <w:pStyle w:val="44"/>
              <w:rPr>
                <w:color w:val="auto"/>
              </w:rPr>
            </w:pPr>
            <w:r>
              <w:rPr>
                <w:rFonts w:hint="eastAsia"/>
                <w:color w:val="auto"/>
              </w:rPr>
              <w:t>吊笼</w:t>
            </w:r>
          </w:p>
        </w:tc>
        <w:tc>
          <w:tcPr>
            <w:tcW w:w="5580" w:type="dxa"/>
          </w:tcPr>
          <w:p w14:paraId="32DB07EC">
            <w:pPr>
              <w:pStyle w:val="44"/>
              <w:jc w:val="left"/>
              <w:rPr>
                <w:color w:val="auto"/>
              </w:rPr>
            </w:pPr>
            <w:r>
              <w:rPr>
                <w:color w:val="auto"/>
              </w:rPr>
              <w:t>1</w:t>
            </w:r>
            <w:r>
              <w:rPr>
                <w:rFonts w:hint="eastAsia"/>
                <w:color w:val="auto"/>
              </w:rPr>
              <w:t>）吊笼内净高度小于</w:t>
            </w:r>
            <w:r>
              <w:rPr>
                <w:color w:val="auto"/>
              </w:rPr>
              <w:t>2m</w:t>
            </w:r>
            <w:r>
              <w:rPr>
                <w:rFonts w:hint="eastAsia"/>
                <w:color w:val="auto"/>
              </w:rPr>
              <w:t>，扣</w:t>
            </w:r>
            <w:r>
              <w:rPr>
                <w:color w:val="auto"/>
              </w:rPr>
              <w:t>5</w:t>
            </w:r>
            <w:r>
              <w:rPr>
                <w:rFonts w:hint="eastAsia"/>
                <w:color w:val="auto"/>
              </w:rPr>
              <w:t>分</w:t>
            </w:r>
          </w:p>
          <w:p w14:paraId="3D0CBBD2">
            <w:pPr>
              <w:pStyle w:val="44"/>
              <w:jc w:val="left"/>
              <w:rPr>
                <w:color w:val="auto"/>
              </w:rPr>
            </w:pPr>
            <w:r>
              <w:rPr>
                <w:color w:val="auto"/>
              </w:rPr>
              <w:t>2</w:t>
            </w:r>
            <w:r>
              <w:rPr>
                <w:rFonts w:hint="eastAsia"/>
                <w:color w:val="auto"/>
              </w:rPr>
              <w:t>）吊笼未设置吊笼门，扣</w:t>
            </w:r>
            <w:r>
              <w:rPr>
                <w:color w:val="auto"/>
              </w:rPr>
              <w:t>10</w:t>
            </w:r>
            <w:r>
              <w:rPr>
                <w:rFonts w:hint="eastAsia"/>
                <w:color w:val="auto"/>
              </w:rPr>
              <w:t>分；未实现定型化，扣</w:t>
            </w:r>
            <w:r>
              <w:rPr>
                <w:color w:val="auto"/>
              </w:rPr>
              <w:t>3</w:t>
            </w:r>
            <w:r>
              <w:rPr>
                <w:rFonts w:hint="eastAsia"/>
                <w:color w:val="auto"/>
              </w:rPr>
              <w:t>分</w:t>
            </w:r>
          </w:p>
          <w:p w14:paraId="6CE1DAF9">
            <w:pPr>
              <w:pStyle w:val="44"/>
              <w:jc w:val="left"/>
              <w:rPr>
                <w:color w:val="auto"/>
              </w:rPr>
            </w:pPr>
            <w:r>
              <w:rPr>
                <w:color w:val="auto"/>
              </w:rPr>
              <w:t>3</w:t>
            </w:r>
            <w:r>
              <w:rPr>
                <w:rFonts w:hint="eastAsia"/>
                <w:color w:val="auto"/>
              </w:rPr>
              <w:t>）吊笼门开启高度低于</w:t>
            </w:r>
            <w:r>
              <w:rPr>
                <w:color w:val="auto"/>
              </w:rPr>
              <w:t>1.8m</w:t>
            </w:r>
            <w:r>
              <w:rPr>
                <w:rFonts w:hint="eastAsia"/>
                <w:color w:val="auto"/>
              </w:rPr>
              <w:t>，扣</w:t>
            </w:r>
            <w:r>
              <w:rPr>
                <w:color w:val="auto"/>
              </w:rPr>
              <w:t>5</w:t>
            </w:r>
            <w:r>
              <w:rPr>
                <w:rFonts w:hint="eastAsia"/>
                <w:color w:val="auto"/>
              </w:rPr>
              <w:t>分</w:t>
            </w:r>
          </w:p>
          <w:p w14:paraId="2596E622">
            <w:pPr>
              <w:pStyle w:val="44"/>
              <w:jc w:val="left"/>
              <w:rPr>
                <w:color w:val="auto"/>
              </w:rPr>
            </w:pPr>
            <w:r>
              <w:rPr>
                <w:color w:val="auto"/>
              </w:rPr>
              <w:t>4</w:t>
            </w:r>
            <w:r>
              <w:rPr>
                <w:rFonts w:hint="eastAsia"/>
                <w:color w:val="auto"/>
              </w:rPr>
              <w:t>）吊笼门及两侧立面未沿全高度封闭，扣</w:t>
            </w:r>
            <w:r>
              <w:rPr>
                <w:color w:val="auto"/>
              </w:rPr>
              <w:t>5</w:t>
            </w:r>
            <w:r>
              <w:rPr>
                <w:rFonts w:hint="eastAsia"/>
                <w:color w:val="auto"/>
              </w:rPr>
              <w:t>分</w:t>
            </w:r>
          </w:p>
          <w:p w14:paraId="086D190E">
            <w:pPr>
              <w:pStyle w:val="44"/>
              <w:jc w:val="left"/>
              <w:rPr>
                <w:color w:val="auto"/>
              </w:rPr>
            </w:pPr>
            <w:r>
              <w:rPr>
                <w:color w:val="auto"/>
              </w:rPr>
              <w:t>5</w:t>
            </w:r>
            <w:r>
              <w:rPr>
                <w:rFonts w:hint="eastAsia"/>
                <w:color w:val="auto"/>
              </w:rPr>
              <w:t>）吊笼未设置防护顶板，扣</w:t>
            </w:r>
            <w:r>
              <w:rPr>
                <w:color w:val="auto"/>
              </w:rPr>
              <w:t>5</w:t>
            </w:r>
            <w:r>
              <w:rPr>
                <w:rFonts w:hint="eastAsia"/>
                <w:color w:val="auto"/>
              </w:rPr>
              <w:t>分</w:t>
            </w:r>
          </w:p>
          <w:p w14:paraId="65F1398C">
            <w:pPr>
              <w:pStyle w:val="44"/>
              <w:jc w:val="left"/>
              <w:rPr>
                <w:color w:val="auto"/>
              </w:rPr>
            </w:pPr>
            <w:r>
              <w:rPr>
                <w:color w:val="auto"/>
              </w:rPr>
              <w:t>6</w:t>
            </w:r>
            <w:r>
              <w:rPr>
                <w:rFonts w:hint="eastAsia"/>
                <w:color w:val="auto"/>
              </w:rPr>
              <w:t>）吊笼底板应固定不牢固，扣</w:t>
            </w:r>
            <w:r>
              <w:rPr>
                <w:color w:val="auto"/>
              </w:rPr>
              <w:t>5</w:t>
            </w:r>
            <w:r>
              <w:rPr>
                <w:rFonts w:hint="eastAsia"/>
                <w:color w:val="auto"/>
              </w:rPr>
              <w:t>分</w:t>
            </w:r>
          </w:p>
          <w:p w14:paraId="3CBA466B">
            <w:pPr>
              <w:pStyle w:val="44"/>
              <w:jc w:val="left"/>
              <w:rPr>
                <w:color w:val="auto"/>
              </w:rPr>
            </w:pPr>
            <w:r>
              <w:rPr>
                <w:color w:val="auto"/>
              </w:rPr>
              <w:t>7</w:t>
            </w:r>
            <w:r>
              <w:rPr>
                <w:rFonts w:hint="eastAsia"/>
                <w:color w:val="auto"/>
              </w:rPr>
              <w:t>）吊笼底板承载力不符合标准要求或底板有明显变形、锈蚀、破损，扣</w:t>
            </w:r>
            <w:r>
              <w:rPr>
                <w:color w:val="auto"/>
              </w:rPr>
              <w:t>5</w:t>
            </w:r>
            <w:r>
              <w:rPr>
                <w:rFonts w:hint="eastAsia"/>
                <w:color w:val="auto"/>
              </w:rPr>
              <w:t>分</w:t>
            </w:r>
          </w:p>
          <w:p w14:paraId="07AD5776">
            <w:pPr>
              <w:pStyle w:val="44"/>
              <w:jc w:val="left"/>
              <w:rPr>
                <w:color w:val="auto"/>
              </w:rPr>
            </w:pPr>
            <w:r>
              <w:rPr>
                <w:color w:val="auto"/>
              </w:rPr>
              <w:t>8</w:t>
            </w:r>
            <w:r>
              <w:rPr>
                <w:rFonts w:hint="eastAsia"/>
                <w:color w:val="auto"/>
              </w:rPr>
              <w:t>）吊笼未设置有效的滚动导靴，扣</w:t>
            </w:r>
            <w:r>
              <w:rPr>
                <w:color w:val="auto"/>
              </w:rPr>
              <w:t>10</w:t>
            </w:r>
            <w:r>
              <w:rPr>
                <w:rFonts w:hint="eastAsia"/>
                <w:color w:val="auto"/>
              </w:rPr>
              <w:t>分</w:t>
            </w:r>
          </w:p>
        </w:tc>
        <w:tc>
          <w:tcPr>
            <w:tcW w:w="720" w:type="dxa"/>
            <w:vAlign w:val="center"/>
          </w:tcPr>
          <w:p w14:paraId="4949C880">
            <w:pPr>
              <w:pStyle w:val="44"/>
              <w:rPr>
                <w:color w:val="auto"/>
              </w:rPr>
            </w:pPr>
            <w:r>
              <w:rPr>
                <w:color w:val="auto"/>
              </w:rPr>
              <w:t>10</w:t>
            </w:r>
          </w:p>
        </w:tc>
        <w:tc>
          <w:tcPr>
            <w:tcW w:w="720" w:type="dxa"/>
            <w:vAlign w:val="center"/>
          </w:tcPr>
          <w:p w14:paraId="60495E4B">
            <w:pPr>
              <w:pStyle w:val="44"/>
              <w:rPr>
                <w:color w:val="auto"/>
              </w:rPr>
            </w:pPr>
          </w:p>
        </w:tc>
        <w:tc>
          <w:tcPr>
            <w:tcW w:w="720" w:type="dxa"/>
            <w:vAlign w:val="center"/>
          </w:tcPr>
          <w:p w14:paraId="51AF5335">
            <w:pPr>
              <w:pStyle w:val="44"/>
              <w:rPr>
                <w:color w:val="auto"/>
              </w:rPr>
            </w:pPr>
          </w:p>
        </w:tc>
      </w:tr>
      <w:tr w14:paraId="43189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3E8C6D8B">
            <w:pPr>
              <w:pStyle w:val="44"/>
              <w:rPr>
                <w:color w:val="auto"/>
              </w:rPr>
            </w:pPr>
            <w:r>
              <w:rPr>
                <w:color w:val="auto"/>
              </w:rPr>
              <w:t>3</w:t>
            </w:r>
          </w:p>
        </w:tc>
        <w:tc>
          <w:tcPr>
            <w:tcW w:w="543" w:type="dxa"/>
            <w:vMerge w:val="continue"/>
          </w:tcPr>
          <w:p w14:paraId="47A49C52">
            <w:pPr>
              <w:pStyle w:val="44"/>
              <w:rPr>
                <w:color w:val="auto"/>
              </w:rPr>
            </w:pPr>
          </w:p>
        </w:tc>
        <w:tc>
          <w:tcPr>
            <w:tcW w:w="898" w:type="dxa"/>
            <w:vAlign w:val="center"/>
          </w:tcPr>
          <w:p w14:paraId="2B03F7DA">
            <w:pPr>
              <w:pStyle w:val="44"/>
              <w:rPr>
                <w:color w:val="auto"/>
              </w:rPr>
            </w:pPr>
            <w:r>
              <w:rPr>
                <w:rFonts w:hint="eastAsia"/>
                <w:color w:val="auto"/>
              </w:rPr>
              <w:t>电气安全</w:t>
            </w:r>
          </w:p>
        </w:tc>
        <w:tc>
          <w:tcPr>
            <w:tcW w:w="5580" w:type="dxa"/>
            <w:vAlign w:val="center"/>
          </w:tcPr>
          <w:p w14:paraId="661665D9">
            <w:pPr>
              <w:pStyle w:val="44"/>
              <w:jc w:val="left"/>
              <w:rPr>
                <w:color w:val="auto"/>
              </w:rPr>
            </w:pPr>
            <w:r>
              <w:rPr>
                <w:color w:val="auto"/>
              </w:rPr>
              <w:t>1</w:t>
            </w:r>
            <w:r>
              <w:rPr>
                <w:rFonts w:hint="eastAsia"/>
                <w:color w:val="auto"/>
              </w:rPr>
              <w:t>）未设置非自动复位型急停开关或不灵敏，扣</w:t>
            </w:r>
            <w:r>
              <w:rPr>
                <w:color w:val="auto"/>
              </w:rPr>
              <w:t>5</w:t>
            </w:r>
            <w:r>
              <w:rPr>
                <w:rFonts w:hint="eastAsia"/>
                <w:color w:val="auto"/>
              </w:rPr>
              <w:t>分</w:t>
            </w:r>
          </w:p>
          <w:p w14:paraId="2E3EF484">
            <w:pPr>
              <w:pStyle w:val="44"/>
              <w:jc w:val="left"/>
              <w:rPr>
                <w:color w:val="auto"/>
              </w:rPr>
            </w:pPr>
            <w:r>
              <w:rPr>
                <w:color w:val="auto"/>
              </w:rPr>
              <w:t>2</w:t>
            </w:r>
            <w:r>
              <w:rPr>
                <w:rFonts w:hint="eastAsia"/>
                <w:color w:val="auto"/>
              </w:rPr>
              <w:t>）物料提升机在其他避雷装置保护范围以外未设置避雷装置，扣</w:t>
            </w:r>
            <w:r>
              <w:rPr>
                <w:color w:val="auto"/>
              </w:rPr>
              <w:t>10</w:t>
            </w:r>
            <w:r>
              <w:rPr>
                <w:rFonts w:hint="eastAsia"/>
                <w:color w:val="auto"/>
              </w:rPr>
              <w:t>分；避雷接地装置不符合标准要求，扣</w:t>
            </w:r>
            <w:r>
              <w:rPr>
                <w:color w:val="auto"/>
              </w:rPr>
              <w:t>5</w:t>
            </w:r>
            <w:r>
              <w:rPr>
                <w:rFonts w:hint="eastAsia"/>
                <w:color w:val="auto"/>
              </w:rPr>
              <w:t>分</w:t>
            </w:r>
          </w:p>
          <w:p w14:paraId="4FB695EB">
            <w:pPr>
              <w:pStyle w:val="44"/>
              <w:jc w:val="left"/>
              <w:rPr>
                <w:color w:val="auto"/>
              </w:rPr>
            </w:pPr>
            <w:r>
              <w:rPr>
                <w:color w:val="auto"/>
              </w:rPr>
              <w:t>3</w:t>
            </w:r>
            <w:r>
              <w:rPr>
                <w:rFonts w:hint="eastAsia"/>
                <w:color w:val="auto"/>
              </w:rPr>
              <w:t>）金属结构和所有电气设备系统金属外壳未进行可靠接地，扣</w:t>
            </w:r>
            <w:r>
              <w:rPr>
                <w:color w:val="auto"/>
              </w:rPr>
              <w:t>5</w:t>
            </w:r>
            <w:r>
              <w:rPr>
                <w:rFonts w:hint="eastAsia"/>
                <w:color w:val="auto"/>
              </w:rPr>
              <w:t>分</w:t>
            </w:r>
          </w:p>
          <w:p w14:paraId="42BC4E7B">
            <w:pPr>
              <w:pStyle w:val="44"/>
              <w:jc w:val="left"/>
              <w:rPr>
                <w:color w:val="auto"/>
              </w:rPr>
            </w:pPr>
            <w:r>
              <w:rPr>
                <w:color w:val="auto"/>
              </w:rPr>
              <w:t>4</w:t>
            </w:r>
            <w:r>
              <w:rPr>
                <w:rFonts w:hint="eastAsia"/>
                <w:color w:val="auto"/>
              </w:rPr>
              <w:t>）工作照明开关未与主电源开关相互独立，扣</w:t>
            </w:r>
            <w:r>
              <w:rPr>
                <w:color w:val="auto"/>
              </w:rPr>
              <w:t>5</w:t>
            </w:r>
            <w:r>
              <w:rPr>
                <w:rFonts w:hint="eastAsia"/>
                <w:color w:val="auto"/>
              </w:rPr>
              <w:t>分</w:t>
            </w:r>
          </w:p>
          <w:p w14:paraId="699B8CCE">
            <w:pPr>
              <w:pStyle w:val="44"/>
              <w:jc w:val="left"/>
              <w:rPr>
                <w:color w:val="auto"/>
              </w:rPr>
            </w:pPr>
            <w:r>
              <w:rPr>
                <w:color w:val="auto"/>
              </w:rPr>
              <w:t>5</w:t>
            </w:r>
            <w:r>
              <w:rPr>
                <w:rFonts w:hint="eastAsia"/>
                <w:color w:val="auto"/>
              </w:rPr>
              <w:t>）动力设备的控制开关采用倒顺开关，扣</w:t>
            </w:r>
            <w:r>
              <w:rPr>
                <w:color w:val="auto"/>
              </w:rPr>
              <w:t>5</w:t>
            </w:r>
            <w:r>
              <w:rPr>
                <w:rFonts w:hint="eastAsia"/>
                <w:color w:val="auto"/>
              </w:rPr>
              <w:t>分</w:t>
            </w:r>
          </w:p>
        </w:tc>
        <w:tc>
          <w:tcPr>
            <w:tcW w:w="720" w:type="dxa"/>
            <w:vAlign w:val="center"/>
          </w:tcPr>
          <w:p w14:paraId="32D5BB9A">
            <w:pPr>
              <w:pStyle w:val="44"/>
              <w:rPr>
                <w:color w:val="auto"/>
              </w:rPr>
            </w:pPr>
            <w:r>
              <w:rPr>
                <w:color w:val="auto"/>
              </w:rPr>
              <w:t>10</w:t>
            </w:r>
          </w:p>
        </w:tc>
        <w:tc>
          <w:tcPr>
            <w:tcW w:w="720" w:type="dxa"/>
            <w:vAlign w:val="center"/>
          </w:tcPr>
          <w:p w14:paraId="67344A3C">
            <w:pPr>
              <w:pStyle w:val="44"/>
              <w:rPr>
                <w:color w:val="auto"/>
              </w:rPr>
            </w:pPr>
          </w:p>
        </w:tc>
        <w:tc>
          <w:tcPr>
            <w:tcW w:w="720" w:type="dxa"/>
            <w:vAlign w:val="center"/>
          </w:tcPr>
          <w:p w14:paraId="13BC5C8D">
            <w:pPr>
              <w:pStyle w:val="44"/>
              <w:rPr>
                <w:color w:val="auto"/>
              </w:rPr>
            </w:pPr>
          </w:p>
        </w:tc>
      </w:tr>
      <w:tr w14:paraId="53C26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168304BD">
            <w:pPr>
              <w:pStyle w:val="44"/>
              <w:rPr>
                <w:color w:val="auto"/>
              </w:rPr>
            </w:pPr>
          </w:p>
        </w:tc>
        <w:tc>
          <w:tcPr>
            <w:tcW w:w="543" w:type="dxa"/>
            <w:vMerge w:val="continue"/>
          </w:tcPr>
          <w:p w14:paraId="17B7E546">
            <w:pPr>
              <w:pStyle w:val="44"/>
              <w:rPr>
                <w:color w:val="auto"/>
              </w:rPr>
            </w:pPr>
          </w:p>
        </w:tc>
        <w:tc>
          <w:tcPr>
            <w:tcW w:w="6478" w:type="dxa"/>
            <w:gridSpan w:val="2"/>
            <w:vAlign w:val="center"/>
          </w:tcPr>
          <w:p w14:paraId="3507D2F6">
            <w:pPr>
              <w:pStyle w:val="44"/>
              <w:rPr>
                <w:b/>
                <w:bCs w:val="0"/>
                <w:color w:val="auto"/>
              </w:rPr>
            </w:pPr>
            <w:r>
              <w:rPr>
                <w:rFonts w:hint="eastAsia"/>
                <w:b/>
                <w:bCs w:val="0"/>
                <w:color w:val="auto"/>
              </w:rPr>
              <w:t xml:space="preserve">小 </w:t>
            </w:r>
            <w:r>
              <w:rPr>
                <w:b/>
                <w:bCs w:val="0"/>
                <w:color w:val="auto"/>
              </w:rPr>
              <w:t xml:space="preserve"> </w:t>
            </w:r>
            <w:r>
              <w:rPr>
                <w:rFonts w:hint="eastAsia"/>
                <w:b/>
                <w:bCs w:val="0"/>
                <w:color w:val="auto"/>
              </w:rPr>
              <w:t>计</w:t>
            </w:r>
          </w:p>
        </w:tc>
        <w:tc>
          <w:tcPr>
            <w:tcW w:w="720" w:type="dxa"/>
            <w:vAlign w:val="center"/>
          </w:tcPr>
          <w:p w14:paraId="5B00FA25">
            <w:pPr>
              <w:pStyle w:val="44"/>
              <w:rPr>
                <w:color w:val="auto"/>
              </w:rPr>
            </w:pPr>
            <w:r>
              <w:rPr>
                <w:color w:val="auto"/>
              </w:rPr>
              <w:t>30</w:t>
            </w:r>
          </w:p>
        </w:tc>
        <w:tc>
          <w:tcPr>
            <w:tcW w:w="720" w:type="dxa"/>
            <w:vAlign w:val="center"/>
          </w:tcPr>
          <w:p w14:paraId="57DD5183">
            <w:pPr>
              <w:pStyle w:val="44"/>
              <w:rPr>
                <w:color w:val="auto"/>
              </w:rPr>
            </w:pPr>
          </w:p>
        </w:tc>
        <w:tc>
          <w:tcPr>
            <w:tcW w:w="720" w:type="dxa"/>
            <w:vAlign w:val="center"/>
          </w:tcPr>
          <w:p w14:paraId="223FC38A">
            <w:pPr>
              <w:pStyle w:val="44"/>
              <w:rPr>
                <w:color w:val="auto"/>
              </w:rPr>
            </w:pPr>
          </w:p>
        </w:tc>
      </w:tr>
      <w:tr w14:paraId="618D4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trPr>
        <w:tc>
          <w:tcPr>
            <w:tcW w:w="7560" w:type="dxa"/>
            <w:gridSpan w:val="4"/>
            <w:vAlign w:val="center"/>
          </w:tcPr>
          <w:p w14:paraId="51839746">
            <w:pPr>
              <w:pStyle w:val="44"/>
              <w:rPr>
                <w:b/>
                <w:bCs w:val="0"/>
                <w:color w:val="auto"/>
              </w:rPr>
            </w:pPr>
            <w:r>
              <w:rPr>
                <w:rFonts w:hint="eastAsia"/>
                <w:b/>
                <w:bCs w:val="0"/>
                <w:color w:val="auto"/>
              </w:rPr>
              <w:t>检查项目合计</w:t>
            </w:r>
          </w:p>
        </w:tc>
        <w:tc>
          <w:tcPr>
            <w:tcW w:w="720" w:type="dxa"/>
            <w:vAlign w:val="center"/>
          </w:tcPr>
          <w:p w14:paraId="506FB913">
            <w:pPr>
              <w:pStyle w:val="44"/>
              <w:rPr>
                <w:color w:val="auto"/>
              </w:rPr>
            </w:pPr>
            <w:r>
              <w:rPr>
                <w:color w:val="auto"/>
              </w:rPr>
              <w:t>100</w:t>
            </w:r>
          </w:p>
        </w:tc>
        <w:tc>
          <w:tcPr>
            <w:tcW w:w="720" w:type="dxa"/>
            <w:vAlign w:val="center"/>
          </w:tcPr>
          <w:p w14:paraId="07240882">
            <w:pPr>
              <w:pStyle w:val="44"/>
              <w:rPr>
                <w:color w:val="auto"/>
              </w:rPr>
            </w:pPr>
          </w:p>
        </w:tc>
        <w:tc>
          <w:tcPr>
            <w:tcW w:w="720" w:type="dxa"/>
            <w:vAlign w:val="center"/>
          </w:tcPr>
          <w:p w14:paraId="7EADFC2B">
            <w:pPr>
              <w:pStyle w:val="44"/>
              <w:rPr>
                <w:color w:val="auto"/>
              </w:rPr>
            </w:pPr>
          </w:p>
        </w:tc>
      </w:tr>
    </w:tbl>
    <w:p w14:paraId="29945703"/>
    <w:p w14:paraId="2648BB07">
      <w:pPr>
        <w:pStyle w:val="5"/>
      </w:pPr>
      <w:r>
        <w:rPr>
          <w:rFonts w:hint="eastAsia"/>
        </w:rPr>
        <w:br w:type="page"/>
      </w:r>
      <w:bookmarkStart w:id="100" w:name="_Toc9644"/>
      <w:bookmarkStart w:id="101" w:name="_Toc23928"/>
      <w:bookmarkStart w:id="102" w:name="_Toc4961"/>
      <w:r>
        <w:rPr>
          <w:rFonts w:hint="eastAsia"/>
        </w:rPr>
        <w:t>表B.</w:t>
      </w:r>
      <w:r>
        <w:t>3</w:t>
      </w:r>
      <w:r>
        <w:rPr>
          <w:rFonts w:hint="eastAsia"/>
        </w:rPr>
        <w:t>1  缆索起重机检查</w:t>
      </w:r>
      <w:r>
        <w:t>评分表</w:t>
      </w:r>
      <w:bookmarkEnd w:id="100"/>
      <w:bookmarkEnd w:id="101"/>
      <w:bookmarkEnd w:id="102"/>
    </w:p>
    <w:tbl>
      <w:tblPr>
        <w:tblStyle w:val="19"/>
        <w:tblpPr w:leftFromText="180" w:rightFromText="180" w:vertAnchor="text" w:horzAnchor="page" w:tblpX="1150" w:tblpY="631"/>
        <w:tblOverlap w:val="never"/>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5E9B2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trPr>
        <w:tc>
          <w:tcPr>
            <w:tcW w:w="539" w:type="dxa"/>
            <w:vAlign w:val="center"/>
          </w:tcPr>
          <w:p w14:paraId="28D891BB">
            <w:pPr>
              <w:pStyle w:val="44"/>
              <w:rPr>
                <w:color w:val="auto"/>
              </w:rPr>
            </w:pPr>
            <w:r>
              <w:rPr>
                <w:rFonts w:hint="eastAsia"/>
                <w:color w:val="auto"/>
              </w:rPr>
              <w:t>序号</w:t>
            </w:r>
          </w:p>
        </w:tc>
        <w:tc>
          <w:tcPr>
            <w:tcW w:w="1441" w:type="dxa"/>
            <w:gridSpan w:val="2"/>
            <w:vAlign w:val="center"/>
          </w:tcPr>
          <w:p w14:paraId="7DCEA784">
            <w:pPr>
              <w:pStyle w:val="44"/>
              <w:rPr>
                <w:color w:val="auto"/>
              </w:rPr>
            </w:pPr>
            <w:r>
              <w:rPr>
                <w:rFonts w:hint="eastAsia"/>
                <w:color w:val="auto"/>
              </w:rPr>
              <w:t>检查项目</w:t>
            </w:r>
          </w:p>
        </w:tc>
        <w:tc>
          <w:tcPr>
            <w:tcW w:w="5580" w:type="dxa"/>
            <w:vAlign w:val="center"/>
          </w:tcPr>
          <w:p w14:paraId="1ACF9920">
            <w:pPr>
              <w:pStyle w:val="44"/>
              <w:rPr>
                <w:color w:val="auto"/>
              </w:rPr>
            </w:pPr>
            <w:r>
              <w:rPr>
                <w:rFonts w:hint="eastAsia"/>
                <w:color w:val="auto"/>
              </w:rPr>
              <w:t>扣</w:t>
            </w:r>
            <w:r>
              <w:rPr>
                <w:color w:val="auto"/>
              </w:rPr>
              <w:t xml:space="preserve"> </w:t>
            </w:r>
            <w:r>
              <w:rPr>
                <w:rFonts w:hint="eastAsia"/>
                <w:color w:val="auto"/>
              </w:rPr>
              <w:t>分</w:t>
            </w:r>
            <w:r>
              <w:rPr>
                <w:color w:val="auto"/>
              </w:rPr>
              <w:t xml:space="preserve"> </w:t>
            </w:r>
            <w:r>
              <w:rPr>
                <w:rFonts w:hint="eastAsia"/>
                <w:color w:val="auto"/>
              </w:rPr>
              <w:t>标</w:t>
            </w:r>
            <w:r>
              <w:rPr>
                <w:color w:val="auto"/>
              </w:rPr>
              <w:t xml:space="preserve"> </w:t>
            </w:r>
            <w:r>
              <w:rPr>
                <w:rFonts w:hint="eastAsia"/>
                <w:color w:val="auto"/>
              </w:rPr>
              <w:t>准</w:t>
            </w:r>
          </w:p>
        </w:tc>
        <w:tc>
          <w:tcPr>
            <w:tcW w:w="720" w:type="dxa"/>
            <w:vAlign w:val="center"/>
          </w:tcPr>
          <w:p w14:paraId="52972E12">
            <w:pPr>
              <w:pStyle w:val="44"/>
              <w:rPr>
                <w:color w:val="auto"/>
              </w:rPr>
            </w:pPr>
            <w:r>
              <w:rPr>
                <w:rFonts w:hint="eastAsia"/>
                <w:color w:val="auto"/>
              </w:rPr>
              <w:t>应得</w:t>
            </w:r>
          </w:p>
          <w:p w14:paraId="477CE2FE">
            <w:pPr>
              <w:pStyle w:val="44"/>
              <w:rPr>
                <w:color w:val="auto"/>
              </w:rPr>
            </w:pPr>
            <w:r>
              <w:rPr>
                <w:rFonts w:hint="eastAsia"/>
                <w:color w:val="auto"/>
              </w:rPr>
              <w:t>分数</w:t>
            </w:r>
          </w:p>
        </w:tc>
        <w:tc>
          <w:tcPr>
            <w:tcW w:w="720" w:type="dxa"/>
            <w:vAlign w:val="center"/>
          </w:tcPr>
          <w:p w14:paraId="621915E1">
            <w:pPr>
              <w:pStyle w:val="44"/>
              <w:rPr>
                <w:color w:val="auto"/>
              </w:rPr>
            </w:pPr>
            <w:r>
              <w:rPr>
                <w:rFonts w:hint="eastAsia"/>
                <w:color w:val="auto"/>
              </w:rPr>
              <w:t>扣减</w:t>
            </w:r>
          </w:p>
          <w:p w14:paraId="792FF617">
            <w:pPr>
              <w:pStyle w:val="44"/>
              <w:rPr>
                <w:color w:val="auto"/>
              </w:rPr>
            </w:pPr>
            <w:r>
              <w:rPr>
                <w:rFonts w:hint="eastAsia"/>
                <w:color w:val="auto"/>
              </w:rPr>
              <w:t>分数</w:t>
            </w:r>
          </w:p>
        </w:tc>
        <w:tc>
          <w:tcPr>
            <w:tcW w:w="720" w:type="dxa"/>
            <w:vAlign w:val="center"/>
          </w:tcPr>
          <w:p w14:paraId="1F803B29">
            <w:pPr>
              <w:pStyle w:val="44"/>
              <w:rPr>
                <w:color w:val="auto"/>
              </w:rPr>
            </w:pPr>
            <w:r>
              <w:rPr>
                <w:rFonts w:hint="eastAsia"/>
                <w:color w:val="auto"/>
              </w:rPr>
              <w:t>实得</w:t>
            </w:r>
          </w:p>
          <w:p w14:paraId="6932F238">
            <w:pPr>
              <w:pStyle w:val="44"/>
              <w:rPr>
                <w:color w:val="auto"/>
              </w:rPr>
            </w:pPr>
            <w:r>
              <w:rPr>
                <w:rFonts w:hint="eastAsia"/>
                <w:color w:val="auto"/>
              </w:rPr>
              <w:t>分数</w:t>
            </w:r>
          </w:p>
        </w:tc>
      </w:tr>
      <w:tr w14:paraId="6FBC4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trPr>
        <w:tc>
          <w:tcPr>
            <w:tcW w:w="539" w:type="dxa"/>
            <w:vAlign w:val="center"/>
          </w:tcPr>
          <w:p w14:paraId="4B7A77E0">
            <w:pPr>
              <w:pStyle w:val="44"/>
              <w:rPr>
                <w:color w:val="auto"/>
              </w:rPr>
            </w:pPr>
            <w:r>
              <w:rPr>
                <w:color w:val="auto"/>
              </w:rPr>
              <w:t>1</w:t>
            </w:r>
          </w:p>
        </w:tc>
        <w:tc>
          <w:tcPr>
            <w:tcW w:w="543" w:type="dxa"/>
            <w:vMerge w:val="restart"/>
            <w:vAlign w:val="center"/>
          </w:tcPr>
          <w:p w14:paraId="3789F177">
            <w:pPr>
              <w:pStyle w:val="44"/>
              <w:rPr>
                <w:color w:val="auto"/>
              </w:rPr>
            </w:pPr>
            <w:r>
              <w:rPr>
                <w:rFonts w:hint="eastAsia"/>
                <w:color w:val="auto"/>
              </w:rPr>
              <w:t>保</w:t>
            </w:r>
          </w:p>
          <w:p w14:paraId="0CB247CC">
            <w:pPr>
              <w:pStyle w:val="44"/>
              <w:rPr>
                <w:color w:val="auto"/>
              </w:rPr>
            </w:pPr>
            <w:r>
              <w:rPr>
                <w:rFonts w:hint="eastAsia"/>
                <w:color w:val="auto"/>
              </w:rPr>
              <w:t>证</w:t>
            </w:r>
          </w:p>
          <w:p w14:paraId="4163D97A">
            <w:pPr>
              <w:pStyle w:val="44"/>
              <w:rPr>
                <w:color w:val="auto"/>
              </w:rPr>
            </w:pPr>
            <w:r>
              <w:rPr>
                <w:rFonts w:hint="eastAsia"/>
                <w:color w:val="auto"/>
              </w:rPr>
              <w:t>项</w:t>
            </w:r>
          </w:p>
          <w:p w14:paraId="78B535F1">
            <w:pPr>
              <w:pStyle w:val="44"/>
              <w:rPr>
                <w:color w:val="auto"/>
              </w:rPr>
            </w:pPr>
            <w:r>
              <w:rPr>
                <w:rFonts w:hint="eastAsia"/>
                <w:color w:val="auto"/>
              </w:rPr>
              <w:t>目</w:t>
            </w:r>
          </w:p>
        </w:tc>
        <w:tc>
          <w:tcPr>
            <w:tcW w:w="898" w:type="dxa"/>
            <w:vAlign w:val="center"/>
          </w:tcPr>
          <w:p w14:paraId="50E1CF82">
            <w:pPr>
              <w:pStyle w:val="44"/>
              <w:rPr>
                <w:color w:val="auto"/>
              </w:rPr>
            </w:pPr>
            <w:r>
              <w:rPr>
                <w:rFonts w:hint="eastAsia"/>
                <w:color w:val="auto"/>
              </w:rPr>
              <w:t>方案与交底</w:t>
            </w:r>
          </w:p>
        </w:tc>
        <w:tc>
          <w:tcPr>
            <w:tcW w:w="5580" w:type="dxa"/>
            <w:vAlign w:val="center"/>
          </w:tcPr>
          <w:p w14:paraId="223331C3">
            <w:pPr>
              <w:pStyle w:val="44"/>
              <w:jc w:val="left"/>
              <w:rPr>
                <w:color w:val="auto"/>
              </w:rPr>
            </w:pPr>
            <w:r>
              <w:rPr>
                <w:color w:val="auto"/>
              </w:rPr>
              <w:t>1</w:t>
            </w:r>
            <w:r>
              <w:rPr>
                <w:rFonts w:hint="eastAsia"/>
                <w:color w:val="auto"/>
              </w:rPr>
              <w:t>）未按规定编制专项施工方案，扣</w:t>
            </w:r>
            <w:r>
              <w:rPr>
                <w:color w:val="auto"/>
              </w:rPr>
              <w:t>10</w:t>
            </w:r>
            <w:r>
              <w:rPr>
                <w:rFonts w:hint="eastAsia"/>
                <w:color w:val="auto"/>
              </w:rPr>
              <w:t>分；编制内容不全，扣</w:t>
            </w:r>
            <w:r>
              <w:rPr>
                <w:color w:val="auto"/>
              </w:rPr>
              <w:t>2-10</w:t>
            </w:r>
            <w:r>
              <w:rPr>
                <w:rFonts w:hint="eastAsia"/>
                <w:color w:val="auto"/>
              </w:rPr>
              <w:t>分</w:t>
            </w:r>
          </w:p>
          <w:p w14:paraId="1FF06480">
            <w:pPr>
              <w:pStyle w:val="44"/>
              <w:jc w:val="left"/>
              <w:rPr>
                <w:color w:val="auto"/>
              </w:rPr>
            </w:pPr>
            <w:r>
              <w:rPr>
                <w:color w:val="auto"/>
              </w:rPr>
              <w:t>2</w:t>
            </w:r>
            <w:r>
              <w:rPr>
                <w:rFonts w:hint="eastAsia"/>
                <w:color w:val="auto"/>
              </w:rPr>
              <w:t>）缆索起重机系统未编制完整的设计文件或未对受力结构、构件和附属设施进行设计计算，扣</w:t>
            </w:r>
            <w:r>
              <w:rPr>
                <w:color w:val="auto"/>
              </w:rPr>
              <w:t>10</w:t>
            </w:r>
            <w:r>
              <w:rPr>
                <w:rFonts w:hint="eastAsia"/>
                <w:color w:val="auto"/>
              </w:rPr>
              <w:t>分，设计文件中图纸或计算书不齐全，扣</w:t>
            </w:r>
            <w:r>
              <w:rPr>
                <w:color w:val="auto"/>
              </w:rPr>
              <w:t>2-5</w:t>
            </w:r>
            <w:r>
              <w:rPr>
                <w:rFonts w:hint="eastAsia"/>
                <w:color w:val="auto"/>
              </w:rPr>
              <w:t>分</w:t>
            </w:r>
          </w:p>
          <w:p w14:paraId="2DF74249">
            <w:pPr>
              <w:pStyle w:val="44"/>
              <w:jc w:val="left"/>
              <w:rPr>
                <w:color w:val="auto"/>
              </w:rPr>
            </w:pPr>
            <w:r>
              <w:rPr>
                <w:color w:val="auto"/>
              </w:rPr>
              <w:t>3</w:t>
            </w:r>
            <w:r>
              <w:rPr>
                <w:rFonts w:hint="eastAsia"/>
                <w:color w:val="auto"/>
              </w:rPr>
              <w:t>）起重量</w:t>
            </w:r>
            <w:r>
              <w:rPr>
                <w:color w:val="auto"/>
              </w:rPr>
              <w:t>300kN</w:t>
            </w:r>
            <w:r>
              <w:rPr>
                <w:rFonts w:hint="eastAsia"/>
                <w:color w:val="auto"/>
              </w:rPr>
              <w:t>及以上的缆索起重机安装工程的专项施工方案，未按规定组织专家论证，扣</w:t>
            </w:r>
            <w:r>
              <w:rPr>
                <w:color w:val="auto"/>
              </w:rPr>
              <w:t>10</w:t>
            </w:r>
            <w:r>
              <w:rPr>
                <w:rFonts w:hint="eastAsia"/>
                <w:color w:val="auto"/>
              </w:rPr>
              <w:t>分</w:t>
            </w:r>
          </w:p>
          <w:p w14:paraId="4A8C36B8">
            <w:pPr>
              <w:pStyle w:val="44"/>
              <w:jc w:val="left"/>
              <w:rPr>
                <w:color w:val="auto"/>
              </w:rPr>
            </w:pPr>
            <w:r>
              <w:rPr>
                <w:color w:val="auto"/>
              </w:rPr>
              <w:t>4</w:t>
            </w:r>
            <w:r>
              <w:rPr>
                <w:rFonts w:hint="eastAsia"/>
                <w:color w:val="auto"/>
              </w:rPr>
              <w:t>）专项施工方案未按规定进行审核、审批，扣</w:t>
            </w:r>
            <w:r>
              <w:rPr>
                <w:color w:val="auto"/>
              </w:rPr>
              <w:t>10</w:t>
            </w:r>
            <w:r>
              <w:rPr>
                <w:rFonts w:hint="eastAsia"/>
                <w:color w:val="auto"/>
              </w:rPr>
              <w:t>分</w:t>
            </w:r>
          </w:p>
          <w:p w14:paraId="15763B26">
            <w:pPr>
              <w:pStyle w:val="44"/>
              <w:jc w:val="left"/>
              <w:rPr>
                <w:color w:val="auto"/>
              </w:rPr>
            </w:pPr>
            <w:r>
              <w:rPr>
                <w:color w:val="auto"/>
              </w:rPr>
              <w:t>5</w:t>
            </w:r>
            <w:r>
              <w:rPr>
                <w:rFonts w:hint="eastAsia"/>
                <w:color w:val="auto"/>
              </w:rPr>
              <w:t>）专项施工方案实施前，未进行安全技术交底，扣</w:t>
            </w:r>
            <w:r>
              <w:rPr>
                <w:color w:val="auto"/>
              </w:rPr>
              <w:t>10</w:t>
            </w:r>
            <w:r>
              <w:rPr>
                <w:rFonts w:hint="eastAsia"/>
                <w:color w:val="auto"/>
              </w:rPr>
              <w:t>分；交底无针对性或无文字记录，扣</w:t>
            </w:r>
            <w:r>
              <w:rPr>
                <w:color w:val="auto"/>
              </w:rPr>
              <w:t>2-5</w:t>
            </w:r>
            <w:r>
              <w:rPr>
                <w:rFonts w:hint="eastAsia"/>
                <w:color w:val="auto"/>
              </w:rPr>
              <w:t>分</w:t>
            </w:r>
          </w:p>
        </w:tc>
        <w:tc>
          <w:tcPr>
            <w:tcW w:w="720" w:type="dxa"/>
            <w:vAlign w:val="center"/>
          </w:tcPr>
          <w:p w14:paraId="3DECFFE0">
            <w:pPr>
              <w:pStyle w:val="44"/>
              <w:rPr>
                <w:color w:val="auto"/>
              </w:rPr>
            </w:pPr>
            <w:r>
              <w:rPr>
                <w:color w:val="auto"/>
              </w:rPr>
              <w:t>10</w:t>
            </w:r>
          </w:p>
        </w:tc>
        <w:tc>
          <w:tcPr>
            <w:tcW w:w="720" w:type="dxa"/>
            <w:vAlign w:val="center"/>
          </w:tcPr>
          <w:p w14:paraId="0EE6415D">
            <w:pPr>
              <w:pStyle w:val="44"/>
              <w:rPr>
                <w:color w:val="auto"/>
              </w:rPr>
            </w:pPr>
          </w:p>
        </w:tc>
        <w:tc>
          <w:tcPr>
            <w:tcW w:w="720" w:type="dxa"/>
            <w:vAlign w:val="center"/>
          </w:tcPr>
          <w:p w14:paraId="3A8BAD7D">
            <w:pPr>
              <w:pStyle w:val="44"/>
              <w:rPr>
                <w:color w:val="auto"/>
              </w:rPr>
            </w:pPr>
          </w:p>
        </w:tc>
      </w:tr>
      <w:tr w14:paraId="6D066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trPr>
        <w:tc>
          <w:tcPr>
            <w:tcW w:w="539" w:type="dxa"/>
            <w:vAlign w:val="center"/>
          </w:tcPr>
          <w:p w14:paraId="32E6B075">
            <w:pPr>
              <w:pStyle w:val="44"/>
              <w:rPr>
                <w:color w:val="auto"/>
              </w:rPr>
            </w:pPr>
            <w:r>
              <w:rPr>
                <w:color w:val="auto"/>
              </w:rPr>
              <w:t>2</w:t>
            </w:r>
          </w:p>
        </w:tc>
        <w:tc>
          <w:tcPr>
            <w:tcW w:w="543" w:type="dxa"/>
            <w:vMerge w:val="continue"/>
          </w:tcPr>
          <w:p w14:paraId="2B259E7B">
            <w:pPr>
              <w:pStyle w:val="44"/>
              <w:rPr>
                <w:color w:val="auto"/>
              </w:rPr>
            </w:pPr>
          </w:p>
        </w:tc>
        <w:tc>
          <w:tcPr>
            <w:tcW w:w="898" w:type="dxa"/>
            <w:vAlign w:val="center"/>
          </w:tcPr>
          <w:p w14:paraId="2EA3E25E">
            <w:pPr>
              <w:pStyle w:val="44"/>
              <w:rPr>
                <w:color w:val="auto"/>
              </w:rPr>
            </w:pPr>
            <w:r>
              <w:rPr>
                <w:rFonts w:hint="eastAsia"/>
                <w:color w:val="auto"/>
              </w:rPr>
              <w:t>构配件材质</w:t>
            </w:r>
          </w:p>
        </w:tc>
        <w:tc>
          <w:tcPr>
            <w:tcW w:w="5580" w:type="dxa"/>
            <w:vAlign w:val="center"/>
          </w:tcPr>
          <w:p w14:paraId="45891C5C">
            <w:pPr>
              <w:pStyle w:val="44"/>
              <w:jc w:val="left"/>
              <w:rPr>
                <w:color w:val="auto"/>
              </w:rPr>
            </w:pPr>
            <w:r>
              <w:rPr>
                <w:color w:val="auto"/>
              </w:rPr>
              <w:t>1</w:t>
            </w:r>
            <w:r>
              <w:rPr>
                <w:rFonts w:hint="eastAsia"/>
                <w:color w:val="auto"/>
              </w:rPr>
              <w:t>）承重结构构配件和连接件无质量合格证、材质证明，扣</w:t>
            </w:r>
            <w:r>
              <w:rPr>
                <w:color w:val="auto"/>
              </w:rPr>
              <w:t>10</w:t>
            </w:r>
            <w:r>
              <w:rPr>
                <w:rFonts w:hint="eastAsia"/>
                <w:color w:val="auto"/>
              </w:rPr>
              <w:t>分；其品种、规格、型号、材质不符合方案设计和相关标准要求，扣</w:t>
            </w:r>
            <w:r>
              <w:rPr>
                <w:color w:val="auto"/>
              </w:rPr>
              <w:t>5-10</w:t>
            </w:r>
            <w:r>
              <w:rPr>
                <w:rFonts w:hint="eastAsia"/>
                <w:color w:val="auto"/>
              </w:rPr>
              <w:t>分</w:t>
            </w:r>
          </w:p>
          <w:p w14:paraId="254E8CFB">
            <w:pPr>
              <w:pStyle w:val="44"/>
              <w:jc w:val="left"/>
              <w:rPr>
                <w:color w:val="auto"/>
              </w:rPr>
            </w:pPr>
            <w:r>
              <w:rPr>
                <w:color w:val="auto"/>
              </w:rPr>
              <w:t>2</w:t>
            </w:r>
            <w:r>
              <w:rPr>
                <w:rFonts w:hint="eastAsia"/>
                <w:color w:val="auto"/>
              </w:rPr>
              <w:t>）未按相关标准对主要受力钢丝绳进行力学性能抽检，扣</w:t>
            </w:r>
            <w:r>
              <w:rPr>
                <w:color w:val="auto"/>
              </w:rPr>
              <w:t>2-5</w:t>
            </w:r>
            <w:r>
              <w:rPr>
                <w:rFonts w:hint="eastAsia"/>
                <w:color w:val="auto"/>
              </w:rPr>
              <w:t>分</w:t>
            </w:r>
          </w:p>
          <w:p w14:paraId="0BED46EB">
            <w:pPr>
              <w:pStyle w:val="44"/>
              <w:jc w:val="left"/>
              <w:rPr>
                <w:color w:val="auto"/>
              </w:rPr>
            </w:pPr>
            <w:r>
              <w:rPr>
                <w:color w:val="auto"/>
              </w:rPr>
              <w:t>3</w:t>
            </w:r>
            <w:r>
              <w:rPr>
                <w:rFonts w:hint="eastAsia"/>
                <w:color w:val="auto"/>
              </w:rPr>
              <w:t>）索鞍、跑车与吊点、铰座未交由专业工厂加工制作或无出厂合格证和无损探伤监测记录，扣</w:t>
            </w:r>
            <w:r>
              <w:rPr>
                <w:color w:val="auto"/>
              </w:rPr>
              <w:t>2-5</w:t>
            </w:r>
            <w:r>
              <w:rPr>
                <w:rFonts w:hint="eastAsia"/>
                <w:color w:val="auto"/>
              </w:rPr>
              <w:t>分</w:t>
            </w:r>
          </w:p>
          <w:p w14:paraId="7EB27E03">
            <w:pPr>
              <w:pStyle w:val="44"/>
              <w:jc w:val="left"/>
              <w:rPr>
                <w:color w:val="auto"/>
              </w:rPr>
            </w:pPr>
            <w:r>
              <w:rPr>
                <w:color w:val="auto"/>
              </w:rPr>
              <w:t>4</w:t>
            </w:r>
            <w:r>
              <w:rPr>
                <w:rFonts w:hint="eastAsia"/>
                <w:color w:val="auto"/>
              </w:rPr>
              <w:t>）索鞍、跑车与吊点、铰座无无损探伤检测记录，扣</w:t>
            </w:r>
            <w:r>
              <w:rPr>
                <w:color w:val="auto"/>
              </w:rPr>
              <w:t>5</w:t>
            </w:r>
            <w:r>
              <w:rPr>
                <w:rFonts w:hint="eastAsia"/>
                <w:color w:val="auto"/>
              </w:rPr>
              <w:t>分</w:t>
            </w:r>
          </w:p>
          <w:p w14:paraId="584EBEBE">
            <w:pPr>
              <w:pStyle w:val="44"/>
              <w:jc w:val="left"/>
              <w:rPr>
                <w:color w:val="auto"/>
              </w:rPr>
            </w:pPr>
            <w:r>
              <w:rPr>
                <w:color w:val="auto"/>
              </w:rPr>
              <w:t>5</w:t>
            </w:r>
            <w:r>
              <w:rPr>
                <w:rFonts w:hint="eastAsia"/>
                <w:color w:val="auto"/>
              </w:rPr>
              <w:t>）缆索起重机所采用的液压或卷扬装置无产品合格证，扣</w:t>
            </w:r>
            <w:r>
              <w:rPr>
                <w:color w:val="auto"/>
              </w:rPr>
              <w:t>5</w:t>
            </w:r>
            <w:r>
              <w:rPr>
                <w:rFonts w:hint="eastAsia"/>
                <w:color w:val="auto"/>
              </w:rPr>
              <w:t>分</w:t>
            </w:r>
          </w:p>
          <w:p w14:paraId="1B6435F0">
            <w:pPr>
              <w:pStyle w:val="44"/>
              <w:jc w:val="left"/>
              <w:rPr>
                <w:color w:val="auto"/>
              </w:rPr>
            </w:pPr>
            <w:r>
              <w:rPr>
                <w:color w:val="auto"/>
              </w:rPr>
              <w:t>6</w:t>
            </w:r>
            <w:r>
              <w:rPr>
                <w:rFonts w:hint="eastAsia"/>
                <w:color w:val="auto"/>
              </w:rPr>
              <w:t>）索塔塔架构配件有明显变形、锈蚀及外观缺陷，扣</w:t>
            </w:r>
            <w:r>
              <w:rPr>
                <w:color w:val="auto"/>
              </w:rPr>
              <w:t>5</w:t>
            </w:r>
            <w:r>
              <w:rPr>
                <w:rFonts w:hint="eastAsia"/>
                <w:color w:val="auto"/>
              </w:rPr>
              <w:t>分</w:t>
            </w:r>
          </w:p>
          <w:p w14:paraId="2DD7B3B4">
            <w:pPr>
              <w:pStyle w:val="44"/>
              <w:jc w:val="left"/>
              <w:rPr>
                <w:color w:val="auto"/>
              </w:rPr>
            </w:pPr>
            <w:r>
              <w:rPr>
                <w:color w:val="auto"/>
              </w:rPr>
              <w:t>7</w:t>
            </w:r>
            <w:r>
              <w:rPr>
                <w:rFonts w:hint="eastAsia"/>
                <w:color w:val="auto"/>
              </w:rPr>
              <w:t>）钢丝绳磨损、断丝、变形、锈蚀达到报废标准，扣</w:t>
            </w:r>
            <w:r>
              <w:rPr>
                <w:color w:val="auto"/>
              </w:rPr>
              <w:t>10</w:t>
            </w:r>
            <w:r>
              <w:rPr>
                <w:rFonts w:hint="eastAsia"/>
                <w:color w:val="auto"/>
              </w:rPr>
              <w:t>分</w:t>
            </w:r>
          </w:p>
          <w:p w14:paraId="0F2921FC">
            <w:pPr>
              <w:pStyle w:val="44"/>
              <w:jc w:val="left"/>
              <w:rPr>
                <w:color w:val="auto"/>
              </w:rPr>
            </w:pPr>
            <w:r>
              <w:rPr>
                <w:color w:val="auto"/>
              </w:rPr>
              <w:t>8</w:t>
            </w:r>
            <w:r>
              <w:rPr>
                <w:rFonts w:hint="eastAsia"/>
                <w:color w:val="auto"/>
              </w:rPr>
              <w:t>）吊钩、卷筒、滑轮磨损达到报废标准扣</w:t>
            </w:r>
            <w:r>
              <w:rPr>
                <w:color w:val="auto"/>
              </w:rPr>
              <w:t>10</w:t>
            </w:r>
            <w:r>
              <w:rPr>
                <w:rFonts w:hint="eastAsia"/>
                <w:color w:val="auto"/>
              </w:rPr>
              <w:t>分</w:t>
            </w:r>
          </w:p>
        </w:tc>
        <w:tc>
          <w:tcPr>
            <w:tcW w:w="720" w:type="dxa"/>
            <w:vAlign w:val="center"/>
          </w:tcPr>
          <w:p w14:paraId="2BD7E906">
            <w:pPr>
              <w:pStyle w:val="44"/>
              <w:rPr>
                <w:color w:val="auto"/>
              </w:rPr>
            </w:pPr>
            <w:r>
              <w:rPr>
                <w:color w:val="auto"/>
              </w:rPr>
              <w:t>10</w:t>
            </w:r>
          </w:p>
        </w:tc>
        <w:tc>
          <w:tcPr>
            <w:tcW w:w="720" w:type="dxa"/>
            <w:vAlign w:val="center"/>
          </w:tcPr>
          <w:p w14:paraId="18C46771">
            <w:pPr>
              <w:pStyle w:val="44"/>
              <w:rPr>
                <w:color w:val="auto"/>
              </w:rPr>
            </w:pPr>
          </w:p>
        </w:tc>
        <w:tc>
          <w:tcPr>
            <w:tcW w:w="720" w:type="dxa"/>
            <w:vAlign w:val="center"/>
          </w:tcPr>
          <w:p w14:paraId="7A7E6EFE">
            <w:pPr>
              <w:pStyle w:val="44"/>
              <w:rPr>
                <w:color w:val="auto"/>
              </w:rPr>
            </w:pPr>
          </w:p>
        </w:tc>
      </w:tr>
      <w:tr w14:paraId="429E1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61118C6C">
            <w:pPr>
              <w:pStyle w:val="44"/>
              <w:rPr>
                <w:color w:val="auto"/>
              </w:rPr>
            </w:pPr>
            <w:r>
              <w:rPr>
                <w:color w:val="auto"/>
              </w:rPr>
              <w:t>3</w:t>
            </w:r>
          </w:p>
        </w:tc>
        <w:tc>
          <w:tcPr>
            <w:tcW w:w="543" w:type="dxa"/>
            <w:vMerge w:val="continue"/>
          </w:tcPr>
          <w:p w14:paraId="68B7B0F0">
            <w:pPr>
              <w:pStyle w:val="44"/>
              <w:rPr>
                <w:color w:val="auto"/>
              </w:rPr>
            </w:pPr>
          </w:p>
        </w:tc>
        <w:tc>
          <w:tcPr>
            <w:tcW w:w="898" w:type="dxa"/>
            <w:vAlign w:val="center"/>
          </w:tcPr>
          <w:p w14:paraId="4A89C4D9">
            <w:pPr>
              <w:pStyle w:val="44"/>
              <w:rPr>
                <w:color w:val="auto"/>
              </w:rPr>
            </w:pPr>
            <w:r>
              <w:rPr>
                <w:rFonts w:hint="eastAsia"/>
                <w:color w:val="auto"/>
              </w:rPr>
              <w:t>索塔</w:t>
            </w:r>
          </w:p>
        </w:tc>
        <w:tc>
          <w:tcPr>
            <w:tcW w:w="5580" w:type="dxa"/>
            <w:vAlign w:val="center"/>
          </w:tcPr>
          <w:p w14:paraId="28247EC3">
            <w:pPr>
              <w:pStyle w:val="44"/>
              <w:jc w:val="left"/>
              <w:rPr>
                <w:color w:val="auto"/>
              </w:rPr>
            </w:pPr>
            <w:r>
              <w:rPr>
                <w:color w:val="auto"/>
              </w:rPr>
              <w:t>1</w:t>
            </w:r>
            <w:r>
              <w:rPr>
                <w:rFonts w:hint="eastAsia"/>
                <w:color w:val="auto"/>
              </w:rPr>
              <w:t>）地基承载力无检测报告，或承载力特征值不符合方案设计要求，扣</w:t>
            </w:r>
            <w:r>
              <w:rPr>
                <w:color w:val="auto"/>
              </w:rPr>
              <w:t>10</w:t>
            </w:r>
            <w:r>
              <w:rPr>
                <w:rFonts w:hint="eastAsia"/>
                <w:color w:val="auto"/>
              </w:rPr>
              <w:t>分</w:t>
            </w:r>
          </w:p>
          <w:p w14:paraId="5DB5C448">
            <w:pPr>
              <w:pStyle w:val="44"/>
              <w:jc w:val="left"/>
              <w:rPr>
                <w:color w:val="auto"/>
              </w:rPr>
            </w:pPr>
            <w:r>
              <w:rPr>
                <w:color w:val="auto"/>
              </w:rPr>
              <w:t>2</w:t>
            </w:r>
            <w:r>
              <w:rPr>
                <w:rFonts w:hint="eastAsia"/>
                <w:color w:val="auto"/>
              </w:rPr>
              <w:t>）基础周围未设置防、排水措施，扣</w:t>
            </w:r>
            <w:r>
              <w:rPr>
                <w:color w:val="auto"/>
              </w:rPr>
              <w:t>1-3</w:t>
            </w:r>
            <w:r>
              <w:rPr>
                <w:rFonts w:hint="eastAsia"/>
                <w:color w:val="auto"/>
              </w:rPr>
              <w:t>分</w:t>
            </w:r>
          </w:p>
          <w:p w14:paraId="76271929">
            <w:pPr>
              <w:pStyle w:val="44"/>
              <w:jc w:val="left"/>
              <w:rPr>
                <w:color w:val="auto"/>
              </w:rPr>
            </w:pPr>
            <w:r>
              <w:rPr>
                <w:color w:val="auto"/>
              </w:rPr>
              <w:t>3</w:t>
            </w:r>
            <w:r>
              <w:rPr>
                <w:rFonts w:hint="eastAsia"/>
                <w:color w:val="auto"/>
              </w:rPr>
              <w:t>）塔架基础形式、尺寸、材料不符合专项施工方案要求，扣</w:t>
            </w:r>
            <w:r>
              <w:rPr>
                <w:color w:val="auto"/>
              </w:rPr>
              <w:t>5-10</w:t>
            </w:r>
            <w:r>
              <w:rPr>
                <w:rFonts w:hint="eastAsia"/>
                <w:color w:val="auto"/>
              </w:rPr>
              <w:t>分</w:t>
            </w:r>
          </w:p>
          <w:p w14:paraId="4AA92E73">
            <w:pPr>
              <w:pStyle w:val="44"/>
              <w:jc w:val="left"/>
              <w:rPr>
                <w:color w:val="auto"/>
              </w:rPr>
            </w:pPr>
            <w:r>
              <w:rPr>
                <w:color w:val="auto"/>
              </w:rPr>
              <w:t>4</w:t>
            </w:r>
            <w:r>
              <w:rPr>
                <w:rFonts w:hint="eastAsia"/>
                <w:color w:val="auto"/>
              </w:rPr>
              <w:t>）塔架结构构造不符合方案设计要求，或架体不牢固、稳定，扣</w:t>
            </w:r>
            <w:r>
              <w:rPr>
                <w:color w:val="auto"/>
              </w:rPr>
              <w:t>10</w:t>
            </w:r>
            <w:r>
              <w:rPr>
                <w:rFonts w:hint="eastAsia"/>
                <w:color w:val="auto"/>
              </w:rPr>
              <w:t>分</w:t>
            </w:r>
          </w:p>
          <w:p w14:paraId="279A07F7">
            <w:pPr>
              <w:pStyle w:val="44"/>
              <w:jc w:val="left"/>
              <w:rPr>
                <w:color w:val="auto"/>
              </w:rPr>
            </w:pPr>
            <w:r>
              <w:rPr>
                <w:color w:val="auto"/>
              </w:rPr>
              <w:t>5</w:t>
            </w:r>
            <w:r>
              <w:rPr>
                <w:rFonts w:hint="eastAsia"/>
                <w:color w:val="auto"/>
              </w:rPr>
              <w:t>）当主索鞍采用滑动或滚动方式时索鞍轮直径小于</w:t>
            </w:r>
            <w:r>
              <w:rPr>
                <w:color w:val="auto"/>
              </w:rPr>
              <w:t>15</w:t>
            </w:r>
            <w:r>
              <w:rPr>
                <w:rFonts w:hint="eastAsia"/>
                <w:color w:val="auto"/>
              </w:rPr>
              <w:t>倍主索直径，或当主索鞍与主索锁定时索鞍曲率半径不满足主索受力要求，扣</w:t>
            </w:r>
            <w:r>
              <w:rPr>
                <w:color w:val="auto"/>
              </w:rPr>
              <w:t>5</w:t>
            </w:r>
            <w:r>
              <w:rPr>
                <w:rFonts w:hint="eastAsia"/>
                <w:color w:val="auto"/>
              </w:rPr>
              <w:t>分</w:t>
            </w:r>
          </w:p>
          <w:p w14:paraId="32EA396B">
            <w:pPr>
              <w:pStyle w:val="44"/>
              <w:jc w:val="left"/>
              <w:rPr>
                <w:color w:val="auto"/>
              </w:rPr>
            </w:pPr>
            <w:r>
              <w:rPr>
                <w:color w:val="auto"/>
              </w:rPr>
              <w:t>6</w:t>
            </w:r>
            <w:r>
              <w:rPr>
                <w:rFonts w:hint="eastAsia"/>
                <w:color w:val="auto"/>
              </w:rPr>
              <w:t>）主索鞍在横向未设支撑装置，扣</w:t>
            </w:r>
            <w:r>
              <w:rPr>
                <w:color w:val="auto"/>
              </w:rPr>
              <w:t>5</w:t>
            </w:r>
            <w:r>
              <w:rPr>
                <w:rFonts w:hint="eastAsia"/>
                <w:color w:val="auto"/>
              </w:rPr>
              <w:t>分</w:t>
            </w:r>
          </w:p>
          <w:p w14:paraId="20377BA7">
            <w:pPr>
              <w:pStyle w:val="44"/>
              <w:jc w:val="left"/>
              <w:rPr>
                <w:color w:val="auto"/>
              </w:rPr>
            </w:pPr>
            <w:r>
              <w:rPr>
                <w:color w:val="auto"/>
              </w:rPr>
              <w:t>7</w:t>
            </w:r>
            <w:r>
              <w:rPr>
                <w:rFonts w:hint="eastAsia"/>
                <w:color w:val="auto"/>
              </w:rPr>
              <w:t>）索鞍横移或塔架整体横移时未做专项设计或未采取有效措施，扣</w:t>
            </w:r>
            <w:r>
              <w:rPr>
                <w:color w:val="auto"/>
              </w:rPr>
              <w:t>5</w:t>
            </w:r>
            <w:r>
              <w:rPr>
                <w:rFonts w:hint="eastAsia"/>
                <w:color w:val="auto"/>
              </w:rPr>
              <w:t>分</w:t>
            </w:r>
          </w:p>
          <w:p w14:paraId="353C4567">
            <w:pPr>
              <w:pStyle w:val="44"/>
              <w:jc w:val="left"/>
              <w:rPr>
                <w:color w:val="auto"/>
              </w:rPr>
            </w:pPr>
            <w:r>
              <w:rPr>
                <w:color w:val="auto"/>
              </w:rPr>
              <w:t>8</w:t>
            </w:r>
            <w:r>
              <w:rPr>
                <w:rFonts w:hint="eastAsia"/>
                <w:color w:val="auto"/>
              </w:rPr>
              <w:t>）索塔的纵横向未按方案设计要求设置风缆及地锚，扣</w:t>
            </w:r>
            <w:r>
              <w:rPr>
                <w:color w:val="auto"/>
              </w:rPr>
              <w:t>5</w:t>
            </w:r>
            <w:r>
              <w:rPr>
                <w:rFonts w:hint="eastAsia"/>
                <w:color w:val="auto"/>
              </w:rPr>
              <w:t>分</w:t>
            </w:r>
          </w:p>
          <w:p w14:paraId="41972A53">
            <w:pPr>
              <w:pStyle w:val="44"/>
              <w:jc w:val="left"/>
              <w:rPr>
                <w:color w:val="auto"/>
              </w:rPr>
            </w:pPr>
            <w:r>
              <w:rPr>
                <w:color w:val="auto"/>
              </w:rPr>
              <w:t>9</w:t>
            </w:r>
            <w:r>
              <w:rPr>
                <w:rFonts w:hint="eastAsia"/>
                <w:color w:val="auto"/>
              </w:rPr>
              <w:t>）塔架顶部未按相关标准要求设置避雷装置，扣</w:t>
            </w:r>
            <w:r>
              <w:rPr>
                <w:color w:val="auto"/>
              </w:rPr>
              <w:t>5</w:t>
            </w:r>
            <w:r>
              <w:rPr>
                <w:rFonts w:hint="eastAsia"/>
                <w:color w:val="auto"/>
              </w:rPr>
              <w:t>分</w:t>
            </w:r>
          </w:p>
        </w:tc>
        <w:tc>
          <w:tcPr>
            <w:tcW w:w="720" w:type="dxa"/>
            <w:vAlign w:val="center"/>
          </w:tcPr>
          <w:p w14:paraId="7816984F">
            <w:pPr>
              <w:pStyle w:val="44"/>
              <w:rPr>
                <w:color w:val="auto"/>
              </w:rPr>
            </w:pPr>
            <w:r>
              <w:rPr>
                <w:color w:val="auto"/>
              </w:rPr>
              <w:t>10</w:t>
            </w:r>
          </w:p>
        </w:tc>
        <w:tc>
          <w:tcPr>
            <w:tcW w:w="720" w:type="dxa"/>
            <w:vAlign w:val="center"/>
          </w:tcPr>
          <w:p w14:paraId="1EE16D4C">
            <w:pPr>
              <w:pStyle w:val="44"/>
              <w:rPr>
                <w:color w:val="auto"/>
              </w:rPr>
            </w:pPr>
          </w:p>
        </w:tc>
        <w:tc>
          <w:tcPr>
            <w:tcW w:w="720" w:type="dxa"/>
            <w:vAlign w:val="center"/>
          </w:tcPr>
          <w:p w14:paraId="68BABC30">
            <w:pPr>
              <w:pStyle w:val="44"/>
              <w:rPr>
                <w:color w:val="auto"/>
              </w:rPr>
            </w:pPr>
          </w:p>
        </w:tc>
      </w:tr>
      <w:tr w14:paraId="1FB82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0BAA754B">
            <w:pPr>
              <w:pStyle w:val="44"/>
              <w:rPr>
                <w:color w:val="auto"/>
              </w:rPr>
            </w:pPr>
            <w:r>
              <w:rPr>
                <w:color w:val="auto"/>
              </w:rPr>
              <w:t>4</w:t>
            </w:r>
          </w:p>
        </w:tc>
        <w:tc>
          <w:tcPr>
            <w:tcW w:w="543" w:type="dxa"/>
            <w:vMerge w:val="continue"/>
          </w:tcPr>
          <w:p w14:paraId="14775343">
            <w:pPr>
              <w:pStyle w:val="44"/>
              <w:rPr>
                <w:color w:val="auto"/>
              </w:rPr>
            </w:pPr>
          </w:p>
        </w:tc>
        <w:tc>
          <w:tcPr>
            <w:tcW w:w="898" w:type="dxa"/>
            <w:vAlign w:val="center"/>
          </w:tcPr>
          <w:p w14:paraId="1CBCB95F">
            <w:pPr>
              <w:pStyle w:val="44"/>
              <w:rPr>
                <w:color w:val="auto"/>
              </w:rPr>
            </w:pPr>
            <w:r>
              <w:rPr>
                <w:rFonts w:hint="eastAsia"/>
                <w:color w:val="auto"/>
              </w:rPr>
              <w:t>缆索与锚碇</w:t>
            </w:r>
          </w:p>
        </w:tc>
        <w:tc>
          <w:tcPr>
            <w:tcW w:w="5580" w:type="dxa"/>
            <w:vAlign w:val="center"/>
          </w:tcPr>
          <w:p w14:paraId="2F756514">
            <w:pPr>
              <w:pStyle w:val="44"/>
              <w:jc w:val="left"/>
              <w:rPr>
                <w:color w:val="auto"/>
              </w:rPr>
            </w:pPr>
            <w:r>
              <w:rPr>
                <w:color w:val="auto"/>
              </w:rPr>
              <w:t>1</w:t>
            </w:r>
            <w:r>
              <w:rPr>
                <w:rFonts w:hint="eastAsia"/>
                <w:color w:val="auto"/>
              </w:rPr>
              <w:t>）主承重索、牵引索、起重索、缆风索、工作索、扣索的规格、型号、数量以及穿绕布置方式不符合方案设计要求，扣</w:t>
            </w:r>
            <w:r>
              <w:rPr>
                <w:color w:val="auto"/>
              </w:rPr>
              <w:t>10</w:t>
            </w:r>
            <w:r>
              <w:rPr>
                <w:rFonts w:hint="eastAsia"/>
                <w:color w:val="auto"/>
              </w:rPr>
              <w:t>分</w:t>
            </w:r>
          </w:p>
          <w:p w14:paraId="5C439B49">
            <w:pPr>
              <w:pStyle w:val="44"/>
              <w:jc w:val="left"/>
              <w:rPr>
                <w:color w:val="auto"/>
              </w:rPr>
            </w:pPr>
            <w:r>
              <w:rPr>
                <w:color w:val="auto"/>
              </w:rPr>
              <w:t>2</w:t>
            </w:r>
            <w:r>
              <w:rPr>
                <w:rFonts w:hint="eastAsia"/>
                <w:color w:val="auto"/>
              </w:rPr>
              <w:t>）同一组主承重索跨中垂度误差大于</w:t>
            </w:r>
            <w:r>
              <w:rPr>
                <w:color w:val="auto"/>
              </w:rPr>
              <w:t>100mm</w:t>
            </w:r>
            <w:r>
              <w:rPr>
                <w:rFonts w:hint="eastAsia"/>
                <w:color w:val="auto"/>
              </w:rPr>
              <w:t>，扣</w:t>
            </w:r>
            <w:r>
              <w:rPr>
                <w:color w:val="auto"/>
              </w:rPr>
              <w:t>2-5</w:t>
            </w:r>
            <w:r>
              <w:rPr>
                <w:rFonts w:hint="eastAsia"/>
                <w:color w:val="auto"/>
              </w:rPr>
              <w:t>分</w:t>
            </w:r>
          </w:p>
          <w:p w14:paraId="187F55B0">
            <w:pPr>
              <w:pStyle w:val="44"/>
              <w:jc w:val="left"/>
              <w:rPr>
                <w:color w:val="auto"/>
              </w:rPr>
            </w:pPr>
            <w:r>
              <w:rPr>
                <w:color w:val="auto"/>
              </w:rPr>
              <w:t>3</w:t>
            </w:r>
            <w:r>
              <w:rPr>
                <w:rFonts w:hint="eastAsia"/>
                <w:color w:val="auto"/>
              </w:rPr>
              <w:t>）缆索安全系数不符合要求，扣</w:t>
            </w:r>
            <w:r>
              <w:rPr>
                <w:color w:val="auto"/>
              </w:rPr>
              <w:t>10</w:t>
            </w:r>
            <w:r>
              <w:rPr>
                <w:rFonts w:hint="eastAsia"/>
                <w:color w:val="auto"/>
              </w:rPr>
              <w:t>分</w:t>
            </w:r>
          </w:p>
          <w:p w14:paraId="276D3311">
            <w:pPr>
              <w:pStyle w:val="44"/>
              <w:jc w:val="left"/>
              <w:rPr>
                <w:color w:val="auto"/>
              </w:rPr>
            </w:pPr>
            <w:r>
              <w:rPr>
                <w:color w:val="auto"/>
              </w:rPr>
              <w:t>4</w:t>
            </w:r>
            <w:r>
              <w:rPr>
                <w:rFonts w:hint="eastAsia"/>
                <w:color w:val="auto"/>
              </w:rPr>
              <w:t>）主承重索与锚碇连接处夹角超出</w:t>
            </w:r>
            <w:r>
              <w:rPr>
                <w:color w:val="auto"/>
              </w:rPr>
              <w:t>25</w:t>
            </w:r>
            <w:r>
              <w:rPr>
                <w:rFonts w:hint="eastAsia"/>
                <w:color w:val="auto"/>
              </w:rPr>
              <w:t>°</w:t>
            </w:r>
            <w:r>
              <w:rPr>
                <w:color w:val="auto"/>
              </w:rPr>
              <w:t>~30</w:t>
            </w:r>
            <w:r>
              <w:rPr>
                <w:rFonts w:hint="eastAsia"/>
                <w:color w:val="auto"/>
              </w:rPr>
              <w:t>°的范围，扣</w:t>
            </w:r>
            <w:r>
              <w:rPr>
                <w:color w:val="auto"/>
              </w:rPr>
              <w:t>3</w:t>
            </w:r>
            <w:r>
              <w:rPr>
                <w:rFonts w:hint="eastAsia"/>
                <w:color w:val="auto"/>
              </w:rPr>
              <w:t>分</w:t>
            </w:r>
          </w:p>
          <w:p w14:paraId="4988DE7E">
            <w:pPr>
              <w:pStyle w:val="44"/>
              <w:jc w:val="left"/>
              <w:rPr>
                <w:color w:val="auto"/>
              </w:rPr>
            </w:pPr>
            <w:r>
              <w:rPr>
                <w:color w:val="auto"/>
              </w:rPr>
              <w:t>5</w:t>
            </w:r>
            <w:r>
              <w:rPr>
                <w:rFonts w:hint="eastAsia"/>
                <w:color w:val="auto"/>
              </w:rPr>
              <w:t>）锚碇形式、尺寸、材料不符合专项施工方案要求，扣</w:t>
            </w:r>
            <w:r>
              <w:rPr>
                <w:color w:val="auto"/>
              </w:rPr>
              <w:t>5-10</w:t>
            </w:r>
            <w:r>
              <w:rPr>
                <w:rFonts w:hint="eastAsia"/>
                <w:color w:val="auto"/>
              </w:rPr>
              <w:t>分</w:t>
            </w:r>
          </w:p>
          <w:p w14:paraId="7594F652">
            <w:pPr>
              <w:pStyle w:val="44"/>
              <w:jc w:val="left"/>
              <w:rPr>
                <w:color w:val="auto"/>
              </w:rPr>
            </w:pPr>
            <w:r>
              <w:rPr>
                <w:color w:val="auto"/>
              </w:rPr>
              <w:t>6</w:t>
            </w:r>
            <w:r>
              <w:rPr>
                <w:rFonts w:hint="eastAsia"/>
                <w:color w:val="auto"/>
              </w:rPr>
              <w:t>）锚碇未抽取有代表性的结构进行锚固试验，扣</w:t>
            </w:r>
            <w:r>
              <w:rPr>
                <w:color w:val="auto"/>
              </w:rPr>
              <w:t>5</w:t>
            </w:r>
            <w:r>
              <w:rPr>
                <w:rFonts w:hint="eastAsia"/>
                <w:color w:val="auto"/>
              </w:rPr>
              <w:t>分</w:t>
            </w:r>
          </w:p>
          <w:p w14:paraId="41BAB108">
            <w:pPr>
              <w:pStyle w:val="44"/>
              <w:jc w:val="left"/>
              <w:rPr>
                <w:color w:val="auto"/>
              </w:rPr>
            </w:pPr>
            <w:r>
              <w:rPr>
                <w:color w:val="auto"/>
              </w:rPr>
              <w:t>7</w:t>
            </w:r>
            <w:r>
              <w:rPr>
                <w:rFonts w:hint="eastAsia"/>
                <w:color w:val="auto"/>
              </w:rPr>
              <w:t>）锚碇抗滑移及抗拔安全系数小于</w:t>
            </w:r>
            <w:r>
              <w:rPr>
                <w:color w:val="auto"/>
              </w:rPr>
              <w:t>2</w:t>
            </w:r>
            <w:r>
              <w:rPr>
                <w:rFonts w:hint="eastAsia"/>
                <w:color w:val="auto"/>
              </w:rPr>
              <w:t>，或抗倾覆安全系数小于</w:t>
            </w:r>
            <w:r>
              <w:rPr>
                <w:color w:val="auto"/>
              </w:rPr>
              <w:t>1.5</w:t>
            </w:r>
            <w:r>
              <w:rPr>
                <w:rFonts w:hint="eastAsia"/>
                <w:color w:val="auto"/>
              </w:rPr>
              <w:t>，扣</w:t>
            </w:r>
            <w:r>
              <w:rPr>
                <w:color w:val="auto"/>
              </w:rPr>
              <w:t>10</w:t>
            </w:r>
            <w:r>
              <w:rPr>
                <w:rFonts w:hint="eastAsia"/>
                <w:color w:val="auto"/>
              </w:rPr>
              <w:t>分</w:t>
            </w:r>
          </w:p>
          <w:p w14:paraId="362EF112">
            <w:pPr>
              <w:pStyle w:val="44"/>
              <w:jc w:val="left"/>
              <w:rPr>
                <w:color w:val="auto"/>
              </w:rPr>
            </w:pPr>
            <w:r>
              <w:rPr>
                <w:color w:val="auto"/>
              </w:rPr>
              <w:t>8</w:t>
            </w:r>
            <w:r>
              <w:rPr>
                <w:rFonts w:hint="eastAsia"/>
                <w:color w:val="auto"/>
              </w:rPr>
              <w:t>）锚碇布置在水中时，无防碰撞、防冲刷措施和缆索抗振措施，扣</w:t>
            </w:r>
            <w:r>
              <w:rPr>
                <w:color w:val="auto"/>
              </w:rPr>
              <w:t>5</w:t>
            </w:r>
            <w:r>
              <w:rPr>
                <w:rFonts w:hint="eastAsia"/>
                <w:color w:val="auto"/>
              </w:rPr>
              <w:t>分</w:t>
            </w:r>
          </w:p>
        </w:tc>
        <w:tc>
          <w:tcPr>
            <w:tcW w:w="720" w:type="dxa"/>
            <w:vAlign w:val="center"/>
          </w:tcPr>
          <w:p w14:paraId="0671D37C">
            <w:pPr>
              <w:pStyle w:val="44"/>
              <w:rPr>
                <w:color w:val="auto"/>
              </w:rPr>
            </w:pPr>
            <w:r>
              <w:rPr>
                <w:color w:val="auto"/>
              </w:rPr>
              <w:t>10</w:t>
            </w:r>
          </w:p>
        </w:tc>
        <w:tc>
          <w:tcPr>
            <w:tcW w:w="720" w:type="dxa"/>
            <w:vAlign w:val="center"/>
          </w:tcPr>
          <w:p w14:paraId="0ECF4E8D">
            <w:pPr>
              <w:pStyle w:val="44"/>
              <w:rPr>
                <w:color w:val="auto"/>
              </w:rPr>
            </w:pPr>
          </w:p>
        </w:tc>
        <w:tc>
          <w:tcPr>
            <w:tcW w:w="720" w:type="dxa"/>
            <w:vAlign w:val="center"/>
          </w:tcPr>
          <w:p w14:paraId="6649A710">
            <w:pPr>
              <w:pStyle w:val="44"/>
              <w:rPr>
                <w:color w:val="auto"/>
              </w:rPr>
            </w:pPr>
          </w:p>
        </w:tc>
      </w:tr>
      <w:tr w14:paraId="0107B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trPr>
        <w:tc>
          <w:tcPr>
            <w:tcW w:w="539" w:type="dxa"/>
            <w:vAlign w:val="center"/>
          </w:tcPr>
          <w:p w14:paraId="0F6567DD">
            <w:pPr>
              <w:pStyle w:val="44"/>
              <w:rPr>
                <w:color w:val="auto"/>
              </w:rPr>
            </w:pPr>
            <w:r>
              <w:rPr>
                <w:color w:val="auto"/>
              </w:rPr>
              <w:t>5</w:t>
            </w:r>
          </w:p>
        </w:tc>
        <w:tc>
          <w:tcPr>
            <w:tcW w:w="543" w:type="dxa"/>
            <w:vMerge w:val="continue"/>
          </w:tcPr>
          <w:p w14:paraId="1761752B">
            <w:pPr>
              <w:pStyle w:val="44"/>
              <w:rPr>
                <w:color w:val="auto"/>
              </w:rPr>
            </w:pPr>
          </w:p>
        </w:tc>
        <w:tc>
          <w:tcPr>
            <w:tcW w:w="898" w:type="dxa"/>
            <w:vAlign w:val="center"/>
          </w:tcPr>
          <w:p w14:paraId="3B834F1E">
            <w:pPr>
              <w:pStyle w:val="44"/>
              <w:rPr>
                <w:color w:val="auto"/>
              </w:rPr>
            </w:pPr>
            <w:r>
              <w:rPr>
                <w:rFonts w:hint="eastAsia"/>
                <w:color w:val="auto"/>
              </w:rPr>
              <w:t>扣挂系统</w:t>
            </w:r>
          </w:p>
        </w:tc>
        <w:tc>
          <w:tcPr>
            <w:tcW w:w="5580" w:type="dxa"/>
            <w:vAlign w:val="center"/>
          </w:tcPr>
          <w:p w14:paraId="68CDACFD">
            <w:pPr>
              <w:pStyle w:val="44"/>
              <w:jc w:val="left"/>
              <w:rPr>
                <w:color w:val="auto"/>
              </w:rPr>
            </w:pPr>
            <w:r>
              <w:rPr>
                <w:color w:val="auto"/>
              </w:rPr>
              <w:t>1</w:t>
            </w:r>
            <w:r>
              <w:rPr>
                <w:rFonts w:hint="eastAsia"/>
                <w:color w:val="auto"/>
              </w:rPr>
              <w:t>）扣塔上索鞍顶面高程底于拱肋扣点高程，扣</w:t>
            </w:r>
            <w:r>
              <w:rPr>
                <w:color w:val="auto"/>
              </w:rPr>
              <w:t>5</w:t>
            </w:r>
            <w:r>
              <w:rPr>
                <w:rFonts w:hint="eastAsia"/>
                <w:color w:val="auto"/>
              </w:rPr>
              <w:t>分</w:t>
            </w:r>
          </w:p>
          <w:p w14:paraId="106C22A8">
            <w:pPr>
              <w:pStyle w:val="44"/>
              <w:jc w:val="left"/>
              <w:rPr>
                <w:color w:val="auto"/>
              </w:rPr>
            </w:pPr>
            <w:r>
              <w:rPr>
                <w:color w:val="auto"/>
              </w:rPr>
              <w:t>2</w:t>
            </w:r>
            <w:r>
              <w:rPr>
                <w:rFonts w:hint="eastAsia"/>
                <w:color w:val="auto"/>
              </w:rPr>
              <w:t>）吊装拱肋未按方案设计要求设置扣索和风缆，扣</w:t>
            </w:r>
            <w:r>
              <w:rPr>
                <w:color w:val="auto"/>
              </w:rPr>
              <w:t>5-10</w:t>
            </w:r>
            <w:r>
              <w:rPr>
                <w:rFonts w:hint="eastAsia"/>
                <w:color w:val="auto"/>
              </w:rPr>
              <w:t>分</w:t>
            </w:r>
          </w:p>
          <w:p w14:paraId="0561083F">
            <w:pPr>
              <w:pStyle w:val="44"/>
              <w:jc w:val="left"/>
              <w:rPr>
                <w:color w:val="auto"/>
              </w:rPr>
            </w:pPr>
            <w:r>
              <w:rPr>
                <w:color w:val="auto"/>
              </w:rPr>
              <w:t>3</w:t>
            </w:r>
            <w:r>
              <w:rPr>
                <w:rFonts w:hint="eastAsia"/>
                <w:color w:val="auto"/>
              </w:rPr>
              <w:t>）扣索位置或扣索合力位置与所扣挂拱肋不在同一竖直面内，扣</w:t>
            </w:r>
            <w:r>
              <w:rPr>
                <w:color w:val="auto"/>
              </w:rPr>
              <w:t>5</w:t>
            </w:r>
            <w:r>
              <w:rPr>
                <w:rFonts w:hint="eastAsia"/>
                <w:color w:val="auto"/>
              </w:rPr>
              <w:t>分</w:t>
            </w:r>
          </w:p>
          <w:p w14:paraId="092F49AD">
            <w:pPr>
              <w:pStyle w:val="44"/>
              <w:jc w:val="left"/>
              <w:rPr>
                <w:color w:val="auto"/>
              </w:rPr>
            </w:pPr>
            <w:r>
              <w:rPr>
                <w:color w:val="auto"/>
              </w:rPr>
              <w:t>4</w:t>
            </w:r>
            <w:r>
              <w:rPr>
                <w:rFonts w:hint="eastAsia"/>
                <w:color w:val="auto"/>
              </w:rPr>
              <w:t>）风缆及地锚不符合方案设计要求，或不满足吊装段挂扣稳定要求，扣</w:t>
            </w:r>
            <w:r>
              <w:rPr>
                <w:color w:val="auto"/>
              </w:rPr>
              <w:t>5</w:t>
            </w:r>
            <w:r>
              <w:rPr>
                <w:rFonts w:hint="eastAsia"/>
                <w:color w:val="auto"/>
              </w:rPr>
              <w:t>分</w:t>
            </w:r>
          </w:p>
          <w:p w14:paraId="4D5ADCF8">
            <w:pPr>
              <w:pStyle w:val="44"/>
              <w:jc w:val="left"/>
              <w:rPr>
                <w:color w:val="auto"/>
              </w:rPr>
            </w:pPr>
            <w:r>
              <w:rPr>
                <w:color w:val="auto"/>
              </w:rPr>
              <w:t>5</w:t>
            </w:r>
            <w:r>
              <w:rPr>
                <w:rFonts w:hint="eastAsia"/>
                <w:color w:val="auto"/>
              </w:rPr>
              <w:t>）提前拆除固定风缆，扣</w:t>
            </w:r>
            <w:r>
              <w:rPr>
                <w:color w:val="auto"/>
              </w:rPr>
              <w:t>5</w:t>
            </w:r>
            <w:r>
              <w:rPr>
                <w:rFonts w:hint="eastAsia"/>
                <w:color w:val="auto"/>
              </w:rPr>
              <w:t>分</w:t>
            </w:r>
          </w:p>
          <w:p w14:paraId="6B64F4B5">
            <w:pPr>
              <w:pStyle w:val="44"/>
              <w:jc w:val="left"/>
              <w:rPr>
                <w:color w:val="auto"/>
              </w:rPr>
            </w:pPr>
            <w:r>
              <w:rPr>
                <w:color w:val="auto"/>
              </w:rPr>
              <w:t>6</w:t>
            </w:r>
            <w:r>
              <w:rPr>
                <w:rFonts w:hint="eastAsia"/>
                <w:color w:val="auto"/>
              </w:rPr>
              <w:t>）在河流中设置拱肋稳定缆风索时，未按方案设计要求采取可靠防护措施或减振措施，扣</w:t>
            </w:r>
            <w:r>
              <w:rPr>
                <w:color w:val="auto"/>
              </w:rPr>
              <w:t>5</w:t>
            </w:r>
            <w:r>
              <w:rPr>
                <w:rFonts w:hint="eastAsia"/>
                <w:color w:val="auto"/>
              </w:rPr>
              <w:t>分</w:t>
            </w:r>
          </w:p>
        </w:tc>
        <w:tc>
          <w:tcPr>
            <w:tcW w:w="720" w:type="dxa"/>
            <w:vAlign w:val="center"/>
          </w:tcPr>
          <w:p w14:paraId="59710ACD">
            <w:pPr>
              <w:pStyle w:val="44"/>
              <w:rPr>
                <w:color w:val="auto"/>
              </w:rPr>
            </w:pPr>
            <w:r>
              <w:rPr>
                <w:color w:val="auto"/>
              </w:rPr>
              <w:t>10</w:t>
            </w:r>
          </w:p>
        </w:tc>
        <w:tc>
          <w:tcPr>
            <w:tcW w:w="720" w:type="dxa"/>
            <w:vAlign w:val="center"/>
          </w:tcPr>
          <w:p w14:paraId="44BB5A5C">
            <w:pPr>
              <w:pStyle w:val="44"/>
              <w:rPr>
                <w:color w:val="auto"/>
              </w:rPr>
            </w:pPr>
          </w:p>
        </w:tc>
        <w:tc>
          <w:tcPr>
            <w:tcW w:w="720" w:type="dxa"/>
            <w:vAlign w:val="center"/>
          </w:tcPr>
          <w:p w14:paraId="40C9B9D5">
            <w:pPr>
              <w:pStyle w:val="44"/>
              <w:rPr>
                <w:color w:val="auto"/>
              </w:rPr>
            </w:pPr>
          </w:p>
        </w:tc>
      </w:tr>
      <w:tr w14:paraId="1957A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39E8FA7B">
            <w:pPr>
              <w:pStyle w:val="44"/>
              <w:rPr>
                <w:color w:val="auto"/>
              </w:rPr>
            </w:pPr>
            <w:r>
              <w:rPr>
                <w:color w:val="auto"/>
              </w:rPr>
              <w:t>6</w:t>
            </w:r>
          </w:p>
        </w:tc>
        <w:tc>
          <w:tcPr>
            <w:tcW w:w="543" w:type="dxa"/>
            <w:vMerge w:val="continue"/>
            <w:vAlign w:val="center"/>
          </w:tcPr>
          <w:p w14:paraId="5502BF60">
            <w:pPr>
              <w:pStyle w:val="44"/>
              <w:rPr>
                <w:color w:val="auto"/>
              </w:rPr>
            </w:pPr>
          </w:p>
        </w:tc>
        <w:tc>
          <w:tcPr>
            <w:tcW w:w="898" w:type="dxa"/>
            <w:vAlign w:val="center"/>
          </w:tcPr>
          <w:p w14:paraId="452E7092">
            <w:pPr>
              <w:pStyle w:val="44"/>
              <w:rPr>
                <w:color w:val="auto"/>
              </w:rPr>
            </w:pPr>
            <w:r>
              <w:rPr>
                <w:rFonts w:hint="eastAsia"/>
                <w:color w:val="auto"/>
              </w:rPr>
              <w:t>跑车及吊点</w:t>
            </w:r>
          </w:p>
        </w:tc>
        <w:tc>
          <w:tcPr>
            <w:tcW w:w="5580" w:type="dxa"/>
            <w:vAlign w:val="center"/>
          </w:tcPr>
          <w:p w14:paraId="59B00D7B">
            <w:pPr>
              <w:pStyle w:val="44"/>
              <w:jc w:val="left"/>
              <w:rPr>
                <w:color w:val="auto"/>
              </w:rPr>
            </w:pPr>
            <w:r>
              <w:rPr>
                <w:color w:val="auto"/>
              </w:rPr>
              <w:t>1</w:t>
            </w:r>
            <w:r>
              <w:rPr>
                <w:rFonts w:hint="eastAsia"/>
                <w:color w:val="auto"/>
              </w:rPr>
              <w:t>）跑车走行轮槽与主索钢丝绳不吻合，或走行轮轮径不满足主索钢丝绳受力及耐久性要求；扣</w:t>
            </w:r>
            <w:r>
              <w:rPr>
                <w:color w:val="auto"/>
              </w:rPr>
              <w:t>10</w:t>
            </w:r>
            <w:r>
              <w:rPr>
                <w:rFonts w:hint="eastAsia"/>
                <w:color w:val="auto"/>
              </w:rPr>
              <w:t>分</w:t>
            </w:r>
          </w:p>
          <w:p w14:paraId="4737FBC3">
            <w:pPr>
              <w:pStyle w:val="44"/>
              <w:jc w:val="left"/>
              <w:rPr>
                <w:color w:val="auto"/>
              </w:rPr>
            </w:pPr>
            <w:r>
              <w:rPr>
                <w:color w:val="auto"/>
              </w:rPr>
              <w:t>2</w:t>
            </w:r>
            <w:r>
              <w:rPr>
                <w:rFonts w:hint="eastAsia"/>
                <w:color w:val="auto"/>
              </w:rPr>
              <w:t>）吊点上下挂架及滑车组连接不牢固稳妥，扣</w:t>
            </w:r>
            <w:r>
              <w:rPr>
                <w:color w:val="auto"/>
              </w:rPr>
              <w:t>10</w:t>
            </w:r>
            <w:r>
              <w:rPr>
                <w:rFonts w:hint="eastAsia"/>
                <w:color w:val="auto"/>
              </w:rPr>
              <w:t>分</w:t>
            </w:r>
          </w:p>
          <w:p w14:paraId="5FADFE8A">
            <w:pPr>
              <w:pStyle w:val="44"/>
              <w:jc w:val="left"/>
              <w:rPr>
                <w:color w:val="auto"/>
              </w:rPr>
            </w:pPr>
            <w:r>
              <w:rPr>
                <w:color w:val="auto"/>
              </w:rPr>
              <w:t>3</w:t>
            </w:r>
            <w:r>
              <w:rPr>
                <w:rFonts w:hint="eastAsia"/>
                <w:color w:val="auto"/>
              </w:rPr>
              <w:t>）未按标准要求安装起重量限制器或不灵敏，扣</w:t>
            </w:r>
            <w:r>
              <w:rPr>
                <w:color w:val="auto"/>
              </w:rPr>
              <w:t>10</w:t>
            </w:r>
            <w:r>
              <w:rPr>
                <w:rFonts w:hint="eastAsia"/>
                <w:color w:val="auto"/>
              </w:rPr>
              <w:t>分</w:t>
            </w:r>
          </w:p>
          <w:p w14:paraId="70061DFF">
            <w:pPr>
              <w:pStyle w:val="44"/>
              <w:jc w:val="left"/>
              <w:rPr>
                <w:color w:val="auto"/>
              </w:rPr>
            </w:pPr>
            <w:r>
              <w:rPr>
                <w:color w:val="auto"/>
              </w:rPr>
              <w:t>4</w:t>
            </w:r>
            <w:r>
              <w:rPr>
                <w:rFonts w:hint="eastAsia"/>
                <w:color w:val="auto"/>
              </w:rPr>
              <w:t>）未设置垂直起吊和水平运输行程限位器或不灵敏，扣</w:t>
            </w:r>
            <w:r>
              <w:rPr>
                <w:color w:val="auto"/>
              </w:rPr>
              <w:t>10</w:t>
            </w:r>
            <w:r>
              <w:rPr>
                <w:rFonts w:hint="eastAsia"/>
                <w:color w:val="auto"/>
              </w:rPr>
              <w:t>分</w:t>
            </w:r>
          </w:p>
          <w:p w14:paraId="34B2B606">
            <w:pPr>
              <w:pStyle w:val="44"/>
              <w:jc w:val="left"/>
              <w:rPr>
                <w:color w:val="auto"/>
              </w:rPr>
            </w:pPr>
            <w:r>
              <w:rPr>
                <w:color w:val="auto"/>
              </w:rPr>
              <w:t>5</w:t>
            </w:r>
            <w:r>
              <w:rPr>
                <w:rFonts w:hint="eastAsia"/>
                <w:color w:val="auto"/>
              </w:rPr>
              <w:t>）吊钩的规格、型号不符合方案设计及说明书要求，或未按标准要求设置防脱钩装置，扣</w:t>
            </w:r>
            <w:r>
              <w:rPr>
                <w:color w:val="auto"/>
              </w:rPr>
              <w:t>10</w:t>
            </w:r>
            <w:r>
              <w:rPr>
                <w:rFonts w:hint="eastAsia"/>
                <w:color w:val="auto"/>
              </w:rPr>
              <w:t>分</w:t>
            </w:r>
          </w:p>
        </w:tc>
        <w:tc>
          <w:tcPr>
            <w:tcW w:w="720" w:type="dxa"/>
            <w:vAlign w:val="center"/>
          </w:tcPr>
          <w:p w14:paraId="290D9BD6">
            <w:pPr>
              <w:pStyle w:val="44"/>
              <w:rPr>
                <w:color w:val="auto"/>
              </w:rPr>
            </w:pPr>
            <w:r>
              <w:rPr>
                <w:color w:val="auto"/>
              </w:rPr>
              <w:t>10</w:t>
            </w:r>
          </w:p>
        </w:tc>
        <w:tc>
          <w:tcPr>
            <w:tcW w:w="720" w:type="dxa"/>
            <w:vAlign w:val="center"/>
          </w:tcPr>
          <w:p w14:paraId="33967BCC">
            <w:pPr>
              <w:pStyle w:val="44"/>
              <w:rPr>
                <w:color w:val="auto"/>
              </w:rPr>
            </w:pPr>
          </w:p>
        </w:tc>
        <w:tc>
          <w:tcPr>
            <w:tcW w:w="720" w:type="dxa"/>
            <w:vAlign w:val="center"/>
          </w:tcPr>
          <w:p w14:paraId="2975E559">
            <w:pPr>
              <w:pStyle w:val="44"/>
              <w:rPr>
                <w:color w:val="auto"/>
              </w:rPr>
            </w:pPr>
          </w:p>
        </w:tc>
      </w:tr>
      <w:tr w14:paraId="2544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389FEB78">
            <w:pPr>
              <w:pStyle w:val="44"/>
              <w:rPr>
                <w:color w:val="auto"/>
              </w:rPr>
            </w:pPr>
            <w:r>
              <w:rPr>
                <w:color w:val="auto"/>
              </w:rPr>
              <w:t>7</w:t>
            </w:r>
          </w:p>
        </w:tc>
        <w:tc>
          <w:tcPr>
            <w:tcW w:w="543" w:type="dxa"/>
            <w:vMerge w:val="continue"/>
            <w:vAlign w:val="center"/>
          </w:tcPr>
          <w:p w14:paraId="0E176621">
            <w:pPr>
              <w:pStyle w:val="44"/>
              <w:rPr>
                <w:color w:val="auto"/>
              </w:rPr>
            </w:pPr>
          </w:p>
        </w:tc>
        <w:tc>
          <w:tcPr>
            <w:tcW w:w="898" w:type="dxa"/>
            <w:vAlign w:val="center"/>
          </w:tcPr>
          <w:p w14:paraId="1EEA79C2">
            <w:pPr>
              <w:pStyle w:val="44"/>
              <w:rPr>
                <w:color w:val="auto"/>
              </w:rPr>
            </w:pPr>
            <w:r>
              <w:rPr>
                <w:rFonts w:hint="eastAsia"/>
                <w:color w:val="auto"/>
              </w:rPr>
              <w:t>安装、拆卸与验收</w:t>
            </w:r>
          </w:p>
        </w:tc>
        <w:tc>
          <w:tcPr>
            <w:tcW w:w="5580" w:type="dxa"/>
            <w:vAlign w:val="center"/>
          </w:tcPr>
          <w:p w14:paraId="4341734F">
            <w:pPr>
              <w:pStyle w:val="44"/>
              <w:jc w:val="left"/>
              <w:rPr>
                <w:color w:val="auto"/>
              </w:rPr>
            </w:pPr>
            <w:r>
              <w:rPr>
                <w:color w:val="auto"/>
              </w:rPr>
              <w:t>1</w:t>
            </w:r>
            <w:r>
              <w:rPr>
                <w:rFonts w:hint="eastAsia"/>
                <w:color w:val="auto"/>
              </w:rPr>
              <w:t>）缆索起重机无制造许可证、产品合格证、备案证明和使用说明书，扣</w:t>
            </w:r>
            <w:r>
              <w:rPr>
                <w:color w:val="auto"/>
              </w:rPr>
              <w:t>10</w:t>
            </w:r>
            <w:r>
              <w:rPr>
                <w:rFonts w:hint="eastAsia"/>
                <w:color w:val="auto"/>
              </w:rPr>
              <w:t>分</w:t>
            </w:r>
          </w:p>
          <w:p w14:paraId="2D562902">
            <w:pPr>
              <w:pStyle w:val="44"/>
              <w:jc w:val="left"/>
              <w:rPr>
                <w:color w:val="auto"/>
              </w:rPr>
            </w:pPr>
            <w:r>
              <w:rPr>
                <w:color w:val="auto"/>
              </w:rPr>
              <w:t>2</w:t>
            </w:r>
            <w:r>
              <w:rPr>
                <w:rFonts w:hint="eastAsia"/>
                <w:color w:val="auto"/>
              </w:rPr>
              <w:t>）缆索起重机安装、改造、拆卸、维修单位未取得专业承包资质和安全生产许可证，扣</w:t>
            </w:r>
            <w:r>
              <w:rPr>
                <w:color w:val="auto"/>
              </w:rPr>
              <w:t>10</w:t>
            </w:r>
            <w:r>
              <w:rPr>
                <w:rFonts w:hint="eastAsia"/>
                <w:color w:val="auto"/>
              </w:rPr>
              <w:t>分</w:t>
            </w:r>
          </w:p>
          <w:p w14:paraId="3FD9AF2A">
            <w:pPr>
              <w:pStyle w:val="44"/>
              <w:jc w:val="left"/>
              <w:rPr>
                <w:color w:val="auto"/>
              </w:rPr>
            </w:pPr>
            <w:r>
              <w:rPr>
                <w:color w:val="auto"/>
              </w:rPr>
              <w:t>3</w:t>
            </w:r>
            <w:r>
              <w:rPr>
                <w:rFonts w:hint="eastAsia"/>
                <w:color w:val="auto"/>
              </w:rPr>
              <w:t>）安装、拆卸特种作业人员未取得特种作业资格证书，扣</w:t>
            </w:r>
            <w:r>
              <w:rPr>
                <w:color w:val="auto"/>
              </w:rPr>
              <w:t>10</w:t>
            </w:r>
            <w:r>
              <w:rPr>
                <w:rFonts w:hint="eastAsia"/>
                <w:color w:val="auto"/>
              </w:rPr>
              <w:t>分</w:t>
            </w:r>
          </w:p>
          <w:p w14:paraId="1E18838D">
            <w:pPr>
              <w:pStyle w:val="44"/>
              <w:jc w:val="left"/>
              <w:rPr>
                <w:color w:val="auto"/>
              </w:rPr>
            </w:pPr>
            <w:r>
              <w:rPr>
                <w:color w:val="auto"/>
              </w:rPr>
              <w:t>4</w:t>
            </w:r>
            <w:r>
              <w:rPr>
                <w:rFonts w:hint="eastAsia"/>
                <w:color w:val="auto"/>
              </w:rPr>
              <w:t>）塔架高度、主跨和边跨长度、主索初始垂度、主索初始安装张力、跨中最大载重下的垂跨比、初始塔偏不符合方案设计规定，每项扣</w:t>
            </w:r>
            <w:r>
              <w:rPr>
                <w:color w:val="auto"/>
              </w:rPr>
              <w:t>2</w:t>
            </w:r>
            <w:r>
              <w:rPr>
                <w:rFonts w:hint="eastAsia"/>
                <w:color w:val="auto"/>
              </w:rPr>
              <w:t>分</w:t>
            </w:r>
          </w:p>
          <w:p w14:paraId="6ECCFAB9">
            <w:pPr>
              <w:pStyle w:val="44"/>
              <w:jc w:val="left"/>
              <w:rPr>
                <w:color w:val="auto"/>
              </w:rPr>
            </w:pPr>
            <w:r>
              <w:rPr>
                <w:color w:val="auto"/>
              </w:rPr>
              <w:t>5</w:t>
            </w:r>
            <w:r>
              <w:rPr>
                <w:rFonts w:hint="eastAsia"/>
                <w:color w:val="auto"/>
              </w:rPr>
              <w:t>）构件螺栓连接时对螺栓孔进行切割扩孔，扣</w:t>
            </w:r>
            <w:r>
              <w:rPr>
                <w:color w:val="auto"/>
              </w:rPr>
              <w:t>5</w:t>
            </w:r>
            <w:r>
              <w:rPr>
                <w:rFonts w:hint="eastAsia"/>
                <w:color w:val="auto"/>
              </w:rPr>
              <w:t>分</w:t>
            </w:r>
          </w:p>
          <w:p w14:paraId="6625042F">
            <w:pPr>
              <w:pStyle w:val="44"/>
              <w:jc w:val="left"/>
              <w:rPr>
                <w:color w:val="auto"/>
              </w:rPr>
            </w:pPr>
            <w:r>
              <w:rPr>
                <w:color w:val="auto"/>
              </w:rPr>
              <w:t>6</w:t>
            </w:r>
            <w:r>
              <w:rPr>
                <w:rFonts w:hint="eastAsia"/>
                <w:color w:val="auto"/>
              </w:rPr>
              <w:t>）焊接各部位焊缝有显著焊接缺陷，每处扣</w:t>
            </w:r>
            <w:r>
              <w:rPr>
                <w:color w:val="auto"/>
              </w:rPr>
              <w:t>2</w:t>
            </w:r>
            <w:r>
              <w:rPr>
                <w:rFonts w:hint="eastAsia"/>
                <w:color w:val="auto"/>
              </w:rPr>
              <w:t>分</w:t>
            </w:r>
          </w:p>
          <w:p w14:paraId="222E8819">
            <w:pPr>
              <w:pStyle w:val="44"/>
              <w:jc w:val="left"/>
              <w:rPr>
                <w:color w:val="auto"/>
              </w:rPr>
            </w:pPr>
            <w:r>
              <w:rPr>
                <w:color w:val="auto"/>
              </w:rPr>
              <w:t>7</w:t>
            </w:r>
            <w:r>
              <w:rPr>
                <w:rFonts w:hint="eastAsia"/>
                <w:color w:val="auto"/>
              </w:rPr>
              <w:t>）螺栓连接或销接处不紧密，每处扣</w:t>
            </w:r>
            <w:r>
              <w:rPr>
                <w:color w:val="auto"/>
              </w:rPr>
              <w:t>2</w:t>
            </w:r>
            <w:r>
              <w:rPr>
                <w:rFonts w:hint="eastAsia"/>
                <w:color w:val="auto"/>
              </w:rPr>
              <w:t>分</w:t>
            </w:r>
          </w:p>
          <w:p w14:paraId="68337F19">
            <w:pPr>
              <w:pStyle w:val="44"/>
              <w:jc w:val="left"/>
              <w:rPr>
                <w:color w:val="auto"/>
              </w:rPr>
            </w:pPr>
            <w:r>
              <w:rPr>
                <w:color w:val="auto"/>
              </w:rPr>
              <w:t>8</w:t>
            </w:r>
            <w:r>
              <w:rPr>
                <w:rFonts w:hint="eastAsia"/>
                <w:color w:val="auto"/>
              </w:rPr>
              <w:t>）锚碇、塔架施工完成后未按照相关标准要求进行专项验收，扣</w:t>
            </w:r>
            <w:r>
              <w:rPr>
                <w:color w:val="auto"/>
              </w:rPr>
              <w:t>5</w:t>
            </w:r>
            <w:r>
              <w:rPr>
                <w:rFonts w:hint="eastAsia"/>
                <w:color w:val="auto"/>
              </w:rPr>
              <w:t>分</w:t>
            </w:r>
          </w:p>
          <w:p w14:paraId="7D31401D">
            <w:pPr>
              <w:pStyle w:val="44"/>
              <w:jc w:val="left"/>
              <w:rPr>
                <w:color w:val="auto"/>
              </w:rPr>
            </w:pPr>
            <w:r>
              <w:rPr>
                <w:color w:val="auto"/>
              </w:rPr>
              <w:t>9</w:t>
            </w:r>
            <w:r>
              <w:rPr>
                <w:rFonts w:hint="eastAsia"/>
                <w:color w:val="auto"/>
              </w:rPr>
              <w:t>）安装完成后未履行验收程序或未经责任人签字确认，扣</w:t>
            </w:r>
            <w:r>
              <w:rPr>
                <w:color w:val="auto"/>
              </w:rPr>
              <w:t>10</w:t>
            </w:r>
            <w:r>
              <w:rPr>
                <w:rFonts w:hint="eastAsia"/>
                <w:color w:val="auto"/>
              </w:rPr>
              <w:t>分</w:t>
            </w:r>
          </w:p>
          <w:p w14:paraId="64D5662C">
            <w:pPr>
              <w:pStyle w:val="44"/>
              <w:jc w:val="left"/>
              <w:rPr>
                <w:color w:val="auto"/>
              </w:rPr>
            </w:pPr>
            <w:r>
              <w:rPr>
                <w:color w:val="auto"/>
              </w:rPr>
              <w:t>10</w:t>
            </w:r>
            <w:r>
              <w:rPr>
                <w:rFonts w:hint="eastAsia"/>
                <w:color w:val="auto"/>
              </w:rPr>
              <w:t>）验收后未办理使用登记，扣</w:t>
            </w:r>
            <w:r>
              <w:rPr>
                <w:color w:val="auto"/>
              </w:rPr>
              <w:t>5</w:t>
            </w:r>
            <w:r>
              <w:rPr>
                <w:rFonts w:hint="eastAsia"/>
                <w:color w:val="auto"/>
              </w:rPr>
              <w:t>分</w:t>
            </w:r>
          </w:p>
          <w:p w14:paraId="787C95B8">
            <w:pPr>
              <w:pStyle w:val="44"/>
              <w:jc w:val="left"/>
              <w:rPr>
                <w:color w:val="auto"/>
              </w:rPr>
            </w:pPr>
            <w:r>
              <w:rPr>
                <w:color w:val="auto"/>
              </w:rPr>
              <w:t>11</w:t>
            </w:r>
            <w:r>
              <w:rPr>
                <w:rFonts w:hint="eastAsia"/>
                <w:color w:val="auto"/>
              </w:rPr>
              <w:t>）塔架拆除未维持塔架框架结构，或未及时调整缆风绳高度，扣</w:t>
            </w:r>
            <w:r>
              <w:rPr>
                <w:color w:val="auto"/>
              </w:rPr>
              <w:t>2-5</w:t>
            </w:r>
            <w:r>
              <w:rPr>
                <w:rFonts w:hint="eastAsia"/>
                <w:color w:val="auto"/>
              </w:rPr>
              <w:t>分</w:t>
            </w:r>
          </w:p>
        </w:tc>
        <w:tc>
          <w:tcPr>
            <w:tcW w:w="720" w:type="dxa"/>
            <w:vAlign w:val="center"/>
          </w:tcPr>
          <w:p w14:paraId="73B41640">
            <w:pPr>
              <w:pStyle w:val="44"/>
              <w:rPr>
                <w:color w:val="auto"/>
              </w:rPr>
            </w:pPr>
            <w:r>
              <w:rPr>
                <w:color w:val="auto"/>
              </w:rPr>
              <w:t>10</w:t>
            </w:r>
          </w:p>
        </w:tc>
        <w:tc>
          <w:tcPr>
            <w:tcW w:w="720" w:type="dxa"/>
            <w:vAlign w:val="center"/>
          </w:tcPr>
          <w:p w14:paraId="30128F02">
            <w:pPr>
              <w:pStyle w:val="44"/>
              <w:rPr>
                <w:color w:val="auto"/>
              </w:rPr>
            </w:pPr>
          </w:p>
        </w:tc>
        <w:tc>
          <w:tcPr>
            <w:tcW w:w="720" w:type="dxa"/>
            <w:vAlign w:val="center"/>
          </w:tcPr>
          <w:p w14:paraId="2150E081">
            <w:pPr>
              <w:pStyle w:val="44"/>
              <w:rPr>
                <w:color w:val="auto"/>
              </w:rPr>
            </w:pPr>
          </w:p>
        </w:tc>
      </w:tr>
      <w:tr w14:paraId="5B1B7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52323A1E">
            <w:pPr>
              <w:pStyle w:val="44"/>
              <w:rPr>
                <w:color w:val="auto"/>
              </w:rPr>
            </w:pPr>
          </w:p>
        </w:tc>
        <w:tc>
          <w:tcPr>
            <w:tcW w:w="543" w:type="dxa"/>
            <w:vMerge w:val="continue"/>
            <w:vAlign w:val="center"/>
          </w:tcPr>
          <w:p w14:paraId="06E90F50">
            <w:pPr>
              <w:pStyle w:val="44"/>
              <w:rPr>
                <w:color w:val="auto"/>
              </w:rPr>
            </w:pPr>
          </w:p>
        </w:tc>
        <w:tc>
          <w:tcPr>
            <w:tcW w:w="6478" w:type="dxa"/>
            <w:gridSpan w:val="2"/>
            <w:vAlign w:val="center"/>
          </w:tcPr>
          <w:p w14:paraId="35890A19">
            <w:pPr>
              <w:pStyle w:val="44"/>
              <w:rPr>
                <w:b/>
                <w:bCs w:val="0"/>
                <w:color w:val="auto"/>
              </w:rPr>
            </w:pPr>
            <w:r>
              <w:rPr>
                <w:rFonts w:hint="eastAsia"/>
                <w:b/>
                <w:bCs w:val="0"/>
                <w:color w:val="auto"/>
              </w:rPr>
              <w:t xml:space="preserve">小 </w:t>
            </w:r>
            <w:r>
              <w:rPr>
                <w:b/>
                <w:bCs w:val="0"/>
                <w:color w:val="auto"/>
              </w:rPr>
              <w:t xml:space="preserve"> </w:t>
            </w:r>
            <w:r>
              <w:rPr>
                <w:rFonts w:hint="eastAsia"/>
                <w:b/>
                <w:bCs w:val="0"/>
                <w:color w:val="auto"/>
              </w:rPr>
              <w:t>计</w:t>
            </w:r>
          </w:p>
        </w:tc>
        <w:tc>
          <w:tcPr>
            <w:tcW w:w="720" w:type="dxa"/>
            <w:vAlign w:val="center"/>
          </w:tcPr>
          <w:p w14:paraId="39282DF7">
            <w:pPr>
              <w:pStyle w:val="44"/>
              <w:rPr>
                <w:color w:val="auto"/>
              </w:rPr>
            </w:pPr>
            <w:r>
              <w:rPr>
                <w:color w:val="auto"/>
              </w:rPr>
              <w:t>70</w:t>
            </w:r>
          </w:p>
        </w:tc>
        <w:tc>
          <w:tcPr>
            <w:tcW w:w="720" w:type="dxa"/>
            <w:vAlign w:val="center"/>
          </w:tcPr>
          <w:p w14:paraId="4D7E12EB">
            <w:pPr>
              <w:pStyle w:val="44"/>
              <w:rPr>
                <w:color w:val="auto"/>
              </w:rPr>
            </w:pPr>
          </w:p>
        </w:tc>
        <w:tc>
          <w:tcPr>
            <w:tcW w:w="720" w:type="dxa"/>
            <w:vAlign w:val="center"/>
          </w:tcPr>
          <w:p w14:paraId="49F348B4">
            <w:pPr>
              <w:pStyle w:val="44"/>
              <w:rPr>
                <w:color w:val="auto"/>
              </w:rPr>
            </w:pPr>
          </w:p>
        </w:tc>
      </w:tr>
      <w:tr w14:paraId="6B8F7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trPr>
        <w:tc>
          <w:tcPr>
            <w:tcW w:w="539" w:type="dxa"/>
            <w:vAlign w:val="center"/>
          </w:tcPr>
          <w:p w14:paraId="3409FAF5">
            <w:pPr>
              <w:pStyle w:val="44"/>
              <w:rPr>
                <w:color w:val="auto"/>
              </w:rPr>
            </w:pPr>
            <w:r>
              <w:rPr>
                <w:color w:val="auto"/>
              </w:rPr>
              <w:t>1</w:t>
            </w:r>
          </w:p>
        </w:tc>
        <w:tc>
          <w:tcPr>
            <w:tcW w:w="543" w:type="dxa"/>
            <w:vMerge w:val="restart"/>
            <w:vAlign w:val="center"/>
          </w:tcPr>
          <w:p w14:paraId="69522EA3">
            <w:pPr>
              <w:pStyle w:val="44"/>
              <w:rPr>
                <w:color w:val="auto"/>
              </w:rPr>
            </w:pPr>
            <w:r>
              <w:rPr>
                <w:rFonts w:hint="eastAsia"/>
                <w:color w:val="auto"/>
              </w:rPr>
              <w:t>一</w:t>
            </w:r>
          </w:p>
          <w:p w14:paraId="5DC56725">
            <w:pPr>
              <w:pStyle w:val="44"/>
              <w:rPr>
                <w:color w:val="auto"/>
              </w:rPr>
            </w:pPr>
            <w:r>
              <w:rPr>
                <w:rFonts w:hint="eastAsia"/>
                <w:color w:val="auto"/>
              </w:rPr>
              <w:t>般</w:t>
            </w:r>
          </w:p>
          <w:p w14:paraId="570FFD61">
            <w:pPr>
              <w:pStyle w:val="44"/>
              <w:rPr>
                <w:color w:val="auto"/>
              </w:rPr>
            </w:pPr>
            <w:r>
              <w:rPr>
                <w:rFonts w:hint="eastAsia"/>
                <w:color w:val="auto"/>
              </w:rPr>
              <w:t>项</w:t>
            </w:r>
          </w:p>
          <w:p w14:paraId="577CB270">
            <w:pPr>
              <w:pStyle w:val="44"/>
              <w:rPr>
                <w:color w:val="auto"/>
              </w:rPr>
            </w:pPr>
            <w:r>
              <w:rPr>
                <w:rFonts w:hint="eastAsia"/>
                <w:color w:val="auto"/>
              </w:rPr>
              <w:t>目</w:t>
            </w:r>
          </w:p>
        </w:tc>
        <w:tc>
          <w:tcPr>
            <w:tcW w:w="898" w:type="dxa"/>
            <w:vAlign w:val="center"/>
          </w:tcPr>
          <w:p w14:paraId="7A176161">
            <w:pPr>
              <w:pStyle w:val="44"/>
              <w:rPr>
                <w:color w:val="auto"/>
              </w:rPr>
            </w:pPr>
            <w:r>
              <w:rPr>
                <w:rFonts w:hint="eastAsia"/>
                <w:color w:val="auto"/>
              </w:rPr>
              <w:t>动力及传统机构</w:t>
            </w:r>
          </w:p>
        </w:tc>
        <w:tc>
          <w:tcPr>
            <w:tcW w:w="5580" w:type="dxa"/>
            <w:vAlign w:val="center"/>
          </w:tcPr>
          <w:p w14:paraId="1FE9C983">
            <w:pPr>
              <w:pStyle w:val="44"/>
              <w:jc w:val="left"/>
              <w:rPr>
                <w:color w:val="auto"/>
              </w:rPr>
            </w:pPr>
            <w:r>
              <w:rPr>
                <w:color w:val="auto"/>
              </w:rPr>
              <w:t>1</w:t>
            </w:r>
            <w:r>
              <w:rPr>
                <w:rFonts w:hint="eastAsia"/>
                <w:color w:val="auto"/>
              </w:rPr>
              <w:t>）卷扬机底座不平稳，或地龙锚固不可靠，扣</w:t>
            </w:r>
            <w:r>
              <w:rPr>
                <w:color w:val="auto"/>
              </w:rPr>
              <w:t>5-10</w:t>
            </w:r>
            <w:r>
              <w:rPr>
                <w:rFonts w:hint="eastAsia"/>
                <w:color w:val="auto"/>
              </w:rPr>
              <w:t>分</w:t>
            </w:r>
          </w:p>
          <w:p w14:paraId="70BE1E33">
            <w:pPr>
              <w:pStyle w:val="44"/>
              <w:jc w:val="left"/>
              <w:rPr>
                <w:color w:val="auto"/>
              </w:rPr>
            </w:pPr>
            <w:r>
              <w:rPr>
                <w:color w:val="auto"/>
              </w:rPr>
              <w:t>2</w:t>
            </w:r>
            <w:r>
              <w:rPr>
                <w:rFonts w:hint="eastAsia"/>
                <w:color w:val="auto"/>
              </w:rPr>
              <w:t>）吊钩、滑轮、卷筒未设置钢丝绳防脱装置或装置失效，扣</w:t>
            </w:r>
            <w:r>
              <w:rPr>
                <w:color w:val="auto"/>
              </w:rPr>
              <w:t>10</w:t>
            </w:r>
            <w:r>
              <w:rPr>
                <w:rFonts w:hint="eastAsia"/>
                <w:color w:val="auto"/>
              </w:rPr>
              <w:t>分</w:t>
            </w:r>
          </w:p>
          <w:p w14:paraId="25D1B503">
            <w:pPr>
              <w:pStyle w:val="44"/>
              <w:jc w:val="left"/>
              <w:rPr>
                <w:color w:val="auto"/>
              </w:rPr>
            </w:pPr>
            <w:r>
              <w:rPr>
                <w:color w:val="auto"/>
              </w:rPr>
              <w:t>3</w:t>
            </w:r>
            <w:r>
              <w:rPr>
                <w:rFonts w:hint="eastAsia"/>
                <w:color w:val="auto"/>
              </w:rPr>
              <w:t>）滑轮轮径或绳槽半径与钢丝绳绳径相不匹配，扣</w:t>
            </w:r>
            <w:r>
              <w:rPr>
                <w:color w:val="auto"/>
              </w:rPr>
              <w:t>10</w:t>
            </w:r>
            <w:r>
              <w:rPr>
                <w:rFonts w:hint="eastAsia"/>
                <w:color w:val="auto"/>
              </w:rPr>
              <w:t>分</w:t>
            </w:r>
          </w:p>
          <w:p w14:paraId="19893441">
            <w:pPr>
              <w:pStyle w:val="44"/>
              <w:jc w:val="left"/>
              <w:rPr>
                <w:color w:val="auto"/>
              </w:rPr>
            </w:pPr>
            <w:r>
              <w:rPr>
                <w:color w:val="auto"/>
              </w:rPr>
              <w:t>4</w:t>
            </w:r>
            <w:r>
              <w:rPr>
                <w:rFonts w:hint="eastAsia"/>
                <w:color w:val="auto"/>
              </w:rPr>
              <w:t>）缆索钢丝绳的规格、型号不符合产品说明书要求或端部固接方式不符合标准要求，扣</w:t>
            </w:r>
            <w:r>
              <w:rPr>
                <w:color w:val="auto"/>
              </w:rPr>
              <w:t>10</w:t>
            </w:r>
            <w:r>
              <w:rPr>
                <w:rFonts w:hint="eastAsia"/>
                <w:color w:val="auto"/>
              </w:rPr>
              <w:t>分</w:t>
            </w:r>
          </w:p>
          <w:p w14:paraId="55F14319">
            <w:pPr>
              <w:pStyle w:val="44"/>
              <w:jc w:val="left"/>
              <w:rPr>
                <w:color w:val="auto"/>
              </w:rPr>
            </w:pPr>
            <w:r>
              <w:rPr>
                <w:color w:val="auto"/>
              </w:rPr>
              <w:t>5</w:t>
            </w:r>
            <w:r>
              <w:rPr>
                <w:rFonts w:hint="eastAsia"/>
                <w:color w:val="auto"/>
              </w:rPr>
              <w:t>）卷筒上钢丝绳尾端未按规定设置安全可靠的固定装置，扣</w:t>
            </w:r>
            <w:r>
              <w:rPr>
                <w:color w:val="auto"/>
              </w:rPr>
              <w:t>10</w:t>
            </w:r>
            <w:r>
              <w:rPr>
                <w:rFonts w:hint="eastAsia"/>
                <w:color w:val="auto"/>
              </w:rPr>
              <w:t>分</w:t>
            </w:r>
          </w:p>
          <w:p w14:paraId="13A7B4D2">
            <w:pPr>
              <w:pStyle w:val="44"/>
              <w:jc w:val="left"/>
              <w:rPr>
                <w:color w:val="auto"/>
              </w:rPr>
            </w:pPr>
            <w:r>
              <w:rPr>
                <w:color w:val="auto"/>
              </w:rPr>
              <w:t>6</w:t>
            </w:r>
            <w:r>
              <w:rPr>
                <w:rFonts w:hint="eastAsia"/>
                <w:color w:val="auto"/>
              </w:rPr>
              <w:t>）钢丝绳全部放出时，卷筒上钢丝绳少于</w:t>
            </w:r>
            <w:r>
              <w:rPr>
                <w:color w:val="auto"/>
              </w:rPr>
              <w:t>3</w:t>
            </w:r>
            <w:r>
              <w:rPr>
                <w:rFonts w:hint="eastAsia"/>
                <w:color w:val="auto"/>
              </w:rPr>
              <w:t>圈，扣</w:t>
            </w:r>
            <w:r>
              <w:rPr>
                <w:color w:val="auto"/>
              </w:rPr>
              <w:t>10</w:t>
            </w:r>
            <w:r>
              <w:rPr>
                <w:rFonts w:hint="eastAsia"/>
                <w:color w:val="auto"/>
              </w:rPr>
              <w:t>分</w:t>
            </w:r>
          </w:p>
          <w:p w14:paraId="3583FF78">
            <w:pPr>
              <w:pStyle w:val="44"/>
              <w:jc w:val="left"/>
              <w:rPr>
                <w:color w:val="auto"/>
              </w:rPr>
            </w:pPr>
            <w:r>
              <w:rPr>
                <w:color w:val="auto"/>
              </w:rPr>
              <w:t>7</w:t>
            </w:r>
            <w:r>
              <w:rPr>
                <w:rFonts w:hint="eastAsia"/>
                <w:color w:val="auto"/>
              </w:rPr>
              <w:t>）索具安全系数不符合标准要求，扣</w:t>
            </w:r>
            <w:r>
              <w:rPr>
                <w:color w:val="auto"/>
              </w:rPr>
              <w:t>10</w:t>
            </w:r>
            <w:r>
              <w:rPr>
                <w:rFonts w:hint="eastAsia"/>
                <w:color w:val="auto"/>
              </w:rPr>
              <w:t>分</w:t>
            </w:r>
          </w:p>
          <w:p w14:paraId="2BB57597">
            <w:pPr>
              <w:pStyle w:val="44"/>
              <w:jc w:val="left"/>
              <w:rPr>
                <w:color w:val="auto"/>
              </w:rPr>
            </w:pPr>
            <w:r>
              <w:rPr>
                <w:color w:val="auto"/>
              </w:rPr>
              <w:t>8</w:t>
            </w:r>
            <w:r>
              <w:rPr>
                <w:rFonts w:hint="eastAsia"/>
                <w:color w:val="auto"/>
              </w:rPr>
              <w:t>）索具端部固接方式应符合标准要求，扣</w:t>
            </w:r>
            <w:r>
              <w:rPr>
                <w:color w:val="auto"/>
              </w:rPr>
              <w:t>5-10</w:t>
            </w:r>
            <w:r>
              <w:rPr>
                <w:rFonts w:hint="eastAsia"/>
                <w:color w:val="auto"/>
              </w:rPr>
              <w:t>分</w:t>
            </w:r>
          </w:p>
        </w:tc>
        <w:tc>
          <w:tcPr>
            <w:tcW w:w="720" w:type="dxa"/>
            <w:vAlign w:val="center"/>
          </w:tcPr>
          <w:p w14:paraId="4296B454">
            <w:pPr>
              <w:pStyle w:val="44"/>
              <w:rPr>
                <w:color w:val="auto"/>
              </w:rPr>
            </w:pPr>
            <w:r>
              <w:rPr>
                <w:color w:val="auto"/>
              </w:rPr>
              <w:t>10</w:t>
            </w:r>
          </w:p>
        </w:tc>
        <w:tc>
          <w:tcPr>
            <w:tcW w:w="720" w:type="dxa"/>
            <w:vAlign w:val="center"/>
          </w:tcPr>
          <w:p w14:paraId="289D43E8">
            <w:pPr>
              <w:pStyle w:val="44"/>
              <w:rPr>
                <w:color w:val="auto"/>
              </w:rPr>
            </w:pPr>
          </w:p>
        </w:tc>
        <w:tc>
          <w:tcPr>
            <w:tcW w:w="720" w:type="dxa"/>
            <w:vAlign w:val="center"/>
          </w:tcPr>
          <w:p w14:paraId="68F65E33">
            <w:pPr>
              <w:pStyle w:val="44"/>
              <w:rPr>
                <w:color w:val="auto"/>
              </w:rPr>
            </w:pPr>
          </w:p>
        </w:tc>
      </w:tr>
      <w:tr w14:paraId="29A44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5B1BB0F9">
            <w:pPr>
              <w:pStyle w:val="44"/>
              <w:rPr>
                <w:color w:val="auto"/>
              </w:rPr>
            </w:pPr>
            <w:r>
              <w:rPr>
                <w:color w:val="auto"/>
              </w:rPr>
              <w:t>2</w:t>
            </w:r>
          </w:p>
        </w:tc>
        <w:tc>
          <w:tcPr>
            <w:tcW w:w="543" w:type="dxa"/>
            <w:vMerge w:val="continue"/>
          </w:tcPr>
          <w:p w14:paraId="69BD04BD">
            <w:pPr>
              <w:pStyle w:val="44"/>
              <w:rPr>
                <w:color w:val="auto"/>
              </w:rPr>
            </w:pPr>
          </w:p>
        </w:tc>
        <w:tc>
          <w:tcPr>
            <w:tcW w:w="898" w:type="dxa"/>
            <w:vAlign w:val="center"/>
          </w:tcPr>
          <w:p w14:paraId="201A34E1">
            <w:pPr>
              <w:pStyle w:val="44"/>
              <w:rPr>
                <w:color w:val="auto"/>
              </w:rPr>
            </w:pPr>
            <w:r>
              <w:rPr>
                <w:rFonts w:hint="eastAsia"/>
                <w:color w:val="auto"/>
              </w:rPr>
              <w:t>吊装与监测</w:t>
            </w:r>
          </w:p>
        </w:tc>
        <w:tc>
          <w:tcPr>
            <w:tcW w:w="5580" w:type="dxa"/>
            <w:vAlign w:val="center"/>
          </w:tcPr>
          <w:p w14:paraId="0BE233E6">
            <w:pPr>
              <w:pStyle w:val="44"/>
              <w:jc w:val="left"/>
              <w:rPr>
                <w:color w:val="auto"/>
              </w:rPr>
            </w:pPr>
            <w:r>
              <w:rPr>
                <w:color w:val="auto"/>
              </w:rPr>
              <w:t>1</w:t>
            </w:r>
            <w:r>
              <w:rPr>
                <w:rFonts w:hint="eastAsia"/>
                <w:color w:val="auto"/>
              </w:rPr>
              <w:t>）安装完成后未按设计荷载进行静、动载试吊，扣</w:t>
            </w:r>
            <w:r>
              <w:rPr>
                <w:color w:val="auto"/>
              </w:rPr>
              <w:t>10</w:t>
            </w:r>
            <w:r>
              <w:rPr>
                <w:rFonts w:hint="eastAsia"/>
                <w:color w:val="auto"/>
              </w:rPr>
              <w:t>分</w:t>
            </w:r>
          </w:p>
          <w:p w14:paraId="2F3F1497">
            <w:pPr>
              <w:pStyle w:val="44"/>
              <w:jc w:val="left"/>
              <w:rPr>
                <w:color w:val="auto"/>
              </w:rPr>
            </w:pPr>
            <w:r>
              <w:rPr>
                <w:color w:val="auto"/>
              </w:rPr>
              <w:t>2</w:t>
            </w:r>
            <w:r>
              <w:rPr>
                <w:rFonts w:hint="eastAsia"/>
                <w:color w:val="auto"/>
              </w:rPr>
              <w:t>）试吊过程中未对各部位工作性能进行检查或检查记录不全，扣</w:t>
            </w:r>
            <w:r>
              <w:rPr>
                <w:color w:val="auto"/>
              </w:rPr>
              <w:t>5-10</w:t>
            </w:r>
            <w:r>
              <w:rPr>
                <w:rFonts w:hint="eastAsia"/>
                <w:color w:val="auto"/>
              </w:rPr>
              <w:t>分</w:t>
            </w:r>
          </w:p>
          <w:p w14:paraId="50309F6D">
            <w:pPr>
              <w:pStyle w:val="44"/>
              <w:jc w:val="left"/>
              <w:rPr>
                <w:color w:val="auto"/>
              </w:rPr>
            </w:pPr>
            <w:r>
              <w:rPr>
                <w:color w:val="auto"/>
              </w:rPr>
              <w:t>3</w:t>
            </w:r>
            <w:r>
              <w:rPr>
                <w:rFonts w:hint="eastAsia"/>
                <w:color w:val="auto"/>
              </w:rPr>
              <w:t>）试吊过程中未对塔架顶偏位、锚碇位移、主索索力进行观测或观测记录不全，扣</w:t>
            </w:r>
            <w:r>
              <w:rPr>
                <w:color w:val="auto"/>
              </w:rPr>
              <w:t>5-10</w:t>
            </w:r>
            <w:r>
              <w:rPr>
                <w:rFonts w:hint="eastAsia"/>
                <w:color w:val="auto"/>
              </w:rPr>
              <w:t>分</w:t>
            </w:r>
          </w:p>
          <w:p w14:paraId="5EAC1D27">
            <w:pPr>
              <w:pStyle w:val="44"/>
              <w:jc w:val="left"/>
              <w:rPr>
                <w:color w:val="auto"/>
              </w:rPr>
            </w:pPr>
            <w:r>
              <w:rPr>
                <w:color w:val="auto"/>
              </w:rPr>
              <w:t>4</w:t>
            </w:r>
            <w:r>
              <w:rPr>
                <w:rFonts w:hint="eastAsia"/>
                <w:color w:val="auto"/>
              </w:rPr>
              <w:t>）试吊结束后未形成试吊报告或未交缆索起重机设计单位核算是否符合设计要求，扣</w:t>
            </w:r>
            <w:r>
              <w:rPr>
                <w:color w:val="auto"/>
              </w:rPr>
              <w:t>10</w:t>
            </w:r>
            <w:r>
              <w:rPr>
                <w:rFonts w:hint="eastAsia"/>
                <w:color w:val="auto"/>
              </w:rPr>
              <w:t>分</w:t>
            </w:r>
          </w:p>
          <w:p w14:paraId="4AD8B94F">
            <w:pPr>
              <w:pStyle w:val="44"/>
              <w:jc w:val="left"/>
              <w:rPr>
                <w:color w:val="auto"/>
              </w:rPr>
            </w:pPr>
            <w:r>
              <w:rPr>
                <w:color w:val="auto"/>
              </w:rPr>
              <w:t>5</w:t>
            </w:r>
            <w:r>
              <w:rPr>
                <w:rFonts w:hint="eastAsia"/>
                <w:color w:val="auto"/>
              </w:rPr>
              <w:t>）起重司机、信号工、司索工未取得特种作业资格证书，扣</w:t>
            </w:r>
            <w:r>
              <w:rPr>
                <w:color w:val="auto"/>
              </w:rPr>
              <w:t>10</w:t>
            </w:r>
            <w:r>
              <w:rPr>
                <w:rFonts w:hint="eastAsia"/>
                <w:color w:val="auto"/>
              </w:rPr>
              <w:t>分</w:t>
            </w:r>
          </w:p>
          <w:p w14:paraId="1A173FC4">
            <w:pPr>
              <w:pStyle w:val="44"/>
              <w:jc w:val="left"/>
              <w:rPr>
                <w:color w:val="auto"/>
              </w:rPr>
            </w:pPr>
            <w:r>
              <w:rPr>
                <w:color w:val="auto"/>
              </w:rPr>
              <w:t>6</w:t>
            </w:r>
            <w:r>
              <w:rPr>
                <w:rFonts w:hint="eastAsia"/>
                <w:color w:val="auto"/>
              </w:rPr>
              <w:t>）缆索起重机使用过程中未对缆索起重机各部位进行监测，扣</w:t>
            </w:r>
            <w:r>
              <w:rPr>
                <w:color w:val="auto"/>
              </w:rPr>
              <w:t>5</w:t>
            </w:r>
            <w:r>
              <w:rPr>
                <w:rFonts w:hint="eastAsia"/>
                <w:color w:val="auto"/>
              </w:rPr>
              <w:t>分监测记录不全，扣</w:t>
            </w:r>
            <w:r>
              <w:rPr>
                <w:color w:val="auto"/>
              </w:rPr>
              <w:t>2-5</w:t>
            </w:r>
            <w:r>
              <w:rPr>
                <w:rFonts w:hint="eastAsia"/>
                <w:color w:val="auto"/>
              </w:rPr>
              <w:t>分</w:t>
            </w:r>
          </w:p>
          <w:p w14:paraId="77C350D1">
            <w:pPr>
              <w:pStyle w:val="44"/>
              <w:jc w:val="left"/>
              <w:rPr>
                <w:color w:val="auto"/>
              </w:rPr>
            </w:pPr>
            <w:r>
              <w:rPr>
                <w:color w:val="auto"/>
              </w:rPr>
              <w:t>7</w:t>
            </w:r>
            <w:r>
              <w:rPr>
                <w:rFonts w:hint="eastAsia"/>
                <w:color w:val="auto"/>
              </w:rPr>
              <w:t>）吊装施工中主塔和扣塔塔顶最大偏位超过设计值或标准允许值，扣</w:t>
            </w:r>
            <w:r>
              <w:rPr>
                <w:color w:val="auto"/>
              </w:rPr>
              <w:t>5-10</w:t>
            </w:r>
            <w:r>
              <w:rPr>
                <w:rFonts w:hint="eastAsia"/>
                <w:color w:val="auto"/>
              </w:rPr>
              <w:t>分</w:t>
            </w:r>
          </w:p>
          <w:p w14:paraId="53E0EF0B">
            <w:pPr>
              <w:pStyle w:val="44"/>
              <w:jc w:val="left"/>
              <w:rPr>
                <w:color w:val="auto"/>
              </w:rPr>
            </w:pPr>
            <w:r>
              <w:rPr>
                <w:color w:val="auto"/>
              </w:rPr>
              <w:t>8</w:t>
            </w:r>
            <w:r>
              <w:rPr>
                <w:rFonts w:hint="eastAsia"/>
                <w:color w:val="auto"/>
              </w:rPr>
              <w:t>）缆索起重机使用期间未按规定形成交接班检查、日常检查和周期检查记录，扣</w:t>
            </w:r>
            <w:r>
              <w:rPr>
                <w:color w:val="auto"/>
              </w:rPr>
              <w:t>5-10</w:t>
            </w:r>
            <w:r>
              <w:rPr>
                <w:rFonts w:hint="eastAsia"/>
                <w:color w:val="auto"/>
              </w:rPr>
              <w:t>分</w:t>
            </w:r>
          </w:p>
          <w:p w14:paraId="0091DB0A">
            <w:pPr>
              <w:pStyle w:val="44"/>
              <w:jc w:val="left"/>
              <w:rPr>
                <w:color w:val="auto"/>
              </w:rPr>
            </w:pPr>
            <w:r>
              <w:rPr>
                <w:color w:val="auto"/>
              </w:rPr>
              <w:t>9</w:t>
            </w:r>
            <w:r>
              <w:rPr>
                <w:rFonts w:hint="eastAsia"/>
                <w:color w:val="auto"/>
              </w:rPr>
              <w:t>）除正常检修和维护保养外，使用缆索起重机载运人员，扣</w:t>
            </w:r>
            <w:r>
              <w:rPr>
                <w:color w:val="auto"/>
              </w:rPr>
              <w:t>10</w:t>
            </w:r>
            <w:r>
              <w:rPr>
                <w:rFonts w:hint="eastAsia"/>
                <w:color w:val="auto"/>
              </w:rPr>
              <w:t>分</w:t>
            </w:r>
          </w:p>
          <w:p w14:paraId="66CFF48D">
            <w:pPr>
              <w:pStyle w:val="44"/>
              <w:jc w:val="left"/>
              <w:rPr>
                <w:color w:val="auto"/>
              </w:rPr>
            </w:pPr>
            <w:r>
              <w:rPr>
                <w:color w:val="auto"/>
              </w:rPr>
              <w:t>10</w:t>
            </w:r>
            <w:r>
              <w:rPr>
                <w:rFonts w:hint="eastAsia"/>
                <w:color w:val="auto"/>
              </w:rPr>
              <w:t>）超过一定规模的缆索起重机未配备集中监控系统，扣</w:t>
            </w:r>
            <w:r>
              <w:rPr>
                <w:color w:val="auto"/>
              </w:rPr>
              <w:t>3</w:t>
            </w:r>
            <w:r>
              <w:rPr>
                <w:rFonts w:hint="eastAsia"/>
                <w:color w:val="auto"/>
              </w:rPr>
              <w:t>分</w:t>
            </w:r>
          </w:p>
        </w:tc>
        <w:tc>
          <w:tcPr>
            <w:tcW w:w="720" w:type="dxa"/>
            <w:vAlign w:val="center"/>
          </w:tcPr>
          <w:p w14:paraId="12CDDC9E">
            <w:pPr>
              <w:pStyle w:val="44"/>
              <w:rPr>
                <w:color w:val="auto"/>
              </w:rPr>
            </w:pPr>
            <w:r>
              <w:rPr>
                <w:color w:val="auto"/>
              </w:rPr>
              <w:t>10</w:t>
            </w:r>
          </w:p>
        </w:tc>
        <w:tc>
          <w:tcPr>
            <w:tcW w:w="720" w:type="dxa"/>
            <w:vAlign w:val="center"/>
          </w:tcPr>
          <w:p w14:paraId="1C9FC804">
            <w:pPr>
              <w:pStyle w:val="44"/>
              <w:rPr>
                <w:color w:val="auto"/>
              </w:rPr>
            </w:pPr>
          </w:p>
        </w:tc>
        <w:tc>
          <w:tcPr>
            <w:tcW w:w="720" w:type="dxa"/>
            <w:vAlign w:val="center"/>
          </w:tcPr>
          <w:p w14:paraId="460A2DED">
            <w:pPr>
              <w:pStyle w:val="44"/>
              <w:rPr>
                <w:color w:val="auto"/>
              </w:rPr>
            </w:pPr>
          </w:p>
        </w:tc>
      </w:tr>
      <w:tr w14:paraId="1B7C9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4463ADE5">
            <w:pPr>
              <w:pStyle w:val="44"/>
              <w:rPr>
                <w:color w:val="auto"/>
              </w:rPr>
            </w:pPr>
            <w:r>
              <w:rPr>
                <w:color w:val="auto"/>
              </w:rPr>
              <w:t>3</w:t>
            </w:r>
          </w:p>
        </w:tc>
        <w:tc>
          <w:tcPr>
            <w:tcW w:w="543" w:type="dxa"/>
            <w:vMerge w:val="continue"/>
          </w:tcPr>
          <w:p w14:paraId="688C580F">
            <w:pPr>
              <w:pStyle w:val="44"/>
              <w:rPr>
                <w:color w:val="auto"/>
              </w:rPr>
            </w:pPr>
          </w:p>
        </w:tc>
        <w:tc>
          <w:tcPr>
            <w:tcW w:w="898" w:type="dxa"/>
            <w:vAlign w:val="center"/>
          </w:tcPr>
          <w:p w14:paraId="2DFA630E">
            <w:pPr>
              <w:pStyle w:val="44"/>
              <w:rPr>
                <w:color w:val="auto"/>
              </w:rPr>
            </w:pPr>
            <w:r>
              <w:rPr>
                <w:rFonts w:hint="eastAsia"/>
                <w:color w:val="auto"/>
              </w:rPr>
              <w:t>安全防护</w:t>
            </w:r>
          </w:p>
        </w:tc>
        <w:tc>
          <w:tcPr>
            <w:tcW w:w="5580" w:type="dxa"/>
            <w:vAlign w:val="center"/>
          </w:tcPr>
          <w:p w14:paraId="4138166F">
            <w:pPr>
              <w:pStyle w:val="44"/>
              <w:jc w:val="left"/>
              <w:rPr>
                <w:color w:val="auto"/>
              </w:rPr>
            </w:pPr>
            <w:r>
              <w:rPr>
                <w:color w:val="auto"/>
              </w:rPr>
              <w:t>1</w:t>
            </w:r>
            <w:r>
              <w:rPr>
                <w:rFonts w:hint="eastAsia"/>
                <w:color w:val="auto"/>
              </w:rPr>
              <w:t>）滑轮和索道系统上冰雪未及时碾除，扣</w:t>
            </w:r>
            <w:r>
              <w:rPr>
                <w:color w:val="auto"/>
              </w:rPr>
              <w:t>10</w:t>
            </w:r>
            <w:r>
              <w:rPr>
                <w:rFonts w:hint="eastAsia"/>
                <w:color w:val="auto"/>
              </w:rPr>
              <w:t>分</w:t>
            </w:r>
          </w:p>
          <w:p w14:paraId="65B0668B">
            <w:pPr>
              <w:pStyle w:val="44"/>
              <w:jc w:val="left"/>
              <w:rPr>
                <w:color w:val="auto"/>
              </w:rPr>
            </w:pPr>
            <w:r>
              <w:rPr>
                <w:color w:val="auto"/>
              </w:rPr>
              <w:t>2</w:t>
            </w:r>
            <w:r>
              <w:rPr>
                <w:rFonts w:hint="eastAsia"/>
                <w:color w:val="auto"/>
              </w:rPr>
              <w:t>）人员上下操作或检查未设置专用通道，扣</w:t>
            </w:r>
            <w:r>
              <w:rPr>
                <w:color w:val="auto"/>
              </w:rPr>
              <w:t>10</w:t>
            </w:r>
            <w:r>
              <w:rPr>
                <w:rFonts w:hint="eastAsia"/>
                <w:color w:val="auto"/>
              </w:rPr>
              <w:t>分；通道设置不符合标准要求，扣</w:t>
            </w:r>
            <w:r>
              <w:rPr>
                <w:color w:val="auto"/>
              </w:rPr>
              <w:t>5-10</w:t>
            </w:r>
            <w:r>
              <w:rPr>
                <w:rFonts w:hint="eastAsia"/>
                <w:color w:val="auto"/>
              </w:rPr>
              <w:t>分</w:t>
            </w:r>
          </w:p>
          <w:p w14:paraId="06396A4A">
            <w:pPr>
              <w:pStyle w:val="44"/>
              <w:jc w:val="left"/>
              <w:rPr>
                <w:color w:val="auto"/>
              </w:rPr>
            </w:pPr>
            <w:r>
              <w:rPr>
                <w:color w:val="auto"/>
              </w:rPr>
              <w:t>3</w:t>
            </w:r>
            <w:r>
              <w:rPr>
                <w:rFonts w:hint="eastAsia"/>
                <w:color w:val="auto"/>
              </w:rPr>
              <w:t>）缆索起重机塔顶或其他操作部位未设置操作平台，扣</w:t>
            </w:r>
            <w:r>
              <w:rPr>
                <w:color w:val="auto"/>
              </w:rPr>
              <w:t>10</w:t>
            </w:r>
            <w:r>
              <w:rPr>
                <w:rFonts w:hint="eastAsia"/>
                <w:color w:val="auto"/>
              </w:rPr>
              <w:t>分</w:t>
            </w:r>
          </w:p>
          <w:p w14:paraId="0556B3A0">
            <w:pPr>
              <w:pStyle w:val="44"/>
              <w:jc w:val="left"/>
              <w:rPr>
                <w:color w:val="auto"/>
              </w:rPr>
            </w:pPr>
            <w:r>
              <w:rPr>
                <w:color w:val="auto"/>
              </w:rPr>
              <w:t>4</w:t>
            </w:r>
            <w:r>
              <w:rPr>
                <w:rFonts w:hint="eastAsia"/>
                <w:color w:val="auto"/>
              </w:rPr>
              <w:t>）操作平台周边未设置防护栏杆、挡脚板，扣</w:t>
            </w:r>
            <w:r>
              <w:rPr>
                <w:color w:val="auto"/>
              </w:rPr>
              <w:t>10</w:t>
            </w:r>
            <w:r>
              <w:rPr>
                <w:rFonts w:hint="eastAsia"/>
                <w:color w:val="auto"/>
              </w:rPr>
              <w:t>分，设置不符合临边作业防护要求，扣</w:t>
            </w:r>
            <w:r>
              <w:rPr>
                <w:color w:val="auto"/>
              </w:rPr>
              <w:t>3-8</w:t>
            </w:r>
            <w:r>
              <w:rPr>
                <w:rFonts w:hint="eastAsia"/>
                <w:color w:val="auto"/>
              </w:rPr>
              <w:t>分</w:t>
            </w:r>
          </w:p>
          <w:p w14:paraId="7D101AC2">
            <w:pPr>
              <w:pStyle w:val="44"/>
              <w:jc w:val="left"/>
              <w:rPr>
                <w:color w:val="auto"/>
              </w:rPr>
            </w:pPr>
            <w:r>
              <w:rPr>
                <w:color w:val="auto"/>
              </w:rPr>
              <w:t>5</w:t>
            </w:r>
            <w:r>
              <w:rPr>
                <w:rFonts w:hint="eastAsia"/>
                <w:color w:val="auto"/>
              </w:rPr>
              <w:t>）操作平台面脚手板未满铺或未牢固固定，每处扣</w:t>
            </w:r>
            <w:r>
              <w:rPr>
                <w:color w:val="auto"/>
              </w:rPr>
              <w:t>2</w:t>
            </w:r>
            <w:r>
              <w:rPr>
                <w:rFonts w:hint="eastAsia"/>
                <w:color w:val="auto"/>
              </w:rPr>
              <w:t>分</w:t>
            </w:r>
          </w:p>
          <w:p w14:paraId="075DF899">
            <w:pPr>
              <w:pStyle w:val="44"/>
              <w:jc w:val="left"/>
              <w:rPr>
                <w:color w:val="auto"/>
              </w:rPr>
            </w:pPr>
            <w:r>
              <w:rPr>
                <w:color w:val="auto"/>
              </w:rPr>
              <w:t>6</w:t>
            </w:r>
            <w:r>
              <w:rPr>
                <w:rFonts w:hint="eastAsia"/>
                <w:color w:val="auto"/>
              </w:rPr>
              <w:t>）跨（临）铁路、道路、航道的缆索起重机下部未设置可靠的防护棚，扣</w:t>
            </w:r>
            <w:r>
              <w:rPr>
                <w:color w:val="auto"/>
              </w:rPr>
              <w:t>5</w:t>
            </w:r>
            <w:r>
              <w:rPr>
                <w:rFonts w:hint="eastAsia"/>
                <w:color w:val="auto"/>
              </w:rPr>
              <w:t>分</w:t>
            </w:r>
          </w:p>
        </w:tc>
        <w:tc>
          <w:tcPr>
            <w:tcW w:w="720" w:type="dxa"/>
            <w:vAlign w:val="center"/>
          </w:tcPr>
          <w:p w14:paraId="661915C6">
            <w:pPr>
              <w:pStyle w:val="44"/>
              <w:rPr>
                <w:color w:val="auto"/>
              </w:rPr>
            </w:pPr>
            <w:r>
              <w:rPr>
                <w:color w:val="auto"/>
              </w:rPr>
              <w:t>10</w:t>
            </w:r>
          </w:p>
        </w:tc>
        <w:tc>
          <w:tcPr>
            <w:tcW w:w="720" w:type="dxa"/>
            <w:vAlign w:val="center"/>
          </w:tcPr>
          <w:p w14:paraId="5EBAEC1B">
            <w:pPr>
              <w:pStyle w:val="44"/>
              <w:rPr>
                <w:color w:val="auto"/>
              </w:rPr>
            </w:pPr>
          </w:p>
        </w:tc>
        <w:tc>
          <w:tcPr>
            <w:tcW w:w="720" w:type="dxa"/>
            <w:vAlign w:val="center"/>
          </w:tcPr>
          <w:p w14:paraId="62628B65">
            <w:pPr>
              <w:pStyle w:val="44"/>
              <w:rPr>
                <w:color w:val="auto"/>
              </w:rPr>
            </w:pPr>
          </w:p>
        </w:tc>
      </w:tr>
      <w:tr w14:paraId="5E92E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52FAFA38">
            <w:pPr>
              <w:pStyle w:val="44"/>
              <w:rPr>
                <w:color w:val="auto"/>
              </w:rPr>
            </w:pPr>
          </w:p>
        </w:tc>
        <w:tc>
          <w:tcPr>
            <w:tcW w:w="543" w:type="dxa"/>
            <w:vMerge w:val="continue"/>
          </w:tcPr>
          <w:p w14:paraId="3729770B">
            <w:pPr>
              <w:pStyle w:val="44"/>
              <w:rPr>
                <w:color w:val="auto"/>
              </w:rPr>
            </w:pPr>
          </w:p>
        </w:tc>
        <w:tc>
          <w:tcPr>
            <w:tcW w:w="6478" w:type="dxa"/>
            <w:gridSpan w:val="2"/>
            <w:vAlign w:val="center"/>
          </w:tcPr>
          <w:p w14:paraId="3217F408">
            <w:pPr>
              <w:pStyle w:val="44"/>
              <w:rPr>
                <w:b/>
                <w:bCs w:val="0"/>
                <w:color w:val="auto"/>
              </w:rPr>
            </w:pPr>
            <w:r>
              <w:rPr>
                <w:rFonts w:hint="eastAsia"/>
                <w:b/>
                <w:bCs w:val="0"/>
                <w:color w:val="auto"/>
              </w:rPr>
              <w:t xml:space="preserve">小 </w:t>
            </w:r>
            <w:r>
              <w:rPr>
                <w:b/>
                <w:bCs w:val="0"/>
                <w:color w:val="auto"/>
              </w:rPr>
              <w:t xml:space="preserve"> </w:t>
            </w:r>
            <w:r>
              <w:rPr>
                <w:rFonts w:hint="eastAsia"/>
                <w:b/>
                <w:bCs w:val="0"/>
                <w:color w:val="auto"/>
              </w:rPr>
              <w:t>计</w:t>
            </w:r>
          </w:p>
        </w:tc>
        <w:tc>
          <w:tcPr>
            <w:tcW w:w="720" w:type="dxa"/>
            <w:vAlign w:val="center"/>
          </w:tcPr>
          <w:p w14:paraId="74B3875E">
            <w:pPr>
              <w:pStyle w:val="44"/>
              <w:rPr>
                <w:color w:val="auto"/>
              </w:rPr>
            </w:pPr>
            <w:r>
              <w:rPr>
                <w:color w:val="auto"/>
              </w:rPr>
              <w:t>30</w:t>
            </w:r>
          </w:p>
        </w:tc>
        <w:tc>
          <w:tcPr>
            <w:tcW w:w="720" w:type="dxa"/>
            <w:vAlign w:val="center"/>
          </w:tcPr>
          <w:p w14:paraId="0058BA51">
            <w:pPr>
              <w:pStyle w:val="44"/>
              <w:rPr>
                <w:color w:val="auto"/>
              </w:rPr>
            </w:pPr>
          </w:p>
        </w:tc>
        <w:tc>
          <w:tcPr>
            <w:tcW w:w="720" w:type="dxa"/>
            <w:vAlign w:val="center"/>
          </w:tcPr>
          <w:p w14:paraId="70BEC4A3">
            <w:pPr>
              <w:pStyle w:val="44"/>
              <w:rPr>
                <w:color w:val="auto"/>
              </w:rPr>
            </w:pPr>
          </w:p>
        </w:tc>
      </w:tr>
      <w:tr w14:paraId="661C6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trPr>
        <w:tc>
          <w:tcPr>
            <w:tcW w:w="7560" w:type="dxa"/>
            <w:gridSpan w:val="4"/>
            <w:vAlign w:val="center"/>
          </w:tcPr>
          <w:p w14:paraId="2173B2D1">
            <w:pPr>
              <w:pStyle w:val="44"/>
              <w:rPr>
                <w:b/>
                <w:bCs w:val="0"/>
                <w:color w:val="auto"/>
              </w:rPr>
            </w:pPr>
            <w:r>
              <w:rPr>
                <w:rFonts w:hint="eastAsia"/>
                <w:b/>
                <w:bCs w:val="0"/>
                <w:color w:val="auto"/>
              </w:rPr>
              <w:t>检查项目合计</w:t>
            </w:r>
          </w:p>
        </w:tc>
        <w:tc>
          <w:tcPr>
            <w:tcW w:w="720" w:type="dxa"/>
            <w:vAlign w:val="center"/>
          </w:tcPr>
          <w:p w14:paraId="1BFC96D0">
            <w:pPr>
              <w:pStyle w:val="44"/>
              <w:rPr>
                <w:color w:val="auto"/>
              </w:rPr>
            </w:pPr>
            <w:r>
              <w:rPr>
                <w:color w:val="auto"/>
              </w:rPr>
              <w:t>100</w:t>
            </w:r>
          </w:p>
        </w:tc>
        <w:tc>
          <w:tcPr>
            <w:tcW w:w="720" w:type="dxa"/>
            <w:vAlign w:val="center"/>
          </w:tcPr>
          <w:p w14:paraId="5A3A7B0E">
            <w:pPr>
              <w:pStyle w:val="44"/>
              <w:rPr>
                <w:color w:val="auto"/>
              </w:rPr>
            </w:pPr>
          </w:p>
        </w:tc>
        <w:tc>
          <w:tcPr>
            <w:tcW w:w="720" w:type="dxa"/>
            <w:vAlign w:val="center"/>
          </w:tcPr>
          <w:p w14:paraId="4A584ADD">
            <w:pPr>
              <w:pStyle w:val="44"/>
              <w:rPr>
                <w:color w:val="auto"/>
              </w:rPr>
            </w:pPr>
          </w:p>
        </w:tc>
      </w:tr>
    </w:tbl>
    <w:p w14:paraId="3CD2464E"/>
    <w:p w14:paraId="5873C2D7">
      <w:pPr>
        <w:pStyle w:val="5"/>
      </w:pPr>
      <w:r>
        <w:rPr>
          <w:rFonts w:hint="eastAsia"/>
        </w:rPr>
        <w:br w:type="page"/>
      </w:r>
      <w:bookmarkStart w:id="103" w:name="_Toc11437"/>
      <w:bookmarkStart w:id="104" w:name="_Toc30892"/>
      <w:bookmarkStart w:id="105" w:name="_Toc11901"/>
      <w:r>
        <w:rPr>
          <w:rFonts w:hint="eastAsia"/>
        </w:rPr>
        <w:t>表B.</w:t>
      </w:r>
      <w:r>
        <w:t>32</w:t>
      </w:r>
      <w:r>
        <w:rPr>
          <w:rFonts w:hint="eastAsia"/>
        </w:rPr>
        <w:t xml:space="preserve">  起重吊装检查</w:t>
      </w:r>
      <w:r>
        <w:t>评分表</w:t>
      </w:r>
      <w:bookmarkEnd w:id="103"/>
      <w:bookmarkEnd w:id="104"/>
      <w:bookmarkEnd w:id="105"/>
    </w:p>
    <w:tbl>
      <w:tblPr>
        <w:tblStyle w:val="19"/>
        <w:tblpPr w:leftFromText="180" w:rightFromText="180" w:vertAnchor="text" w:horzAnchor="page" w:tblpX="1150" w:tblpY="631"/>
        <w:tblOverlap w:val="never"/>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78922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trPr>
        <w:tc>
          <w:tcPr>
            <w:tcW w:w="539" w:type="dxa"/>
            <w:vAlign w:val="center"/>
          </w:tcPr>
          <w:p w14:paraId="544E7C31">
            <w:pPr>
              <w:pStyle w:val="44"/>
              <w:rPr>
                <w:color w:val="auto"/>
              </w:rPr>
            </w:pPr>
            <w:r>
              <w:rPr>
                <w:rFonts w:hint="eastAsia"/>
                <w:color w:val="auto"/>
              </w:rPr>
              <w:t>序号</w:t>
            </w:r>
          </w:p>
        </w:tc>
        <w:tc>
          <w:tcPr>
            <w:tcW w:w="1441" w:type="dxa"/>
            <w:gridSpan w:val="2"/>
            <w:vAlign w:val="center"/>
          </w:tcPr>
          <w:p w14:paraId="3165434B">
            <w:pPr>
              <w:pStyle w:val="44"/>
              <w:rPr>
                <w:color w:val="auto"/>
              </w:rPr>
            </w:pPr>
            <w:r>
              <w:rPr>
                <w:rFonts w:hint="eastAsia"/>
                <w:color w:val="auto"/>
              </w:rPr>
              <w:t>检查项目</w:t>
            </w:r>
          </w:p>
        </w:tc>
        <w:tc>
          <w:tcPr>
            <w:tcW w:w="5580" w:type="dxa"/>
            <w:vAlign w:val="center"/>
          </w:tcPr>
          <w:p w14:paraId="19020F9C">
            <w:pPr>
              <w:pStyle w:val="44"/>
              <w:rPr>
                <w:color w:val="auto"/>
              </w:rPr>
            </w:pPr>
            <w:r>
              <w:rPr>
                <w:rFonts w:hint="eastAsia"/>
                <w:color w:val="auto"/>
              </w:rPr>
              <w:t>扣</w:t>
            </w:r>
            <w:r>
              <w:rPr>
                <w:color w:val="auto"/>
              </w:rPr>
              <w:t xml:space="preserve"> </w:t>
            </w:r>
            <w:r>
              <w:rPr>
                <w:rFonts w:hint="eastAsia"/>
                <w:color w:val="auto"/>
              </w:rPr>
              <w:t>分</w:t>
            </w:r>
            <w:r>
              <w:rPr>
                <w:color w:val="auto"/>
              </w:rPr>
              <w:t xml:space="preserve"> </w:t>
            </w:r>
            <w:r>
              <w:rPr>
                <w:rFonts w:hint="eastAsia"/>
                <w:color w:val="auto"/>
              </w:rPr>
              <w:t>标</w:t>
            </w:r>
            <w:r>
              <w:rPr>
                <w:color w:val="auto"/>
              </w:rPr>
              <w:t xml:space="preserve"> </w:t>
            </w:r>
            <w:r>
              <w:rPr>
                <w:rFonts w:hint="eastAsia"/>
                <w:color w:val="auto"/>
              </w:rPr>
              <w:t>准</w:t>
            </w:r>
          </w:p>
        </w:tc>
        <w:tc>
          <w:tcPr>
            <w:tcW w:w="720" w:type="dxa"/>
            <w:vAlign w:val="center"/>
          </w:tcPr>
          <w:p w14:paraId="2137CFD3">
            <w:pPr>
              <w:pStyle w:val="44"/>
              <w:rPr>
                <w:color w:val="auto"/>
              </w:rPr>
            </w:pPr>
            <w:r>
              <w:rPr>
                <w:rFonts w:hint="eastAsia"/>
                <w:color w:val="auto"/>
              </w:rPr>
              <w:t>应得</w:t>
            </w:r>
          </w:p>
          <w:p w14:paraId="05B5BDD0">
            <w:pPr>
              <w:pStyle w:val="44"/>
              <w:rPr>
                <w:color w:val="auto"/>
              </w:rPr>
            </w:pPr>
            <w:r>
              <w:rPr>
                <w:rFonts w:hint="eastAsia"/>
                <w:color w:val="auto"/>
              </w:rPr>
              <w:t>分数</w:t>
            </w:r>
          </w:p>
        </w:tc>
        <w:tc>
          <w:tcPr>
            <w:tcW w:w="720" w:type="dxa"/>
            <w:vAlign w:val="center"/>
          </w:tcPr>
          <w:p w14:paraId="34AA1E84">
            <w:pPr>
              <w:pStyle w:val="44"/>
              <w:rPr>
                <w:color w:val="auto"/>
              </w:rPr>
            </w:pPr>
            <w:r>
              <w:rPr>
                <w:rFonts w:hint="eastAsia"/>
                <w:color w:val="auto"/>
              </w:rPr>
              <w:t>扣减</w:t>
            </w:r>
          </w:p>
          <w:p w14:paraId="184D6EF8">
            <w:pPr>
              <w:pStyle w:val="44"/>
              <w:rPr>
                <w:color w:val="auto"/>
              </w:rPr>
            </w:pPr>
            <w:r>
              <w:rPr>
                <w:rFonts w:hint="eastAsia"/>
                <w:color w:val="auto"/>
              </w:rPr>
              <w:t>分数</w:t>
            </w:r>
          </w:p>
        </w:tc>
        <w:tc>
          <w:tcPr>
            <w:tcW w:w="720" w:type="dxa"/>
            <w:vAlign w:val="center"/>
          </w:tcPr>
          <w:p w14:paraId="7DE7218C">
            <w:pPr>
              <w:pStyle w:val="44"/>
              <w:rPr>
                <w:color w:val="auto"/>
              </w:rPr>
            </w:pPr>
            <w:r>
              <w:rPr>
                <w:rFonts w:hint="eastAsia"/>
                <w:color w:val="auto"/>
              </w:rPr>
              <w:t>实得</w:t>
            </w:r>
          </w:p>
          <w:p w14:paraId="7A3D3430">
            <w:pPr>
              <w:pStyle w:val="44"/>
              <w:rPr>
                <w:color w:val="auto"/>
              </w:rPr>
            </w:pPr>
            <w:r>
              <w:rPr>
                <w:rFonts w:hint="eastAsia"/>
                <w:color w:val="auto"/>
              </w:rPr>
              <w:t>分数</w:t>
            </w:r>
          </w:p>
        </w:tc>
      </w:tr>
      <w:tr w14:paraId="1C689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trPr>
        <w:tc>
          <w:tcPr>
            <w:tcW w:w="539" w:type="dxa"/>
            <w:vAlign w:val="center"/>
          </w:tcPr>
          <w:p w14:paraId="65EB169E">
            <w:pPr>
              <w:pStyle w:val="44"/>
              <w:rPr>
                <w:color w:val="auto"/>
              </w:rPr>
            </w:pPr>
            <w:r>
              <w:rPr>
                <w:color w:val="auto"/>
              </w:rPr>
              <w:t>1</w:t>
            </w:r>
          </w:p>
        </w:tc>
        <w:tc>
          <w:tcPr>
            <w:tcW w:w="543" w:type="dxa"/>
            <w:vMerge w:val="restart"/>
            <w:vAlign w:val="center"/>
          </w:tcPr>
          <w:p w14:paraId="53B48FFB">
            <w:pPr>
              <w:pStyle w:val="44"/>
              <w:rPr>
                <w:color w:val="auto"/>
              </w:rPr>
            </w:pPr>
            <w:r>
              <w:rPr>
                <w:rFonts w:hint="eastAsia"/>
                <w:color w:val="auto"/>
              </w:rPr>
              <w:t>保</w:t>
            </w:r>
          </w:p>
          <w:p w14:paraId="79E42578">
            <w:pPr>
              <w:pStyle w:val="44"/>
              <w:rPr>
                <w:color w:val="auto"/>
              </w:rPr>
            </w:pPr>
            <w:r>
              <w:rPr>
                <w:rFonts w:hint="eastAsia"/>
                <w:color w:val="auto"/>
              </w:rPr>
              <w:t>证</w:t>
            </w:r>
          </w:p>
          <w:p w14:paraId="2DE53D27">
            <w:pPr>
              <w:pStyle w:val="44"/>
              <w:rPr>
                <w:color w:val="auto"/>
              </w:rPr>
            </w:pPr>
            <w:r>
              <w:rPr>
                <w:rFonts w:hint="eastAsia"/>
                <w:color w:val="auto"/>
              </w:rPr>
              <w:t>项</w:t>
            </w:r>
          </w:p>
          <w:p w14:paraId="365487F5">
            <w:pPr>
              <w:pStyle w:val="44"/>
              <w:rPr>
                <w:color w:val="auto"/>
              </w:rPr>
            </w:pPr>
            <w:r>
              <w:rPr>
                <w:rFonts w:hint="eastAsia"/>
                <w:color w:val="auto"/>
              </w:rPr>
              <w:t>目</w:t>
            </w:r>
          </w:p>
        </w:tc>
        <w:tc>
          <w:tcPr>
            <w:tcW w:w="898" w:type="dxa"/>
            <w:vAlign w:val="center"/>
          </w:tcPr>
          <w:p w14:paraId="7273952E">
            <w:pPr>
              <w:pStyle w:val="44"/>
              <w:rPr>
                <w:color w:val="auto"/>
              </w:rPr>
            </w:pPr>
            <w:r>
              <w:rPr>
                <w:rFonts w:hint="eastAsia"/>
                <w:color w:val="auto"/>
              </w:rPr>
              <w:t>方案与交底</w:t>
            </w:r>
          </w:p>
        </w:tc>
        <w:tc>
          <w:tcPr>
            <w:tcW w:w="5580" w:type="dxa"/>
            <w:vAlign w:val="center"/>
          </w:tcPr>
          <w:p w14:paraId="6A51465C">
            <w:pPr>
              <w:pStyle w:val="44"/>
              <w:jc w:val="left"/>
              <w:rPr>
                <w:color w:val="auto"/>
              </w:rPr>
            </w:pPr>
            <w:r>
              <w:rPr>
                <w:color w:val="auto"/>
              </w:rPr>
              <w:t>1</w:t>
            </w:r>
            <w:r>
              <w:rPr>
                <w:rFonts w:hint="eastAsia"/>
                <w:color w:val="auto"/>
              </w:rPr>
              <w:t>）未按规定编制专项施工方案，扣</w:t>
            </w:r>
            <w:r>
              <w:rPr>
                <w:color w:val="auto"/>
              </w:rPr>
              <w:t>10</w:t>
            </w:r>
            <w:r>
              <w:rPr>
                <w:rFonts w:hint="eastAsia"/>
                <w:color w:val="auto"/>
              </w:rPr>
              <w:t>分；方案编制内容不全或无针对性，扣</w:t>
            </w:r>
            <w:r>
              <w:rPr>
                <w:color w:val="auto"/>
              </w:rPr>
              <w:t>2-10</w:t>
            </w:r>
            <w:r>
              <w:rPr>
                <w:rFonts w:hint="eastAsia"/>
                <w:color w:val="auto"/>
              </w:rPr>
              <w:t>分</w:t>
            </w:r>
          </w:p>
          <w:p w14:paraId="6DAB71F5">
            <w:pPr>
              <w:pStyle w:val="44"/>
              <w:jc w:val="left"/>
              <w:rPr>
                <w:color w:val="auto"/>
              </w:rPr>
            </w:pPr>
            <w:r>
              <w:rPr>
                <w:color w:val="auto"/>
              </w:rPr>
              <w:t>2</w:t>
            </w:r>
            <w:r>
              <w:rPr>
                <w:rFonts w:hint="eastAsia"/>
                <w:color w:val="auto"/>
              </w:rPr>
              <w:t>）专项施工方案未按规定进行审核、审批，扣</w:t>
            </w:r>
            <w:r>
              <w:rPr>
                <w:color w:val="auto"/>
              </w:rPr>
              <w:t>10</w:t>
            </w:r>
            <w:r>
              <w:rPr>
                <w:rFonts w:hint="eastAsia"/>
                <w:color w:val="auto"/>
              </w:rPr>
              <w:t>分</w:t>
            </w:r>
          </w:p>
          <w:p w14:paraId="02AF47BC">
            <w:pPr>
              <w:pStyle w:val="44"/>
              <w:jc w:val="left"/>
              <w:rPr>
                <w:color w:val="auto"/>
              </w:rPr>
            </w:pPr>
            <w:r>
              <w:rPr>
                <w:color w:val="auto"/>
              </w:rPr>
              <w:t>3</w:t>
            </w:r>
            <w:r>
              <w:rPr>
                <w:rFonts w:hint="eastAsia"/>
                <w:color w:val="auto"/>
              </w:rPr>
              <w:t>）超过一定规模的起重吊装及安装拆卸工程专项施工方案未按规定组织专家论证，扣</w:t>
            </w:r>
            <w:r>
              <w:rPr>
                <w:color w:val="auto"/>
              </w:rPr>
              <w:t>10</w:t>
            </w:r>
            <w:r>
              <w:rPr>
                <w:rFonts w:hint="eastAsia"/>
                <w:color w:val="auto"/>
              </w:rPr>
              <w:t>分</w:t>
            </w:r>
          </w:p>
          <w:p w14:paraId="08B1E96E">
            <w:pPr>
              <w:pStyle w:val="44"/>
              <w:jc w:val="left"/>
              <w:rPr>
                <w:color w:val="auto"/>
              </w:rPr>
            </w:pPr>
            <w:r>
              <w:rPr>
                <w:color w:val="auto"/>
              </w:rPr>
              <w:t>4</w:t>
            </w:r>
            <w:r>
              <w:rPr>
                <w:rFonts w:hint="eastAsia"/>
                <w:color w:val="auto"/>
              </w:rPr>
              <w:t>）专项施工方案实施前，未进行安全技术交底，扣</w:t>
            </w:r>
            <w:r>
              <w:rPr>
                <w:color w:val="auto"/>
              </w:rPr>
              <w:t>10</w:t>
            </w:r>
            <w:r>
              <w:rPr>
                <w:rFonts w:hint="eastAsia"/>
                <w:color w:val="auto"/>
              </w:rPr>
              <w:t>分；交底无针对性或无文字记录，扣</w:t>
            </w:r>
            <w:r>
              <w:rPr>
                <w:color w:val="auto"/>
              </w:rPr>
              <w:t>2-5</w:t>
            </w:r>
            <w:r>
              <w:rPr>
                <w:rFonts w:hint="eastAsia"/>
                <w:color w:val="auto"/>
              </w:rPr>
              <w:t>分</w:t>
            </w:r>
          </w:p>
        </w:tc>
        <w:tc>
          <w:tcPr>
            <w:tcW w:w="720" w:type="dxa"/>
            <w:vAlign w:val="center"/>
          </w:tcPr>
          <w:p w14:paraId="3B3B6E9F">
            <w:pPr>
              <w:pStyle w:val="44"/>
              <w:rPr>
                <w:color w:val="auto"/>
              </w:rPr>
            </w:pPr>
            <w:r>
              <w:rPr>
                <w:color w:val="auto"/>
              </w:rPr>
              <w:t>10</w:t>
            </w:r>
          </w:p>
        </w:tc>
        <w:tc>
          <w:tcPr>
            <w:tcW w:w="720" w:type="dxa"/>
            <w:vAlign w:val="center"/>
          </w:tcPr>
          <w:p w14:paraId="4704535A">
            <w:pPr>
              <w:pStyle w:val="44"/>
              <w:rPr>
                <w:color w:val="auto"/>
              </w:rPr>
            </w:pPr>
          </w:p>
        </w:tc>
        <w:tc>
          <w:tcPr>
            <w:tcW w:w="720" w:type="dxa"/>
            <w:vAlign w:val="center"/>
          </w:tcPr>
          <w:p w14:paraId="30FE34CE">
            <w:pPr>
              <w:pStyle w:val="44"/>
              <w:rPr>
                <w:color w:val="auto"/>
              </w:rPr>
            </w:pPr>
          </w:p>
        </w:tc>
      </w:tr>
      <w:tr w14:paraId="20D5E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trPr>
        <w:tc>
          <w:tcPr>
            <w:tcW w:w="539" w:type="dxa"/>
            <w:vAlign w:val="center"/>
          </w:tcPr>
          <w:p w14:paraId="16DACF29">
            <w:pPr>
              <w:pStyle w:val="44"/>
              <w:rPr>
                <w:color w:val="auto"/>
              </w:rPr>
            </w:pPr>
            <w:r>
              <w:rPr>
                <w:color w:val="auto"/>
              </w:rPr>
              <w:t>2</w:t>
            </w:r>
          </w:p>
        </w:tc>
        <w:tc>
          <w:tcPr>
            <w:tcW w:w="543" w:type="dxa"/>
            <w:vMerge w:val="continue"/>
          </w:tcPr>
          <w:p w14:paraId="765A4234">
            <w:pPr>
              <w:pStyle w:val="44"/>
              <w:rPr>
                <w:color w:val="auto"/>
              </w:rPr>
            </w:pPr>
          </w:p>
        </w:tc>
        <w:tc>
          <w:tcPr>
            <w:tcW w:w="898" w:type="dxa"/>
            <w:vAlign w:val="center"/>
          </w:tcPr>
          <w:p w14:paraId="37FAE386">
            <w:pPr>
              <w:pStyle w:val="44"/>
              <w:rPr>
                <w:color w:val="auto"/>
              </w:rPr>
            </w:pPr>
            <w:r>
              <w:rPr>
                <w:rFonts w:hint="eastAsia"/>
                <w:color w:val="auto"/>
              </w:rPr>
              <w:t>起重机械</w:t>
            </w:r>
          </w:p>
        </w:tc>
        <w:tc>
          <w:tcPr>
            <w:tcW w:w="5580" w:type="dxa"/>
            <w:vAlign w:val="center"/>
          </w:tcPr>
          <w:p w14:paraId="7E418423">
            <w:pPr>
              <w:pStyle w:val="44"/>
              <w:jc w:val="left"/>
              <w:rPr>
                <w:color w:val="auto"/>
              </w:rPr>
            </w:pPr>
            <w:r>
              <w:rPr>
                <w:color w:val="auto"/>
              </w:rPr>
              <w:t>1</w:t>
            </w:r>
            <w:r>
              <w:rPr>
                <w:rFonts w:hint="eastAsia"/>
                <w:color w:val="auto"/>
              </w:rPr>
              <w:t>）起重机无制造许可证、产品合格证、备案证明和安装使用说明书，扣</w:t>
            </w:r>
            <w:r>
              <w:rPr>
                <w:color w:val="auto"/>
              </w:rPr>
              <w:t>5</w:t>
            </w:r>
            <w:r>
              <w:rPr>
                <w:rFonts w:hint="eastAsia"/>
                <w:color w:val="auto"/>
              </w:rPr>
              <w:t>分</w:t>
            </w:r>
          </w:p>
          <w:p w14:paraId="717013B1">
            <w:pPr>
              <w:pStyle w:val="44"/>
              <w:jc w:val="left"/>
              <w:rPr>
                <w:color w:val="auto"/>
              </w:rPr>
            </w:pPr>
            <w:r>
              <w:rPr>
                <w:color w:val="auto"/>
              </w:rPr>
              <w:t>2</w:t>
            </w:r>
            <w:r>
              <w:rPr>
                <w:rFonts w:hint="eastAsia"/>
                <w:color w:val="auto"/>
              </w:rPr>
              <w:t>）起重拔杆组装不符合设计要求，扣</w:t>
            </w:r>
            <w:r>
              <w:rPr>
                <w:color w:val="auto"/>
              </w:rPr>
              <w:t>10</w:t>
            </w:r>
            <w:r>
              <w:rPr>
                <w:rFonts w:hint="eastAsia"/>
                <w:color w:val="auto"/>
              </w:rPr>
              <w:t>分</w:t>
            </w:r>
          </w:p>
          <w:p w14:paraId="3EC911BB">
            <w:pPr>
              <w:pStyle w:val="44"/>
              <w:jc w:val="left"/>
              <w:rPr>
                <w:color w:val="auto"/>
              </w:rPr>
            </w:pPr>
            <w:r>
              <w:rPr>
                <w:color w:val="auto"/>
              </w:rPr>
              <w:t>3</w:t>
            </w:r>
            <w:r>
              <w:rPr>
                <w:rFonts w:hint="eastAsia"/>
                <w:color w:val="auto"/>
              </w:rPr>
              <w:t>）起重拔杆组装后未履行验收程序或验收表无责任人签字，扣</w:t>
            </w:r>
            <w:r>
              <w:rPr>
                <w:color w:val="auto"/>
              </w:rPr>
              <w:t>10</w:t>
            </w:r>
            <w:r>
              <w:rPr>
                <w:rFonts w:hint="eastAsia"/>
                <w:color w:val="auto"/>
              </w:rPr>
              <w:t>分</w:t>
            </w:r>
          </w:p>
          <w:p w14:paraId="4A046FD9">
            <w:pPr>
              <w:pStyle w:val="44"/>
              <w:jc w:val="left"/>
              <w:rPr>
                <w:color w:val="auto"/>
              </w:rPr>
            </w:pPr>
            <w:r>
              <w:rPr>
                <w:color w:val="auto"/>
              </w:rPr>
              <w:t>4</w:t>
            </w:r>
            <w:r>
              <w:rPr>
                <w:rFonts w:hint="eastAsia"/>
                <w:color w:val="auto"/>
              </w:rPr>
              <w:t>）未安装荷载限制装置或不灵敏，扣</w:t>
            </w:r>
            <w:r>
              <w:rPr>
                <w:color w:val="auto"/>
              </w:rPr>
              <w:t>10</w:t>
            </w:r>
            <w:r>
              <w:rPr>
                <w:rFonts w:hint="eastAsia"/>
                <w:color w:val="auto"/>
              </w:rPr>
              <w:t>分</w:t>
            </w:r>
          </w:p>
          <w:p w14:paraId="16035638">
            <w:pPr>
              <w:pStyle w:val="44"/>
              <w:jc w:val="left"/>
              <w:rPr>
                <w:color w:val="auto"/>
              </w:rPr>
            </w:pPr>
            <w:r>
              <w:rPr>
                <w:color w:val="auto"/>
              </w:rPr>
              <w:t>5</w:t>
            </w:r>
            <w:r>
              <w:rPr>
                <w:rFonts w:hint="eastAsia"/>
                <w:color w:val="auto"/>
              </w:rPr>
              <w:t>）未安装行程限位装置或不灵敏，扣</w:t>
            </w:r>
            <w:r>
              <w:rPr>
                <w:color w:val="auto"/>
              </w:rPr>
              <w:t>10</w:t>
            </w:r>
            <w:r>
              <w:rPr>
                <w:rFonts w:hint="eastAsia"/>
                <w:color w:val="auto"/>
              </w:rPr>
              <w:t>分</w:t>
            </w:r>
          </w:p>
        </w:tc>
        <w:tc>
          <w:tcPr>
            <w:tcW w:w="720" w:type="dxa"/>
            <w:vAlign w:val="center"/>
          </w:tcPr>
          <w:p w14:paraId="162B3368">
            <w:pPr>
              <w:pStyle w:val="44"/>
              <w:rPr>
                <w:color w:val="auto"/>
              </w:rPr>
            </w:pPr>
            <w:r>
              <w:rPr>
                <w:color w:val="auto"/>
              </w:rPr>
              <w:t>10</w:t>
            </w:r>
          </w:p>
        </w:tc>
        <w:tc>
          <w:tcPr>
            <w:tcW w:w="720" w:type="dxa"/>
            <w:vAlign w:val="center"/>
          </w:tcPr>
          <w:p w14:paraId="5FB5F645">
            <w:pPr>
              <w:pStyle w:val="44"/>
              <w:rPr>
                <w:color w:val="auto"/>
              </w:rPr>
            </w:pPr>
          </w:p>
        </w:tc>
        <w:tc>
          <w:tcPr>
            <w:tcW w:w="720" w:type="dxa"/>
            <w:vAlign w:val="center"/>
          </w:tcPr>
          <w:p w14:paraId="63688C85">
            <w:pPr>
              <w:pStyle w:val="44"/>
              <w:rPr>
                <w:color w:val="auto"/>
              </w:rPr>
            </w:pPr>
          </w:p>
        </w:tc>
      </w:tr>
      <w:tr w14:paraId="5419B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30B533DC">
            <w:pPr>
              <w:pStyle w:val="44"/>
              <w:rPr>
                <w:color w:val="auto"/>
              </w:rPr>
            </w:pPr>
            <w:r>
              <w:rPr>
                <w:color w:val="auto"/>
              </w:rPr>
              <w:t>3</w:t>
            </w:r>
          </w:p>
        </w:tc>
        <w:tc>
          <w:tcPr>
            <w:tcW w:w="543" w:type="dxa"/>
            <w:vMerge w:val="continue"/>
          </w:tcPr>
          <w:p w14:paraId="38D532C1">
            <w:pPr>
              <w:pStyle w:val="44"/>
              <w:rPr>
                <w:color w:val="auto"/>
              </w:rPr>
            </w:pPr>
          </w:p>
        </w:tc>
        <w:tc>
          <w:tcPr>
            <w:tcW w:w="898" w:type="dxa"/>
            <w:vAlign w:val="center"/>
          </w:tcPr>
          <w:p w14:paraId="7203490D">
            <w:pPr>
              <w:pStyle w:val="44"/>
              <w:rPr>
                <w:color w:val="auto"/>
              </w:rPr>
            </w:pPr>
            <w:r>
              <w:rPr>
                <w:rFonts w:hint="eastAsia"/>
                <w:color w:val="auto"/>
              </w:rPr>
              <w:t>钢丝绳与索具</w:t>
            </w:r>
          </w:p>
        </w:tc>
        <w:tc>
          <w:tcPr>
            <w:tcW w:w="5580" w:type="dxa"/>
            <w:vAlign w:val="center"/>
          </w:tcPr>
          <w:p w14:paraId="2B487CF1">
            <w:pPr>
              <w:pStyle w:val="44"/>
              <w:jc w:val="left"/>
              <w:rPr>
                <w:color w:val="auto"/>
              </w:rPr>
            </w:pPr>
            <w:r>
              <w:rPr>
                <w:color w:val="auto"/>
              </w:rPr>
              <w:t>1</w:t>
            </w:r>
            <w:r>
              <w:rPr>
                <w:rFonts w:hint="eastAsia"/>
                <w:color w:val="auto"/>
              </w:rPr>
              <w:t>）钢丝绳磨损、断丝、变形、锈蚀达到报废标准，扣</w:t>
            </w:r>
            <w:r>
              <w:rPr>
                <w:color w:val="auto"/>
              </w:rPr>
              <w:t>10</w:t>
            </w:r>
            <w:r>
              <w:rPr>
                <w:rFonts w:hint="eastAsia"/>
                <w:color w:val="auto"/>
              </w:rPr>
              <w:t>分</w:t>
            </w:r>
          </w:p>
          <w:p w14:paraId="485B40A7">
            <w:pPr>
              <w:pStyle w:val="44"/>
              <w:jc w:val="left"/>
              <w:rPr>
                <w:color w:val="auto"/>
              </w:rPr>
            </w:pPr>
            <w:r>
              <w:rPr>
                <w:color w:val="auto"/>
              </w:rPr>
              <w:t>2</w:t>
            </w:r>
            <w:r>
              <w:rPr>
                <w:rFonts w:hint="eastAsia"/>
                <w:color w:val="auto"/>
              </w:rPr>
              <w:t>）钢丝绳的规格、型号不符合产品说明书要求或穿绕不正确，扣</w:t>
            </w:r>
            <w:r>
              <w:rPr>
                <w:color w:val="auto"/>
              </w:rPr>
              <w:t>10</w:t>
            </w:r>
            <w:r>
              <w:rPr>
                <w:rFonts w:hint="eastAsia"/>
                <w:color w:val="auto"/>
              </w:rPr>
              <w:t>分</w:t>
            </w:r>
          </w:p>
          <w:p w14:paraId="51A5A28C">
            <w:pPr>
              <w:pStyle w:val="44"/>
              <w:jc w:val="left"/>
              <w:rPr>
                <w:color w:val="auto"/>
              </w:rPr>
            </w:pPr>
            <w:r>
              <w:rPr>
                <w:color w:val="auto"/>
              </w:rPr>
              <w:t>3</w:t>
            </w:r>
            <w:r>
              <w:rPr>
                <w:rFonts w:hint="eastAsia"/>
                <w:color w:val="auto"/>
              </w:rPr>
              <w:t>）吊钩、卷筒、滑轮磨损达到报废标准扣</w:t>
            </w:r>
            <w:r>
              <w:rPr>
                <w:color w:val="auto"/>
              </w:rPr>
              <w:t>10</w:t>
            </w:r>
            <w:r>
              <w:rPr>
                <w:rFonts w:hint="eastAsia"/>
                <w:color w:val="auto"/>
              </w:rPr>
              <w:t>分</w:t>
            </w:r>
          </w:p>
          <w:p w14:paraId="16909F55">
            <w:pPr>
              <w:pStyle w:val="44"/>
              <w:jc w:val="left"/>
              <w:rPr>
                <w:color w:val="auto"/>
              </w:rPr>
            </w:pPr>
            <w:r>
              <w:rPr>
                <w:color w:val="auto"/>
              </w:rPr>
              <w:t>4</w:t>
            </w:r>
            <w:r>
              <w:rPr>
                <w:rFonts w:hint="eastAsia"/>
                <w:color w:val="auto"/>
              </w:rPr>
              <w:t>）吊钩、卷筒、滑轮未设置钢丝绳防脱装置，扣</w:t>
            </w:r>
            <w:r>
              <w:rPr>
                <w:color w:val="auto"/>
              </w:rPr>
              <w:t>5</w:t>
            </w:r>
            <w:r>
              <w:rPr>
                <w:rFonts w:hint="eastAsia"/>
                <w:color w:val="auto"/>
              </w:rPr>
              <w:t>～</w:t>
            </w:r>
            <w:r>
              <w:rPr>
                <w:color w:val="auto"/>
              </w:rPr>
              <w:t>10</w:t>
            </w:r>
            <w:r>
              <w:rPr>
                <w:rFonts w:hint="eastAsia"/>
                <w:color w:val="auto"/>
              </w:rPr>
              <w:t>分</w:t>
            </w:r>
          </w:p>
          <w:p w14:paraId="7277E0A1">
            <w:pPr>
              <w:pStyle w:val="44"/>
              <w:jc w:val="left"/>
              <w:rPr>
                <w:color w:val="auto"/>
              </w:rPr>
            </w:pPr>
            <w:r>
              <w:rPr>
                <w:color w:val="auto"/>
              </w:rPr>
              <w:t>5</w:t>
            </w:r>
            <w:r>
              <w:rPr>
                <w:rFonts w:hint="eastAsia"/>
                <w:color w:val="auto"/>
              </w:rPr>
              <w:t>）起重拔杆的缆风绳、地锚设置不符合设计要求，扣</w:t>
            </w:r>
            <w:r>
              <w:rPr>
                <w:color w:val="auto"/>
              </w:rPr>
              <w:t>8</w:t>
            </w:r>
            <w:r>
              <w:rPr>
                <w:rFonts w:hint="eastAsia"/>
                <w:color w:val="auto"/>
              </w:rPr>
              <w:t>分</w:t>
            </w:r>
          </w:p>
          <w:p w14:paraId="1CAF1AA3">
            <w:pPr>
              <w:pStyle w:val="44"/>
              <w:jc w:val="left"/>
              <w:rPr>
                <w:color w:val="auto"/>
              </w:rPr>
            </w:pPr>
            <w:r>
              <w:rPr>
                <w:color w:val="auto"/>
              </w:rPr>
              <w:t>6</w:t>
            </w:r>
            <w:r>
              <w:rPr>
                <w:rFonts w:hint="eastAsia"/>
                <w:color w:val="auto"/>
              </w:rPr>
              <w:t>）钢丝绳、索具端部固接方式不符合标准要求，扣</w:t>
            </w:r>
            <w:r>
              <w:rPr>
                <w:color w:val="auto"/>
              </w:rPr>
              <w:t>10</w:t>
            </w:r>
            <w:r>
              <w:rPr>
                <w:rFonts w:hint="eastAsia"/>
                <w:color w:val="auto"/>
              </w:rPr>
              <w:t>分</w:t>
            </w:r>
          </w:p>
          <w:p w14:paraId="578560F8">
            <w:pPr>
              <w:pStyle w:val="44"/>
              <w:jc w:val="left"/>
              <w:rPr>
                <w:color w:val="auto"/>
              </w:rPr>
            </w:pPr>
            <w:r>
              <w:rPr>
                <w:color w:val="auto"/>
              </w:rPr>
              <w:t>7</w:t>
            </w:r>
            <w:r>
              <w:rPr>
                <w:rFonts w:hint="eastAsia"/>
                <w:color w:val="auto"/>
              </w:rPr>
              <w:t>）索具安全系数不符合标准要求，扣</w:t>
            </w:r>
            <w:r>
              <w:rPr>
                <w:color w:val="auto"/>
              </w:rPr>
              <w:t>10</w:t>
            </w:r>
            <w:r>
              <w:rPr>
                <w:rFonts w:hint="eastAsia"/>
                <w:color w:val="auto"/>
              </w:rPr>
              <w:t>分</w:t>
            </w:r>
          </w:p>
          <w:p w14:paraId="665BC03D">
            <w:pPr>
              <w:pStyle w:val="44"/>
              <w:jc w:val="left"/>
              <w:rPr>
                <w:color w:val="auto"/>
              </w:rPr>
            </w:pPr>
            <w:r>
              <w:rPr>
                <w:color w:val="auto"/>
              </w:rPr>
              <w:t>8</w:t>
            </w:r>
            <w:r>
              <w:rPr>
                <w:rFonts w:hint="eastAsia"/>
                <w:color w:val="auto"/>
              </w:rPr>
              <w:t>）吊索规格不匹配或机械性能不符合设计要求，扣</w:t>
            </w:r>
            <w:r>
              <w:rPr>
                <w:color w:val="auto"/>
              </w:rPr>
              <w:t>5</w:t>
            </w:r>
            <w:r>
              <w:rPr>
                <w:rFonts w:hint="eastAsia"/>
                <w:color w:val="auto"/>
              </w:rPr>
              <w:t>～</w:t>
            </w:r>
            <w:r>
              <w:rPr>
                <w:color w:val="auto"/>
              </w:rPr>
              <w:t>10</w:t>
            </w:r>
            <w:r>
              <w:rPr>
                <w:rFonts w:hint="eastAsia"/>
                <w:color w:val="auto"/>
              </w:rPr>
              <w:t>分</w:t>
            </w:r>
          </w:p>
        </w:tc>
        <w:tc>
          <w:tcPr>
            <w:tcW w:w="720" w:type="dxa"/>
            <w:vAlign w:val="center"/>
          </w:tcPr>
          <w:p w14:paraId="6FB6512D">
            <w:pPr>
              <w:pStyle w:val="44"/>
              <w:rPr>
                <w:color w:val="auto"/>
              </w:rPr>
            </w:pPr>
            <w:r>
              <w:rPr>
                <w:color w:val="auto"/>
              </w:rPr>
              <w:t>10</w:t>
            </w:r>
          </w:p>
        </w:tc>
        <w:tc>
          <w:tcPr>
            <w:tcW w:w="720" w:type="dxa"/>
            <w:vAlign w:val="center"/>
          </w:tcPr>
          <w:p w14:paraId="3DA7F47F">
            <w:pPr>
              <w:pStyle w:val="44"/>
              <w:rPr>
                <w:color w:val="auto"/>
              </w:rPr>
            </w:pPr>
          </w:p>
        </w:tc>
        <w:tc>
          <w:tcPr>
            <w:tcW w:w="720" w:type="dxa"/>
            <w:vAlign w:val="center"/>
          </w:tcPr>
          <w:p w14:paraId="77ED7944">
            <w:pPr>
              <w:pStyle w:val="44"/>
              <w:rPr>
                <w:color w:val="auto"/>
              </w:rPr>
            </w:pPr>
          </w:p>
        </w:tc>
      </w:tr>
      <w:tr w14:paraId="5798B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35B94345">
            <w:pPr>
              <w:pStyle w:val="44"/>
              <w:rPr>
                <w:color w:val="auto"/>
              </w:rPr>
            </w:pPr>
            <w:r>
              <w:rPr>
                <w:color w:val="auto"/>
              </w:rPr>
              <w:t>4</w:t>
            </w:r>
          </w:p>
        </w:tc>
        <w:tc>
          <w:tcPr>
            <w:tcW w:w="543" w:type="dxa"/>
            <w:vMerge w:val="continue"/>
          </w:tcPr>
          <w:p w14:paraId="144CB889">
            <w:pPr>
              <w:pStyle w:val="44"/>
              <w:rPr>
                <w:color w:val="auto"/>
              </w:rPr>
            </w:pPr>
          </w:p>
        </w:tc>
        <w:tc>
          <w:tcPr>
            <w:tcW w:w="898" w:type="dxa"/>
            <w:vAlign w:val="center"/>
          </w:tcPr>
          <w:p w14:paraId="0F2D8661">
            <w:pPr>
              <w:pStyle w:val="44"/>
              <w:rPr>
                <w:color w:val="auto"/>
              </w:rPr>
            </w:pPr>
            <w:r>
              <w:rPr>
                <w:rFonts w:hint="eastAsia"/>
                <w:color w:val="auto"/>
              </w:rPr>
              <w:t>作业环境</w:t>
            </w:r>
          </w:p>
        </w:tc>
        <w:tc>
          <w:tcPr>
            <w:tcW w:w="5580" w:type="dxa"/>
            <w:vAlign w:val="center"/>
          </w:tcPr>
          <w:p w14:paraId="0040DE54">
            <w:pPr>
              <w:pStyle w:val="44"/>
              <w:jc w:val="left"/>
              <w:rPr>
                <w:color w:val="auto"/>
              </w:rPr>
            </w:pPr>
            <w:r>
              <w:rPr>
                <w:color w:val="auto"/>
              </w:rPr>
              <w:t>1</w:t>
            </w:r>
            <w:r>
              <w:rPr>
                <w:rFonts w:hint="eastAsia"/>
                <w:color w:val="auto"/>
              </w:rPr>
              <w:t>）起重机行走、作业处地面承载能力不符合产品说明书要求时未采取有效加固措施，扣</w:t>
            </w:r>
            <w:r>
              <w:rPr>
                <w:color w:val="auto"/>
              </w:rPr>
              <w:t>10</w:t>
            </w:r>
            <w:r>
              <w:rPr>
                <w:rFonts w:hint="eastAsia"/>
                <w:color w:val="auto"/>
              </w:rPr>
              <w:t>分</w:t>
            </w:r>
          </w:p>
          <w:p w14:paraId="67C3C102">
            <w:pPr>
              <w:pStyle w:val="44"/>
              <w:jc w:val="left"/>
              <w:rPr>
                <w:color w:val="auto"/>
              </w:rPr>
            </w:pPr>
            <w:r>
              <w:rPr>
                <w:color w:val="auto"/>
              </w:rPr>
              <w:t>2</w:t>
            </w:r>
            <w:r>
              <w:rPr>
                <w:rFonts w:hint="eastAsia"/>
                <w:color w:val="auto"/>
              </w:rPr>
              <w:t>）当起重机支撑在既有结构上时，未对既有结构的承载力进行确认或验算，扣</w:t>
            </w:r>
            <w:r>
              <w:rPr>
                <w:color w:val="auto"/>
              </w:rPr>
              <w:t>10</w:t>
            </w:r>
            <w:r>
              <w:rPr>
                <w:rFonts w:hint="eastAsia"/>
                <w:color w:val="auto"/>
              </w:rPr>
              <w:t>分</w:t>
            </w:r>
          </w:p>
          <w:p w14:paraId="2B1722E9">
            <w:pPr>
              <w:pStyle w:val="44"/>
              <w:jc w:val="left"/>
              <w:rPr>
                <w:color w:val="auto"/>
              </w:rPr>
            </w:pPr>
            <w:r>
              <w:rPr>
                <w:color w:val="auto"/>
              </w:rPr>
              <w:t>3</w:t>
            </w:r>
            <w:r>
              <w:rPr>
                <w:rFonts w:hint="eastAsia"/>
                <w:color w:val="auto"/>
              </w:rPr>
              <w:t>）地面铺垫措施达不到要求，或支腿伸展不到位，扣</w:t>
            </w:r>
            <w:r>
              <w:rPr>
                <w:color w:val="auto"/>
              </w:rPr>
              <w:t>5-10</w:t>
            </w:r>
            <w:r>
              <w:rPr>
                <w:rFonts w:hint="eastAsia"/>
                <w:color w:val="auto"/>
              </w:rPr>
              <w:t>分</w:t>
            </w:r>
          </w:p>
          <w:p w14:paraId="49F02AA0">
            <w:pPr>
              <w:pStyle w:val="44"/>
              <w:jc w:val="left"/>
              <w:rPr>
                <w:color w:val="auto"/>
              </w:rPr>
            </w:pPr>
            <w:r>
              <w:rPr>
                <w:color w:val="auto"/>
              </w:rPr>
              <w:t>4</w:t>
            </w:r>
            <w:r>
              <w:rPr>
                <w:rFonts w:hint="eastAsia"/>
                <w:color w:val="auto"/>
              </w:rPr>
              <w:t>）起重机与架空线路安全距离应符合标准要求，扣</w:t>
            </w:r>
            <w:r>
              <w:rPr>
                <w:color w:val="auto"/>
              </w:rPr>
              <w:t>10</w:t>
            </w:r>
            <w:r>
              <w:rPr>
                <w:rFonts w:hint="eastAsia"/>
                <w:color w:val="auto"/>
              </w:rPr>
              <w:t>分</w:t>
            </w:r>
          </w:p>
          <w:p w14:paraId="5F4BC6EF">
            <w:pPr>
              <w:pStyle w:val="44"/>
              <w:jc w:val="left"/>
              <w:rPr>
                <w:color w:val="auto"/>
              </w:rPr>
            </w:pPr>
            <w:r>
              <w:rPr>
                <w:color w:val="auto"/>
              </w:rPr>
              <w:t>5</w:t>
            </w:r>
            <w:r>
              <w:rPr>
                <w:rFonts w:hint="eastAsia"/>
                <w:color w:val="auto"/>
              </w:rPr>
              <w:t>）作业现场照明不足，扣</w:t>
            </w:r>
            <w:r>
              <w:rPr>
                <w:color w:val="auto"/>
              </w:rPr>
              <w:t>5</w:t>
            </w:r>
            <w:r>
              <w:rPr>
                <w:rFonts w:hint="eastAsia"/>
                <w:color w:val="auto"/>
              </w:rPr>
              <w:t>分</w:t>
            </w:r>
          </w:p>
        </w:tc>
        <w:tc>
          <w:tcPr>
            <w:tcW w:w="720" w:type="dxa"/>
            <w:vAlign w:val="center"/>
          </w:tcPr>
          <w:p w14:paraId="378E8FC3">
            <w:pPr>
              <w:pStyle w:val="44"/>
              <w:rPr>
                <w:color w:val="auto"/>
              </w:rPr>
            </w:pPr>
            <w:r>
              <w:rPr>
                <w:color w:val="auto"/>
              </w:rPr>
              <w:t>10</w:t>
            </w:r>
          </w:p>
        </w:tc>
        <w:tc>
          <w:tcPr>
            <w:tcW w:w="720" w:type="dxa"/>
            <w:vAlign w:val="center"/>
          </w:tcPr>
          <w:p w14:paraId="6C36C962">
            <w:pPr>
              <w:pStyle w:val="44"/>
              <w:rPr>
                <w:color w:val="auto"/>
              </w:rPr>
            </w:pPr>
          </w:p>
        </w:tc>
        <w:tc>
          <w:tcPr>
            <w:tcW w:w="720" w:type="dxa"/>
            <w:vAlign w:val="center"/>
          </w:tcPr>
          <w:p w14:paraId="133194DB">
            <w:pPr>
              <w:pStyle w:val="44"/>
              <w:rPr>
                <w:color w:val="auto"/>
              </w:rPr>
            </w:pPr>
          </w:p>
        </w:tc>
      </w:tr>
      <w:tr w14:paraId="54A10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trPr>
        <w:tc>
          <w:tcPr>
            <w:tcW w:w="539" w:type="dxa"/>
            <w:vAlign w:val="center"/>
          </w:tcPr>
          <w:p w14:paraId="38961A98">
            <w:pPr>
              <w:pStyle w:val="44"/>
              <w:rPr>
                <w:color w:val="auto"/>
              </w:rPr>
            </w:pPr>
            <w:r>
              <w:rPr>
                <w:color w:val="auto"/>
              </w:rPr>
              <w:t>5</w:t>
            </w:r>
          </w:p>
        </w:tc>
        <w:tc>
          <w:tcPr>
            <w:tcW w:w="543" w:type="dxa"/>
            <w:vMerge w:val="continue"/>
          </w:tcPr>
          <w:p w14:paraId="47E07E34">
            <w:pPr>
              <w:pStyle w:val="44"/>
              <w:rPr>
                <w:color w:val="auto"/>
              </w:rPr>
            </w:pPr>
          </w:p>
        </w:tc>
        <w:tc>
          <w:tcPr>
            <w:tcW w:w="898" w:type="dxa"/>
            <w:vAlign w:val="center"/>
          </w:tcPr>
          <w:p w14:paraId="6D502868">
            <w:pPr>
              <w:pStyle w:val="44"/>
              <w:rPr>
                <w:color w:val="auto"/>
              </w:rPr>
            </w:pPr>
            <w:r>
              <w:rPr>
                <w:rFonts w:hint="eastAsia"/>
                <w:color w:val="auto"/>
              </w:rPr>
              <w:t>资质与人员</w:t>
            </w:r>
          </w:p>
        </w:tc>
        <w:tc>
          <w:tcPr>
            <w:tcW w:w="5580" w:type="dxa"/>
            <w:vAlign w:val="center"/>
          </w:tcPr>
          <w:p w14:paraId="1DDC5CA1">
            <w:pPr>
              <w:pStyle w:val="44"/>
              <w:jc w:val="left"/>
              <w:rPr>
                <w:color w:val="auto"/>
              </w:rPr>
            </w:pPr>
            <w:r>
              <w:rPr>
                <w:color w:val="auto"/>
              </w:rPr>
              <w:t>1</w:t>
            </w:r>
            <w:r>
              <w:rPr>
                <w:rFonts w:hint="eastAsia"/>
                <w:color w:val="auto"/>
              </w:rPr>
              <w:t>）起重机械安装、拆卸单位未取得专业承包资质和安全生产许可证，扣</w:t>
            </w:r>
            <w:r>
              <w:rPr>
                <w:color w:val="auto"/>
              </w:rPr>
              <w:t>10</w:t>
            </w:r>
            <w:r>
              <w:rPr>
                <w:rFonts w:hint="eastAsia"/>
                <w:color w:val="auto"/>
              </w:rPr>
              <w:t>分</w:t>
            </w:r>
          </w:p>
          <w:p w14:paraId="2990F24C">
            <w:pPr>
              <w:pStyle w:val="44"/>
              <w:jc w:val="left"/>
              <w:rPr>
                <w:color w:val="auto"/>
              </w:rPr>
            </w:pPr>
            <w:r>
              <w:rPr>
                <w:color w:val="auto"/>
              </w:rPr>
              <w:t>2</w:t>
            </w:r>
            <w:r>
              <w:rPr>
                <w:rFonts w:hint="eastAsia"/>
                <w:color w:val="auto"/>
              </w:rPr>
              <w:t>）安装拆卸工、起重司机、信号工、司索工未取得特种作业资格证书，扣</w:t>
            </w:r>
            <w:r>
              <w:rPr>
                <w:color w:val="auto"/>
              </w:rPr>
              <w:t>10</w:t>
            </w:r>
            <w:r>
              <w:rPr>
                <w:rFonts w:hint="eastAsia"/>
                <w:color w:val="auto"/>
              </w:rPr>
              <w:t>分</w:t>
            </w:r>
          </w:p>
          <w:p w14:paraId="25B0BBAD">
            <w:pPr>
              <w:pStyle w:val="44"/>
              <w:keepNext/>
              <w:keepLines/>
              <w:spacing w:before="260" w:after="260"/>
              <w:jc w:val="left"/>
              <w:outlineLvl w:val="2"/>
              <w:rPr>
                <w:color w:val="auto"/>
              </w:rPr>
            </w:pPr>
            <w:r>
              <w:rPr>
                <w:color w:val="auto"/>
              </w:rPr>
              <w:t>3</w:t>
            </w:r>
            <w:r>
              <w:rPr>
                <w:rFonts w:hint="eastAsia"/>
                <w:color w:val="auto"/>
              </w:rPr>
              <w:t>）起重机司机操作证与操作机型不符，扣</w:t>
            </w:r>
            <w:r>
              <w:rPr>
                <w:color w:val="auto"/>
              </w:rPr>
              <w:t>10</w:t>
            </w:r>
            <w:r>
              <w:rPr>
                <w:rFonts w:hint="eastAsia"/>
                <w:color w:val="auto"/>
              </w:rPr>
              <w:t>分</w:t>
            </w:r>
          </w:p>
          <w:p w14:paraId="4D06CBEE">
            <w:pPr>
              <w:pStyle w:val="44"/>
              <w:keepNext/>
              <w:keepLines/>
              <w:spacing w:before="260" w:after="260"/>
              <w:jc w:val="left"/>
              <w:outlineLvl w:val="2"/>
              <w:rPr>
                <w:color w:val="auto"/>
              </w:rPr>
            </w:pPr>
            <w:r>
              <w:rPr>
                <w:color w:val="auto"/>
              </w:rPr>
              <w:t>4</w:t>
            </w:r>
            <w:r>
              <w:rPr>
                <w:rFonts w:hint="eastAsia"/>
                <w:color w:val="auto"/>
              </w:rPr>
              <w:t>）未设专职信号指挥和司索人员，扣</w:t>
            </w:r>
            <w:r>
              <w:rPr>
                <w:color w:val="auto"/>
              </w:rPr>
              <w:t>10</w:t>
            </w:r>
            <w:r>
              <w:rPr>
                <w:rFonts w:hint="eastAsia"/>
                <w:color w:val="auto"/>
              </w:rPr>
              <w:t>分</w:t>
            </w:r>
          </w:p>
          <w:p w14:paraId="6F908191">
            <w:pPr>
              <w:pStyle w:val="44"/>
              <w:keepNext/>
              <w:keepLines/>
              <w:spacing w:before="260" w:after="260"/>
              <w:jc w:val="left"/>
              <w:outlineLvl w:val="2"/>
              <w:rPr>
                <w:color w:val="auto"/>
              </w:rPr>
            </w:pPr>
            <w:r>
              <w:rPr>
                <w:color w:val="auto"/>
              </w:rPr>
              <w:t>5</w:t>
            </w:r>
            <w:r>
              <w:rPr>
                <w:rFonts w:hint="eastAsia"/>
                <w:color w:val="auto"/>
              </w:rPr>
              <w:t>）大型吊装作业时无专人监护，扣</w:t>
            </w:r>
            <w:r>
              <w:rPr>
                <w:color w:val="auto"/>
              </w:rPr>
              <w:t>5</w:t>
            </w:r>
            <w:r>
              <w:rPr>
                <w:rFonts w:hint="eastAsia"/>
                <w:color w:val="auto"/>
              </w:rPr>
              <w:t>分</w:t>
            </w:r>
          </w:p>
        </w:tc>
        <w:tc>
          <w:tcPr>
            <w:tcW w:w="720" w:type="dxa"/>
            <w:vAlign w:val="center"/>
          </w:tcPr>
          <w:p w14:paraId="044DC30D">
            <w:pPr>
              <w:pStyle w:val="44"/>
              <w:keepNext/>
              <w:keepLines/>
              <w:spacing w:before="260" w:after="260"/>
              <w:outlineLvl w:val="2"/>
              <w:rPr>
                <w:color w:val="auto"/>
              </w:rPr>
            </w:pPr>
            <w:r>
              <w:rPr>
                <w:color w:val="auto"/>
              </w:rPr>
              <w:t>10</w:t>
            </w:r>
          </w:p>
        </w:tc>
        <w:tc>
          <w:tcPr>
            <w:tcW w:w="720" w:type="dxa"/>
            <w:vAlign w:val="center"/>
          </w:tcPr>
          <w:p w14:paraId="4F8DE76C">
            <w:pPr>
              <w:pStyle w:val="44"/>
              <w:rPr>
                <w:color w:val="auto"/>
              </w:rPr>
            </w:pPr>
          </w:p>
        </w:tc>
        <w:tc>
          <w:tcPr>
            <w:tcW w:w="720" w:type="dxa"/>
            <w:vAlign w:val="center"/>
          </w:tcPr>
          <w:p w14:paraId="18C1B474">
            <w:pPr>
              <w:pStyle w:val="44"/>
              <w:rPr>
                <w:color w:val="auto"/>
              </w:rPr>
            </w:pPr>
          </w:p>
        </w:tc>
      </w:tr>
      <w:tr w14:paraId="509CB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3C2AA200">
            <w:pPr>
              <w:pStyle w:val="44"/>
              <w:rPr>
                <w:color w:val="auto"/>
              </w:rPr>
            </w:pPr>
            <w:r>
              <w:rPr>
                <w:color w:val="auto"/>
              </w:rPr>
              <w:t>6</w:t>
            </w:r>
          </w:p>
        </w:tc>
        <w:tc>
          <w:tcPr>
            <w:tcW w:w="543" w:type="dxa"/>
            <w:vMerge w:val="continue"/>
            <w:vAlign w:val="center"/>
          </w:tcPr>
          <w:p w14:paraId="531AD878">
            <w:pPr>
              <w:pStyle w:val="44"/>
              <w:rPr>
                <w:color w:val="auto"/>
              </w:rPr>
            </w:pPr>
          </w:p>
        </w:tc>
        <w:tc>
          <w:tcPr>
            <w:tcW w:w="898" w:type="dxa"/>
            <w:vAlign w:val="center"/>
          </w:tcPr>
          <w:p w14:paraId="5ACE9002">
            <w:pPr>
              <w:pStyle w:val="44"/>
              <w:rPr>
                <w:color w:val="auto"/>
              </w:rPr>
            </w:pPr>
            <w:r>
              <w:rPr>
                <w:rFonts w:hint="eastAsia"/>
                <w:color w:val="auto"/>
              </w:rPr>
              <w:t>起重吊装</w:t>
            </w:r>
          </w:p>
        </w:tc>
        <w:tc>
          <w:tcPr>
            <w:tcW w:w="5580" w:type="dxa"/>
            <w:vAlign w:val="center"/>
          </w:tcPr>
          <w:p w14:paraId="79B429F4">
            <w:pPr>
              <w:pStyle w:val="44"/>
              <w:jc w:val="left"/>
              <w:rPr>
                <w:color w:val="auto"/>
              </w:rPr>
            </w:pPr>
            <w:r>
              <w:rPr>
                <w:color w:val="auto"/>
              </w:rPr>
              <w:t>1</w:t>
            </w:r>
            <w:r>
              <w:rPr>
                <w:rFonts w:hint="eastAsia"/>
                <w:color w:val="auto"/>
              </w:rPr>
              <w:t>）吊索具系挂点位置或系挂方式不符合专项施工方案的要求，扣</w:t>
            </w:r>
            <w:r>
              <w:rPr>
                <w:color w:val="auto"/>
              </w:rPr>
              <w:t>10</w:t>
            </w:r>
            <w:r>
              <w:rPr>
                <w:rFonts w:hint="eastAsia"/>
                <w:color w:val="auto"/>
              </w:rPr>
              <w:t>分</w:t>
            </w:r>
          </w:p>
          <w:p w14:paraId="7FA2D0DB">
            <w:pPr>
              <w:pStyle w:val="44"/>
              <w:jc w:val="left"/>
              <w:rPr>
                <w:color w:val="auto"/>
              </w:rPr>
            </w:pPr>
            <w:r>
              <w:rPr>
                <w:color w:val="auto"/>
              </w:rPr>
              <w:t>2</w:t>
            </w:r>
            <w:r>
              <w:rPr>
                <w:rFonts w:hint="eastAsia"/>
                <w:color w:val="auto"/>
              </w:rPr>
              <w:t>）起重机超载作业，扣</w:t>
            </w:r>
            <w:r>
              <w:rPr>
                <w:color w:val="auto"/>
              </w:rPr>
              <w:t>10</w:t>
            </w:r>
            <w:r>
              <w:rPr>
                <w:rFonts w:hint="eastAsia"/>
                <w:color w:val="auto"/>
              </w:rPr>
              <w:t>分</w:t>
            </w:r>
          </w:p>
          <w:p w14:paraId="5E619AC5">
            <w:pPr>
              <w:pStyle w:val="44"/>
              <w:jc w:val="left"/>
              <w:rPr>
                <w:color w:val="auto"/>
              </w:rPr>
            </w:pPr>
            <w:r>
              <w:rPr>
                <w:color w:val="auto"/>
              </w:rPr>
              <w:t>3</w:t>
            </w:r>
            <w:r>
              <w:rPr>
                <w:rFonts w:hint="eastAsia"/>
                <w:color w:val="auto"/>
              </w:rPr>
              <w:t>）双机起吊作业时，单机荷载超过额定起重量的</w:t>
            </w:r>
            <w:r>
              <w:rPr>
                <w:color w:val="auto"/>
              </w:rPr>
              <w:t>80%</w:t>
            </w:r>
            <w:r>
              <w:rPr>
                <w:rFonts w:hint="eastAsia"/>
                <w:color w:val="auto"/>
              </w:rPr>
              <w:t>，扣</w:t>
            </w:r>
            <w:r>
              <w:rPr>
                <w:color w:val="auto"/>
              </w:rPr>
              <w:t>10</w:t>
            </w:r>
            <w:r>
              <w:rPr>
                <w:rFonts w:hint="eastAsia"/>
                <w:color w:val="auto"/>
              </w:rPr>
              <w:t>分</w:t>
            </w:r>
          </w:p>
          <w:p w14:paraId="140C6196">
            <w:pPr>
              <w:pStyle w:val="44"/>
              <w:jc w:val="left"/>
              <w:rPr>
                <w:color w:val="auto"/>
              </w:rPr>
            </w:pPr>
            <w:r>
              <w:rPr>
                <w:color w:val="auto"/>
              </w:rPr>
              <w:t>4</w:t>
            </w:r>
            <w:r>
              <w:rPr>
                <w:rFonts w:hint="eastAsia"/>
                <w:color w:val="auto"/>
              </w:rPr>
              <w:t>）起重机作业时起重臂下有人停留或吊运重物从人的正上方通过，扣</w:t>
            </w:r>
            <w:r>
              <w:rPr>
                <w:color w:val="auto"/>
              </w:rPr>
              <w:t>10</w:t>
            </w:r>
            <w:r>
              <w:rPr>
                <w:rFonts w:hint="eastAsia"/>
                <w:color w:val="auto"/>
              </w:rPr>
              <w:t>分</w:t>
            </w:r>
          </w:p>
          <w:p w14:paraId="4D56E919">
            <w:pPr>
              <w:pStyle w:val="44"/>
              <w:jc w:val="left"/>
              <w:rPr>
                <w:color w:val="auto"/>
              </w:rPr>
            </w:pPr>
            <w:r>
              <w:rPr>
                <w:color w:val="auto"/>
              </w:rPr>
              <w:t>5</w:t>
            </w:r>
            <w:r>
              <w:rPr>
                <w:rFonts w:hint="eastAsia"/>
                <w:color w:val="auto"/>
              </w:rPr>
              <w:t>）起重机采用吊具载运人员或被吊物体上有人、浮置物、悬挂物件，扣</w:t>
            </w:r>
            <w:r>
              <w:rPr>
                <w:color w:val="auto"/>
              </w:rPr>
              <w:t>10</w:t>
            </w:r>
            <w:r>
              <w:rPr>
                <w:rFonts w:hint="eastAsia"/>
                <w:color w:val="auto"/>
              </w:rPr>
              <w:t>分</w:t>
            </w:r>
          </w:p>
          <w:p w14:paraId="2D831A59">
            <w:pPr>
              <w:pStyle w:val="44"/>
              <w:jc w:val="left"/>
              <w:rPr>
                <w:color w:val="auto"/>
              </w:rPr>
            </w:pPr>
            <w:r>
              <w:rPr>
                <w:color w:val="auto"/>
              </w:rPr>
              <w:t>6</w:t>
            </w:r>
            <w:r>
              <w:rPr>
                <w:rFonts w:hint="eastAsia"/>
                <w:color w:val="auto"/>
              </w:rPr>
              <w:t>）吊运易洒落物件或吊运气瓶时未使用专用吊笼，扣</w:t>
            </w:r>
            <w:r>
              <w:rPr>
                <w:color w:val="auto"/>
              </w:rPr>
              <w:t>6</w:t>
            </w:r>
            <w:r>
              <w:rPr>
                <w:rFonts w:hint="eastAsia"/>
                <w:color w:val="auto"/>
              </w:rPr>
              <w:t>分</w:t>
            </w:r>
          </w:p>
          <w:p w14:paraId="2B7F4F24">
            <w:pPr>
              <w:pStyle w:val="44"/>
              <w:jc w:val="left"/>
              <w:rPr>
                <w:color w:val="auto"/>
              </w:rPr>
            </w:pPr>
            <w:r>
              <w:rPr>
                <w:color w:val="auto"/>
              </w:rPr>
              <w:t>7</w:t>
            </w:r>
            <w:r>
              <w:rPr>
                <w:rFonts w:hint="eastAsia"/>
                <w:color w:val="auto"/>
              </w:rPr>
              <w:t>）吊装重量不明、埋于地下或黏结在地面的物件，扣</w:t>
            </w:r>
            <w:r>
              <w:rPr>
                <w:color w:val="auto"/>
              </w:rPr>
              <w:t>10</w:t>
            </w:r>
            <w:r>
              <w:rPr>
                <w:rFonts w:hint="eastAsia"/>
                <w:color w:val="auto"/>
              </w:rPr>
              <w:t>分；</w:t>
            </w:r>
          </w:p>
          <w:p w14:paraId="13A835CE">
            <w:pPr>
              <w:pStyle w:val="44"/>
              <w:jc w:val="left"/>
              <w:rPr>
                <w:color w:val="auto"/>
              </w:rPr>
            </w:pPr>
            <w:r>
              <w:rPr>
                <w:color w:val="auto"/>
              </w:rPr>
              <w:t>8</w:t>
            </w:r>
            <w:r>
              <w:rPr>
                <w:rFonts w:hint="eastAsia"/>
                <w:color w:val="auto"/>
              </w:rPr>
              <w:t>）进行斜拉、斜吊，扣</w:t>
            </w:r>
            <w:r>
              <w:rPr>
                <w:color w:val="auto"/>
              </w:rPr>
              <w:t>10</w:t>
            </w:r>
            <w:r>
              <w:rPr>
                <w:rFonts w:hint="eastAsia"/>
                <w:color w:val="auto"/>
              </w:rPr>
              <w:t>分</w:t>
            </w:r>
          </w:p>
        </w:tc>
        <w:tc>
          <w:tcPr>
            <w:tcW w:w="720" w:type="dxa"/>
            <w:vAlign w:val="center"/>
          </w:tcPr>
          <w:p w14:paraId="30A68E4B">
            <w:pPr>
              <w:pStyle w:val="44"/>
              <w:rPr>
                <w:color w:val="auto"/>
              </w:rPr>
            </w:pPr>
            <w:r>
              <w:rPr>
                <w:color w:val="auto"/>
              </w:rPr>
              <w:t>10</w:t>
            </w:r>
          </w:p>
        </w:tc>
        <w:tc>
          <w:tcPr>
            <w:tcW w:w="720" w:type="dxa"/>
            <w:vAlign w:val="center"/>
          </w:tcPr>
          <w:p w14:paraId="7D45CC9A">
            <w:pPr>
              <w:pStyle w:val="44"/>
              <w:rPr>
                <w:color w:val="auto"/>
              </w:rPr>
            </w:pPr>
          </w:p>
        </w:tc>
        <w:tc>
          <w:tcPr>
            <w:tcW w:w="720" w:type="dxa"/>
            <w:vAlign w:val="center"/>
          </w:tcPr>
          <w:p w14:paraId="467195EF">
            <w:pPr>
              <w:pStyle w:val="44"/>
              <w:rPr>
                <w:color w:val="auto"/>
              </w:rPr>
            </w:pPr>
          </w:p>
        </w:tc>
      </w:tr>
      <w:tr w14:paraId="34B89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52999AF9">
            <w:pPr>
              <w:pStyle w:val="44"/>
              <w:rPr>
                <w:color w:val="auto"/>
              </w:rPr>
            </w:pPr>
            <w:r>
              <w:rPr>
                <w:color w:val="auto"/>
              </w:rPr>
              <w:t>7</w:t>
            </w:r>
          </w:p>
        </w:tc>
        <w:tc>
          <w:tcPr>
            <w:tcW w:w="543" w:type="dxa"/>
            <w:vMerge w:val="continue"/>
            <w:vAlign w:val="center"/>
          </w:tcPr>
          <w:p w14:paraId="267A2250">
            <w:pPr>
              <w:pStyle w:val="44"/>
              <w:rPr>
                <w:color w:val="auto"/>
              </w:rPr>
            </w:pPr>
          </w:p>
        </w:tc>
        <w:tc>
          <w:tcPr>
            <w:tcW w:w="898" w:type="dxa"/>
            <w:vAlign w:val="center"/>
          </w:tcPr>
          <w:p w14:paraId="181E4C25">
            <w:pPr>
              <w:pStyle w:val="44"/>
              <w:rPr>
                <w:color w:val="auto"/>
              </w:rPr>
            </w:pPr>
            <w:r>
              <w:rPr>
                <w:rFonts w:hint="eastAsia"/>
                <w:color w:val="auto"/>
              </w:rPr>
              <w:t>操作控制</w:t>
            </w:r>
          </w:p>
        </w:tc>
        <w:tc>
          <w:tcPr>
            <w:tcW w:w="5580" w:type="dxa"/>
            <w:vAlign w:val="center"/>
          </w:tcPr>
          <w:p w14:paraId="702696DF">
            <w:pPr>
              <w:pStyle w:val="44"/>
              <w:jc w:val="left"/>
              <w:rPr>
                <w:color w:val="auto"/>
              </w:rPr>
            </w:pPr>
            <w:r>
              <w:rPr>
                <w:color w:val="auto"/>
              </w:rPr>
              <w:t>1</w:t>
            </w:r>
            <w:r>
              <w:rPr>
                <w:rFonts w:hint="eastAsia"/>
                <w:color w:val="auto"/>
              </w:rPr>
              <w:t>）吊运重物起升或下降速度不平稳、不均匀，或进行突然制动，扣</w:t>
            </w:r>
            <w:r>
              <w:rPr>
                <w:color w:val="auto"/>
              </w:rPr>
              <w:t>10</w:t>
            </w:r>
            <w:r>
              <w:rPr>
                <w:rFonts w:hint="eastAsia"/>
                <w:color w:val="auto"/>
              </w:rPr>
              <w:t>分</w:t>
            </w:r>
          </w:p>
          <w:p w14:paraId="03ACAEA7">
            <w:pPr>
              <w:pStyle w:val="44"/>
              <w:jc w:val="left"/>
              <w:rPr>
                <w:color w:val="auto"/>
              </w:rPr>
            </w:pPr>
            <w:r>
              <w:rPr>
                <w:color w:val="auto"/>
              </w:rPr>
              <w:t>2</w:t>
            </w:r>
            <w:r>
              <w:rPr>
                <w:rFonts w:hint="eastAsia"/>
                <w:color w:val="auto"/>
              </w:rPr>
              <w:t>）起重机主、副钩同时作业，扣</w:t>
            </w:r>
            <w:r>
              <w:rPr>
                <w:color w:val="auto"/>
              </w:rPr>
              <w:t>10</w:t>
            </w:r>
            <w:r>
              <w:rPr>
                <w:rFonts w:hint="eastAsia"/>
                <w:color w:val="auto"/>
              </w:rPr>
              <w:t>分</w:t>
            </w:r>
          </w:p>
          <w:p w14:paraId="2E130690">
            <w:pPr>
              <w:pStyle w:val="44"/>
              <w:jc w:val="left"/>
              <w:rPr>
                <w:color w:val="auto"/>
              </w:rPr>
            </w:pPr>
            <w:r>
              <w:rPr>
                <w:color w:val="auto"/>
              </w:rPr>
              <w:t>3</w:t>
            </w:r>
            <w:r>
              <w:rPr>
                <w:rFonts w:hint="eastAsia"/>
                <w:color w:val="auto"/>
              </w:rPr>
              <w:t>）作业人员直接推、拉被吊运物，扣</w:t>
            </w:r>
            <w:r>
              <w:rPr>
                <w:color w:val="auto"/>
              </w:rPr>
              <w:t>5</w:t>
            </w:r>
            <w:r>
              <w:rPr>
                <w:rFonts w:hint="eastAsia"/>
                <w:color w:val="auto"/>
              </w:rPr>
              <w:t>分</w:t>
            </w:r>
          </w:p>
          <w:p w14:paraId="5F72583F">
            <w:pPr>
              <w:pStyle w:val="44"/>
              <w:jc w:val="left"/>
              <w:rPr>
                <w:color w:val="auto"/>
              </w:rPr>
            </w:pPr>
            <w:r>
              <w:rPr>
                <w:color w:val="auto"/>
              </w:rPr>
              <w:t>4</w:t>
            </w:r>
            <w:r>
              <w:rPr>
                <w:rFonts w:hint="eastAsia"/>
                <w:color w:val="auto"/>
              </w:rPr>
              <w:t>）双机同步提升时，未采取同步措施，扣</w:t>
            </w:r>
            <w:r>
              <w:rPr>
                <w:color w:val="auto"/>
              </w:rPr>
              <w:t>5-8</w:t>
            </w:r>
            <w:r>
              <w:rPr>
                <w:rFonts w:hint="eastAsia"/>
                <w:color w:val="auto"/>
              </w:rPr>
              <w:t>分</w:t>
            </w:r>
          </w:p>
          <w:p w14:paraId="73ED7BD6">
            <w:pPr>
              <w:pStyle w:val="44"/>
              <w:jc w:val="left"/>
              <w:rPr>
                <w:color w:val="auto"/>
              </w:rPr>
            </w:pPr>
            <w:r>
              <w:rPr>
                <w:color w:val="auto"/>
              </w:rPr>
              <w:t>5</w:t>
            </w:r>
            <w:r>
              <w:rPr>
                <w:rFonts w:hint="eastAsia"/>
                <w:color w:val="auto"/>
              </w:rPr>
              <w:t>）起重机在松软不平的地面起吊时同时进行两个动作，扣</w:t>
            </w:r>
            <w:r>
              <w:rPr>
                <w:color w:val="auto"/>
              </w:rPr>
              <w:t>10</w:t>
            </w:r>
            <w:r>
              <w:rPr>
                <w:rFonts w:hint="eastAsia"/>
                <w:color w:val="auto"/>
              </w:rPr>
              <w:t>分</w:t>
            </w:r>
          </w:p>
          <w:p w14:paraId="1C777D56">
            <w:pPr>
              <w:pStyle w:val="44"/>
              <w:jc w:val="left"/>
              <w:rPr>
                <w:color w:val="auto"/>
              </w:rPr>
            </w:pPr>
            <w:r>
              <w:rPr>
                <w:color w:val="auto"/>
              </w:rPr>
              <w:t>6</w:t>
            </w:r>
            <w:r>
              <w:rPr>
                <w:rFonts w:hint="eastAsia"/>
                <w:color w:val="auto"/>
              </w:rPr>
              <w:t>）在满负荷或接近满负荷时降落臂杆或同时进行两个动作，扣</w:t>
            </w:r>
            <w:r>
              <w:rPr>
                <w:color w:val="auto"/>
              </w:rPr>
              <w:t>10</w:t>
            </w:r>
            <w:r>
              <w:rPr>
                <w:rFonts w:hint="eastAsia"/>
                <w:color w:val="auto"/>
              </w:rPr>
              <w:t>分</w:t>
            </w:r>
          </w:p>
          <w:p w14:paraId="79CC945B">
            <w:pPr>
              <w:pStyle w:val="44"/>
              <w:jc w:val="left"/>
              <w:rPr>
                <w:color w:val="auto"/>
              </w:rPr>
            </w:pPr>
            <w:r>
              <w:rPr>
                <w:color w:val="auto"/>
              </w:rPr>
              <w:t>7</w:t>
            </w:r>
            <w:r>
              <w:rPr>
                <w:rFonts w:hint="eastAsia"/>
                <w:color w:val="auto"/>
              </w:rPr>
              <w:t>）起重机回转未停稳时进行反向动作，扣</w:t>
            </w:r>
            <w:r>
              <w:rPr>
                <w:color w:val="auto"/>
              </w:rPr>
              <w:t>10</w:t>
            </w:r>
            <w:r>
              <w:rPr>
                <w:rFonts w:hint="eastAsia"/>
                <w:color w:val="auto"/>
              </w:rPr>
              <w:t>分</w:t>
            </w:r>
          </w:p>
        </w:tc>
        <w:tc>
          <w:tcPr>
            <w:tcW w:w="720" w:type="dxa"/>
            <w:vAlign w:val="center"/>
          </w:tcPr>
          <w:p w14:paraId="36EF1CF4">
            <w:pPr>
              <w:pStyle w:val="44"/>
              <w:rPr>
                <w:color w:val="auto"/>
              </w:rPr>
            </w:pPr>
            <w:r>
              <w:rPr>
                <w:color w:val="auto"/>
              </w:rPr>
              <w:t>10</w:t>
            </w:r>
          </w:p>
        </w:tc>
        <w:tc>
          <w:tcPr>
            <w:tcW w:w="720" w:type="dxa"/>
            <w:vAlign w:val="center"/>
          </w:tcPr>
          <w:p w14:paraId="24039B00">
            <w:pPr>
              <w:pStyle w:val="44"/>
              <w:rPr>
                <w:color w:val="auto"/>
              </w:rPr>
            </w:pPr>
          </w:p>
        </w:tc>
        <w:tc>
          <w:tcPr>
            <w:tcW w:w="720" w:type="dxa"/>
            <w:vAlign w:val="center"/>
          </w:tcPr>
          <w:p w14:paraId="6CF46D9D">
            <w:pPr>
              <w:pStyle w:val="44"/>
              <w:rPr>
                <w:color w:val="auto"/>
              </w:rPr>
            </w:pPr>
          </w:p>
        </w:tc>
      </w:tr>
      <w:tr w14:paraId="69A5F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4F730291">
            <w:pPr>
              <w:pStyle w:val="44"/>
              <w:rPr>
                <w:color w:val="auto"/>
              </w:rPr>
            </w:pPr>
          </w:p>
        </w:tc>
        <w:tc>
          <w:tcPr>
            <w:tcW w:w="543" w:type="dxa"/>
            <w:vMerge w:val="continue"/>
            <w:vAlign w:val="center"/>
          </w:tcPr>
          <w:p w14:paraId="7C5D3F98">
            <w:pPr>
              <w:pStyle w:val="44"/>
              <w:rPr>
                <w:color w:val="auto"/>
              </w:rPr>
            </w:pPr>
          </w:p>
        </w:tc>
        <w:tc>
          <w:tcPr>
            <w:tcW w:w="6478" w:type="dxa"/>
            <w:gridSpan w:val="2"/>
            <w:vAlign w:val="center"/>
          </w:tcPr>
          <w:p w14:paraId="0E28219A">
            <w:pPr>
              <w:pStyle w:val="44"/>
              <w:rPr>
                <w:b/>
                <w:bCs w:val="0"/>
                <w:color w:val="auto"/>
              </w:rPr>
            </w:pPr>
            <w:r>
              <w:rPr>
                <w:rFonts w:hint="eastAsia"/>
                <w:b/>
                <w:bCs w:val="0"/>
                <w:color w:val="auto"/>
              </w:rPr>
              <w:t xml:space="preserve">小 </w:t>
            </w:r>
            <w:r>
              <w:rPr>
                <w:b/>
                <w:bCs w:val="0"/>
                <w:color w:val="auto"/>
              </w:rPr>
              <w:t xml:space="preserve"> </w:t>
            </w:r>
            <w:r>
              <w:rPr>
                <w:rFonts w:hint="eastAsia"/>
                <w:b/>
                <w:bCs w:val="0"/>
                <w:color w:val="auto"/>
              </w:rPr>
              <w:t>计</w:t>
            </w:r>
          </w:p>
        </w:tc>
        <w:tc>
          <w:tcPr>
            <w:tcW w:w="720" w:type="dxa"/>
            <w:vAlign w:val="center"/>
          </w:tcPr>
          <w:p w14:paraId="2875858A">
            <w:pPr>
              <w:pStyle w:val="44"/>
              <w:rPr>
                <w:color w:val="auto"/>
              </w:rPr>
            </w:pPr>
            <w:r>
              <w:rPr>
                <w:color w:val="auto"/>
              </w:rPr>
              <w:t>70</w:t>
            </w:r>
          </w:p>
        </w:tc>
        <w:tc>
          <w:tcPr>
            <w:tcW w:w="720" w:type="dxa"/>
            <w:vAlign w:val="center"/>
          </w:tcPr>
          <w:p w14:paraId="5EAFEB38">
            <w:pPr>
              <w:pStyle w:val="44"/>
              <w:rPr>
                <w:color w:val="auto"/>
              </w:rPr>
            </w:pPr>
          </w:p>
        </w:tc>
        <w:tc>
          <w:tcPr>
            <w:tcW w:w="720" w:type="dxa"/>
            <w:vAlign w:val="center"/>
          </w:tcPr>
          <w:p w14:paraId="0DA2FE1E">
            <w:pPr>
              <w:pStyle w:val="44"/>
              <w:rPr>
                <w:color w:val="auto"/>
              </w:rPr>
            </w:pPr>
          </w:p>
        </w:tc>
      </w:tr>
      <w:tr w14:paraId="552A0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trPr>
        <w:tc>
          <w:tcPr>
            <w:tcW w:w="539" w:type="dxa"/>
            <w:vAlign w:val="center"/>
          </w:tcPr>
          <w:p w14:paraId="6532DD51">
            <w:pPr>
              <w:pStyle w:val="44"/>
              <w:rPr>
                <w:color w:val="auto"/>
              </w:rPr>
            </w:pPr>
            <w:r>
              <w:rPr>
                <w:color w:val="auto"/>
              </w:rPr>
              <w:t>1</w:t>
            </w:r>
          </w:p>
        </w:tc>
        <w:tc>
          <w:tcPr>
            <w:tcW w:w="543" w:type="dxa"/>
            <w:vMerge w:val="restart"/>
            <w:vAlign w:val="center"/>
          </w:tcPr>
          <w:p w14:paraId="25481EE1">
            <w:pPr>
              <w:pStyle w:val="44"/>
              <w:rPr>
                <w:color w:val="auto"/>
              </w:rPr>
            </w:pPr>
            <w:r>
              <w:rPr>
                <w:rFonts w:hint="eastAsia"/>
                <w:color w:val="auto"/>
              </w:rPr>
              <w:t>一</w:t>
            </w:r>
          </w:p>
          <w:p w14:paraId="65AD5015">
            <w:pPr>
              <w:pStyle w:val="44"/>
              <w:rPr>
                <w:color w:val="auto"/>
              </w:rPr>
            </w:pPr>
            <w:r>
              <w:rPr>
                <w:rFonts w:hint="eastAsia"/>
                <w:color w:val="auto"/>
              </w:rPr>
              <w:t>般</w:t>
            </w:r>
          </w:p>
          <w:p w14:paraId="505FAE19">
            <w:pPr>
              <w:pStyle w:val="44"/>
              <w:rPr>
                <w:color w:val="auto"/>
              </w:rPr>
            </w:pPr>
            <w:r>
              <w:rPr>
                <w:rFonts w:hint="eastAsia"/>
                <w:color w:val="auto"/>
              </w:rPr>
              <w:t>项</w:t>
            </w:r>
          </w:p>
          <w:p w14:paraId="6207FE14">
            <w:pPr>
              <w:pStyle w:val="44"/>
              <w:rPr>
                <w:color w:val="auto"/>
              </w:rPr>
            </w:pPr>
            <w:r>
              <w:rPr>
                <w:rFonts w:hint="eastAsia"/>
                <w:color w:val="auto"/>
              </w:rPr>
              <w:t>目</w:t>
            </w:r>
          </w:p>
        </w:tc>
        <w:tc>
          <w:tcPr>
            <w:tcW w:w="898" w:type="dxa"/>
            <w:vAlign w:val="center"/>
          </w:tcPr>
          <w:p w14:paraId="54A918D3">
            <w:pPr>
              <w:pStyle w:val="44"/>
              <w:rPr>
                <w:color w:val="auto"/>
              </w:rPr>
            </w:pPr>
            <w:r>
              <w:rPr>
                <w:rFonts w:hint="eastAsia"/>
                <w:color w:val="auto"/>
              </w:rPr>
              <w:t>悬空作业</w:t>
            </w:r>
          </w:p>
        </w:tc>
        <w:tc>
          <w:tcPr>
            <w:tcW w:w="5580" w:type="dxa"/>
            <w:vAlign w:val="center"/>
          </w:tcPr>
          <w:p w14:paraId="73B17C51">
            <w:pPr>
              <w:pStyle w:val="44"/>
              <w:jc w:val="left"/>
              <w:rPr>
                <w:color w:val="auto"/>
              </w:rPr>
            </w:pPr>
            <w:r>
              <w:rPr>
                <w:color w:val="auto"/>
              </w:rPr>
              <w:t>1</w:t>
            </w:r>
            <w:r>
              <w:rPr>
                <w:rFonts w:hint="eastAsia"/>
                <w:color w:val="auto"/>
              </w:rPr>
              <w:t>）未按规定设置高处作业操作平台，扣</w:t>
            </w:r>
            <w:r>
              <w:rPr>
                <w:color w:val="auto"/>
              </w:rPr>
              <w:t>10</w:t>
            </w:r>
            <w:r>
              <w:rPr>
                <w:rFonts w:hint="eastAsia"/>
                <w:color w:val="auto"/>
              </w:rPr>
              <w:t>分；平台承载力不足或固定不牢固，扣</w:t>
            </w:r>
            <w:r>
              <w:rPr>
                <w:color w:val="auto"/>
              </w:rPr>
              <w:t>2-10</w:t>
            </w:r>
            <w:r>
              <w:rPr>
                <w:rFonts w:hint="eastAsia"/>
                <w:color w:val="auto"/>
              </w:rPr>
              <w:t>分</w:t>
            </w:r>
          </w:p>
          <w:p w14:paraId="1D241C78">
            <w:pPr>
              <w:pStyle w:val="44"/>
              <w:jc w:val="left"/>
              <w:rPr>
                <w:color w:val="auto"/>
              </w:rPr>
            </w:pPr>
            <w:r>
              <w:rPr>
                <w:color w:val="auto"/>
              </w:rPr>
              <w:t>2</w:t>
            </w:r>
            <w:r>
              <w:rPr>
                <w:rFonts w:hint="eastAsia"/>
                <w:color w:val="auto"/>
              </w:rPr>
              <w:t>）操作平台外围未按临边作业要求设置防护栏杆，扣</w:t>
            </w:r>
            <w:r>
              <w:rPr>
                <w:color w:val="auto"/>
              </w:rPr>
              <w:t>10</w:t>
            </w:r>
            <w:r>
              <w:rPr>
                <w:rFonts w:hint="eastAsia"/>
                <w:color w:val="auto"/>
              </w:rPr>
              <w:t>分</w:t>
            </w:r>
          </w:p>
          <w:p w14:paraId="626C05B5">
            <w:pPr>
              <w:pStyle w:val="44"/>
              <w:jc w:val="left"/>
              <w:rPr>
                <w:color w:val="auto"/>
              </w:rPr>
            </w:pPr>
            <w:r>
              <w:rPr>
                <w:color w:val="auto"/>
              </w:rPr>
              <w:t>3</w:t>
            </w:r>
            <w:r>
              <w:rPr>
                <w:rFonts w:hint="eastAsia"/>
                <w:color w:val="auto"/>
              </w:rPr>
              <w:t>）操作平台面未牢固满铺脚手板，扣</w:t>
            </w:r>
            <w:r>
              <w:rPr>
                <w:color w:val="auto"/>
              </w:rPr>
              <w:t>5</w:t>
            </w:r>
            <w:r>
              <w:rPr>
                <w:rFonts w:hint="eastAsia"/>
                <w:color w:val="auto"/>
              </w:rPr>
              <w:t>分</w:t>
            </w:r>
          </w:p>
          <w:p w14:paraId="2085088A">
            <w:pPr>
              <w:pStyle w:val="44"/>
              <w:jc w:val="left"/>
              <w:rPr>
                <w:color w:val="auto"/>
              </w:rPr>
            </w:pPr>
            <w:r>
              <w:rPr>
                <w:color w:val="auto"/>
              </w:rPr>
              <w:t>4</w:t>
            </w:r>
            <w:r>
              <w:rPr>
                <w:rFonts w:hint="eastAsia"/>
                <w:color w:val="auto"/>
              </w:rPr>
              <w:t>）未设置爬梯或爬梯的承载力、构造不符合标准要求，扣</w:t>
            </w:r>
            <w:r>
              <w:rPr>
                <w:color w:val="auto"/>
              </w:rPr>
              <w:t>5</w:t>
            </w:r>
            <w:r>
              <w:rPr>
                <w:rFonts w:hint="eastAsia"/>
                <w:color w:val="auto"/>
              </w:rPr>
              <w:t>～</w:t>
            </w:r>
            <w:r>
              <w:rPr>
                <w:color w:val="auto"/>
              </w:rPr>
              <w:t>8</w:t>
            </w:r>
            <w:r>
              <w:rPr>
                <w:rFonts w:hint="eastAsia"/>
                <w:color w:val="auto"/>
              </w:rPr>
              <w:t>分</w:t>
            </w:r>
          </w:p>
          <w:p w14:paraId="19446E38">
            <w:pPr>
              <w:pStyle w:val="44"/>
              <w:jc w:val="left"/>
              <w:rPr>
                <w:color w:val="auto"/>
              </w:rPr>
            </w:pPr>
            <w:r>
              <w:rPr>
                <w:color w:val="auto"/>
              </w:rPr>
              <w:t>5</w:t>
            </w:r>
            <w:r>
              <w:rPr>
                <w:rFonts w:hint="eastAsia"/>
                <w:color w:val="auto"/>
              </w:rPr>
              <w:t>）高处作业人员未按规定系挂安全带，或悬挂点不牢固，扣</w:t>
            </w:r>
            <w:r>
              <w:rPr>
                <w:color w:val="auto"/>
              </w:rPr>
              <w:t>8</w:t>
            </w:r>
            <w:r>
              <w:rPr>
                <w:rFonts w:hint="eastAsia"/>
                <w:color w:val="auto"/>
              </w:rPr>
              <w:t>分</w:t>
            </w:r>
          </w:p>
        </w:tc>
        <w:tc>
          <w:tcPr>
            <w:tcW w:w="720" w:type="dxa"/>
            <w:vAlign w:val="center"/>
          </w:tcPr>
          <w:p w14:paraId="3AEEA592">
            <w:pPr>
              <w:pStyle w:val="44"/>
              <w:rPr>
                <w:color w:val="auto"/>
              </w:rPr>
            </w:pPr>
            <w:r>
              <w:rPr>
                <w:color w:val="auto"/>
              </w:rPr>
              <w:t>10</w:t>
            </w:r>
          </w:p>
        </w:tc>
        <w:tc>
          <w:tcPr>
            <w:tcW w:w="720" w:type="dxa"/>
            <w:vAlign w:val="center"/>
          </w:tcPr>
          <w:p w14:paraId="47D7BC2B">
            <w:pPr>
              <w:pStyle w:val="44"/>
              <w:rPr>
                <w:color w:val="auto"/>
              </w:rPr>
            </w:pPr>
          </w:p>
        </w:tc>
        <w:tc>
          <w:tcPr>
            <w:tcW w:w="720" w:type="dxa"/>
            <w:vAlign w:val="center"/>
          </w:tcPr>
          <w:p w14:paraId="4D0D4FE4">
            <w:pPr>
              <w:pStyle w:val="44"/>
              <w:rPr>
                <w:color w:val="auto"/>
              </w:rPr>
            </w:pPr>
          </w:p>
        </w:tc>
      </w:tr>
      <w:tr w14:paraId="4853F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75AFBFE9">
            <w:pPr>
              <w:pStyle w:val="44"/>
              <w:rPr>
                <w:color w:val="auto"/>
              </w:rPr>
            </w:pPr>
            <w:r>
              <w:rPr>
                <w:color w:val="auto"/>
              </w:rPr>
              <w:t>2</w:t>
            </w:r>
          </w:p>
        </w:tc>
        <w:tc>
          <w:tcPr>
            <w:tcW w:w="543" w:type="dxa"/>
            <w:vMerge w:val="continue"/>
          </w:tcPr>
          <w:p w14:paraId="6FBB48AE">
            <w:pPr>
              <w:pStyle w:val="44"/>
              <w:rPr>
                <w:color w:val="auto"/>
              </w:rPr>
            </w:pPr>
          </w:p>
        </w:tc>
        <w:tc>
          <w:tcPr>
            <w:tcW w:w="898" w:type="dxa"/>
            <w:vAlign w:val="center"/>
          </w:tcPr>
          <w:p w14:paraId="79B5FD52">
            <w:pPr>
              <w:pStyle w:val="44"/>
              <w:rPr>
                <w:color w:val="auto"/>
              </w:rPr>
            </w:pPr>
            <w:r>
              <w:rPr>
                <w:rFonts w:hint="eastAsia"/>
                <w:color w:val="auto"/>
              </w:rPr>
              <w:t>构件码放</w:t>
            </w:r>
          </w:p>
        </w:tc>
        <w:tc>
          <w:tcPr>
            <w:tcW w:w="5580" w:type="dxa"/>
          </w:tcPr>
          <w:p w14:paraId="548CEDBD">
            <w:pPr>
              <w:pStyle w:val="44"/>
              <w:jc w:val="left"/>
              <w:rPr>
                <w:color w:val="auto"/>
              </w:rPr>
            </w:pPr>
            <w:r>
              <w:rPr>
                <w:color w:val="auto"/>
              </w:rPr>
              <w:t>1</w:t>
            </w:r>
            <w:r>
              <w:rPr>
                <w:rFonts w:hint="eastAsia"/>
                <w:color w:val="auto"/>
              </w:rPr>
              <w:t>）构件码放荷载超过作业面承载能力，扣</w:t>
            </w:r>
            <w:r>
              <w:rPr>
                <w:color w:val="auto"/>
              </w:rPr>
              <w:t>10</w:t>
            </w:r>
            <w:r>
              <w:rPr>
                <w:rFonts w:hint="eastAsia"/>
                <w:color w:val="auto"/>
              </w:rPr>
              <w:t>分</w:t>
            </w:r>
          </w:p>
          <w:p w14:paraId="5B4783FD">
            <w:pPr>
              <w:pStyle w:val="44"/>
              <w:jc w:val="left"/>
              <w:rPr>
                <w:color w:val="auto"/>
              </w:rPr>
            </w:pPr>
            <w:r>
              <w:rPr>
                <w:color w:val="auto"/>
              </w:rPr>
              <w:t>2</w:t>
            </w:r>
            <w:r>
              <w:rPr>
                <w:rFonts w:hint="eastAsia"/>
                <w:color w:val="auto"/>
              </w:rPr>
              <w:t>）构件码放高度超过规定要求，扣</w:t>
            </w:r>
            <w:r>
              <w:rPr>
                <w:color w:val="auto"/>
              </w:rPr>
              <w:t>4</w:t>
            </w:r>
            <w:r>
              <w:rPr>
                <w:rFonts w:hint="eastAsia"/>
                <w:color w:val="auto"/>
              </w:rPr>
              <w:t>分</w:t>
            </w:r>
          </w:p>
          <w:p w14:paraId="47D4EC86">
            <w:pPr>
              <w:pStyle w:val="44"/>
              <w:jc w:val="left"/>
              <w:rPr>
                <w:color w:val="auto"/>
              </w:rPr>
            </w:pPr>
            <w:r>
              <w:rPr>
                <w:color w:val="auto"/>
              </w:rPr>
              <w:t>3</w:t>
            </w:r>
            <w:r>
              <w:rPr>
                <w:rFonts w:hint="eastAsia"/>
                <w:color w:val="auto"/>
              </w:rPr>
              <w:t>）大型构件码放无稳定措施，扣</w:t>
            </w:r>
            <w:r>
              <w:rPr>
                <w:color w:val="auto"/>
              </w:rPr>
              <w:t>8</w:t>
            </w:r>
            <w:r>
              <w:rPr>
                <w:rFonts w:hint="eastAsia"/>
                <w:color w:val="auto"/>
              </w:rPr>
              <w:t>分</w:t>
            </w:r>
          </w:p>
        </w:tc>
        <w:tc>
          <w:tcPr>
            <w:tcW w:w="720" w:type="dxa"/>
            <w:vAlign w:val="center"/>
          </w:tcPr>
          <w:p w14:paraId="547CB56E">
            <w:pPr>
              <w:pStyle w:val="44"/>
              <w:rPr>
                <w:color w:val="auto"/>
              </w:rPr>
            </w:pPr>
            <w:r>
              <w:rPr>
                <w:color w:val="auto"/>
              </w:rPr>
              <w:t>10</w:t>
            </w:r>
          </w:p>
        </w:tc>
        <w:tc>
          <w:tcPr>
            <w:tcW w:w="720" w:type="dxa"/>
            <w:vAlign w:val="center"/>
          </w:tcPr>
          <w:p w14:paraId="6735B30A">
            <w:pPr>
              <w:pStyle w:val="44"/>
              <w:rPr>
                <w:color w:val="auto"/>
              </w:rPr>
            </w:pPr>
          </w:p>
        </w:tc>
        <w:tc>
          <w:tcPr>
            <w:tcW w:w="720" w:type="dxa"/>
            <w:vAlign w:val="center"/>
          </w:tcPr>
          <w:p w14:paraId="766FB302">
            <w:pPr>
              <w:pStyle w:val="44"/>
              <w:rPr>
                <w:color w:val="auto"/>
              </w:rPr>
            </w:pPr>
          </w:p>
        </w:tc>
      </w:tr>
      <w:tr w14:paraId="43C2F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4A4B420B">
            <w:pPr>
              <w:pStyle w:val="44"/>
              <w:rPr>
                <w:color w:val="auto"/>
              </w:rPr>
            </w:pPr>
            <w:r>
              <w:rPr>
                <w:color w:val="auto"/>
              </w:rPr>
              <w:t>3</w:t>
            </w:r>
          </w:p>
        </w:tc>
        <w:tc>
          <w:tcPr>
            <w:tcW w:w="543" w:type="dxa"/>
            <w:vMerge w:val="continue"/>
          </w:tcPr>
          <w:p w14:paraId="03BBAB89">
            <w:pPr>
              <w:pStyle w:val="44"/>
              <w:rPr>
                <w:color w:val="auto"/>
              </w:rPr>
            </w:pPr>
          </w:p>
        </w:tc>
        <w:tc>
          <w:tcPr>
            <w:tcW w:w="898" w:type="dxa"/>
            <w:vAlign w:val="center"/>
          </w:tcPr>
          <w:p w14:paraId="38EA606D">
            <w:pPr>
              <w:pStyle w:val="44"/>
              <w:rPr>
                <w:color w:val="auto"/>
              </w:rPr>
            </w:pPr>
            <w:r>
              <w:rPr>
                <w:rFonts w:hint="eastAsia"/>
                <w:color w:val="auto"/>
              </w:rPr>
              <w:t>警戒监护</w:t>
            </w:r>
          </w:p>
        </w:tc>
        <w:tc>
          <w:tcPr>
            <w:tcW w:w="5580" w:type="dxa"/>
          </w:tcPr>
          <w:p w14:paraId="2B25D7B8">
            <w:pPr>
              <w:pStyle w:val="44"/>
              <w:jc w:val="left"/>
              <w:rPr>
                <w:color w:val="auto"/>
              </w:rPr>
            </w:pPr>
            <w:r>
              <w:rPr>
                <w:color w:val="auto"/>
              </w:rPr>
              <w:t>1</w:t>
            </w:r>
            <w:r>
              <w:rPr>
                <w:rFonts w:hint="eastAsia"/>
                <w:color w:val="auto"/>
              </w:rPr>
              <w:t>）未按规定设置作业警戒区，扣</w:t>
            </w:r>
            <w:r>
              <w:rPr>
                <w:color w:val="auto"/>
              </w:rPr>
              <w:t>10</w:t>
            </w:r>
            <w:r>
              <w:rPr>
                <w:rFonts w:hint="eastAsia"/>
                <w:color w:val="auto"/>
              </w:rPr>
              <w:t>分</w:t>
            </w:r>
          </w:p>
          <w:p w14:paraId="221D48C1">
            <w:pPr>
              <w:pStyle w:val="44"/>
              <w:jc w:val="left"/>
              <w:rPr>
                <w:color w:val="auto"/>
              </w:rPr>
            </w:pPr>
            <w:r>
              <w:rPr>
                <w:color w:val="auto"/>
              </w:rPr>
              <w:t>2</w:t>
            </w:r>
            <w:r>
              <w:rPr>
                <w:rFonts w:hint="eastAsia"/>
                <w:color w:val="auto"/>
              </w:rPr>
              <w:t>）警戒区未设专人监护，扣</w:t>
            </w:r>
            <w:r>
              <w:rPr>
                <w:color w:val="auto"/>
              </w:rPr>
              <w:t>5</w:t>
            </w:r>
            <w:r>
              <w:rPr>
                <w:rFonts w:hint="eastAsia"/>
                <w:color w:val="auto"/>
              </w:rPr>
              <w:t>分</w:t>
            </w:r>
          </w:p>
        </w:tc>
        <w:tc>
          <w:tcPr>
            <w:tcW w:w="720" w:type="dxa"/>
            <w:vAlign w:val="center"/>
          </w:tcPr>
          <w:p w14:paraId="1E43E577">
            <w:pPr>
              <w:pStyle w:val="44"/>
              <w:rPr>
                <w:color w:val="auto"/>
              </w:rPr>
            </w:pPr>
            <w:r>
              <w:rPr>
                <w:color w:val="auto"/>
              </w:rPr>
              <w:t>10</w:t>
            </w:r>
          </w:p>
        </w:tc>
        <w:tc>
          <w:tcPr>
            <w:tcW w:w="720" w:type="dxa"/>
            <w:vAlign w:val="center"/>
          </w:tcPr>
          <w:p w14:paraId="2505C8A0">
            <w:pPr>
              <w:pStyle w:val="44"/>
              <w:rPr>
                <w:color w:val="auto"/>
              </w:rPr>
            </w:pPr>
          </w:p>
        </w:tc>
        <w:tc>
          <w:tcPr>
            <w:tcW w:w="720" w:type="dxa"/>
            <w:vAlign w:val="center"/>
          </w:tcPr>
          <w:p w14:paraId="122C3686">
            <w:pPr>
              <w:pStyle w:val="44"/>
              <w:rPr>
                <w:color w:val="auto"/>
              </w:rPr>
            </w:pPr>
          </w:p>
        </w:tc>
      </w:tr>
      <w:tr w14:paraId="78652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0F841396">
            <w:pPr>
              <w:pStyle w:val="44"/>
              <w:rPr>
                <w:color w:val="auto"/>
              </w:rPr>
            </w:pPr>
          </w:p>
        </w:tc>
        <w:tc>
          <w:tcPr>
            <w:tcW w:w="543" w:type="dxa"/>
            <w:vMerge w:val="continue"/>
          </w:tcPr>
          <w:p w14:paraId="38254118">
            <w:pPr>
              <w:pStyle w:val="44"/>
              <w:rPr>
                <w:color w:val="auto"/>
              </w:rPr>
            </w:pPr>
          </w:p>
        </w:tc>
        <w:tc>
          <w:tcPr>
            <w:tcW w:w="6478" w:type="dxa"/>
            <w:gridSpan w:val="2"/>
            <w:vAlign w:val="center"/>
          </w:tcPr>
          <w:p w14:paraId="4331B2BC">
            <w:pPr>
              <w:pStyle w:val="44"/>
              <w:rPr>
                <w:b/>
                <w:bCs w:val="0"/>
                <w:color w:val="auto"/>
              </w:rPr>
            </w:pPr>
            <w:r>
              <w:rPr>
                <w:rFonts w:hint="eastAsia"/>
                <w:b/>
                <w:bCs w:val="0"/>
                <w:color w:val="auto"/>
              </w:rPr>
              <w:t xml:space="preserve">小 </w:t>
            </w:r>
            <w:r>
              <w:rPr>
                <w:b/>
                <w:bCs w:val="0"/>
                <w:color w:val="auto"/>
              </w:rPr>
              <w:t xml:space="preserve"> </w:t>
            </w:r>
            <w:r>
              <w:rPr>
                <w:rFonts w:hint="eastAsia"/>
                <w:b/>
                <w:bCs w:val="0"/>
                <w:color w:val="auto"/>
              </w:rPr>
              <w:t>计</w:t>
            </w:r>
          </w:p>
        </w:tc>
        <w:tc>
          <w:tcPr>
            <w:tcW w:w="720" w:type="dxa"/>
            <w:vAlign w:val="center"/>
          </w:tcPr>
          <w:p w14:paraId="594DF97A">
            <w:pPr>
              <w:pStyle w:val="44"/>
              <w:rPr>
                <w:color w:val="auto"/>
              </w:rPr>
            </w:pPr>
            <w:r>
              <w:rPr>
                <w:color w:val="auto"/>
              </w:rPr>
              <w:t>30</w:t>
            </w:r>
          </w:p>
        </w:tc>
        <w:tc>
          <w:tcPr>
            <w:tcW w:w="720" w:type="dxa"/>
            <w:vAlign w:val="center"/>
          </w:tcPr>
          <w:p w14:paraId="1FEA6532">
            <w:pPr>
              <w:pStyle w:val="44"/>
              <w:rPr>
                <w:color w:val="auto"/>
              </w:rPr>
            </w:pPr>
          </w:p>
        </w:tc>
        <w:tc>
          <w:tcPr>
            <w:tcW w:w="720" w:type="dxa"/>
            <w:vAlign w:val="center"/>
          </w:tcPr>
          <w:p w14:paraId="7269886F">
            <w:pPr>
              <w:pStyle w:val="44"/>
              <w:rPr>
                <w:color w:val="auto"/>
              </w:rPr>
            </w:pPr>
          </w:p>
        </w:tc>
      </w:tr>
      <w:tr w14:paraId="5A06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trPr>
        <w:tc>
          <w:tcPr>
            <w:tcW w:w="7560" w:type="dxa"/>
            <w:gridSpan w:val="4"/>
            <w:vAlign w:val="center"/>
          </w:tcPr>
          <w:p w14:paraId="11C89AB2">
            <w:pPr>
              <w:pStyle w:val="44"/>
              <w:rPr>
                <w:b/>
                <w:bCs w:val="0"/>
                <w:color w:val="auto"/>
              </w:rPr>
            </w:pPr>
            <w:r>
              <w:rPr>
                <w:rFonts w:hint="eastAsia"/>
                <w:b/>
                <w:bCs w:val="0"/>
                <w:color w:val="auto"/>
              </w:rPr>
              <w:t>检查项目合计</w:t>
            </w:r>
          </w:p>
        </w:tc>
        <w:tc>
          <w:tcPr>
            <w:tcW w:w="720" w:type="dxa"/>
            <w:vAlign w:val="center"/>
          </w:tcPr>
          <w:p w14:paraId="6C6AA167">
            <w:pPr>
              <w:pStyle w:val="44"/>
              <w:rPr>
                <w:color w:val="auto"/>
              </w:rPr>
            </w:pPr>
            <w:r>
              <w:rPr>
                <w:color w:val="auto"/>
              </w:rPr>
              <w:t>100</w:t>
            </w:r>
          </w:p>
        </w:tc>
        <w:tc>
          <w:tcPr>
            <w:tcW w:w="720" w:type="dxa"/>
            <w:vAlign w:val="center"/>
          </w:tcPr>
          <w:p w14:paraId="65DEFE37">
            <w:pPr>
              <w:pStyle w:val="44"/>
              <w:rPr>
                <w:color w:val="auto"/>
              </w:rPr>
            </w:pPr>
          </w:p>
        </w:tc>
        <w:tc>
          <w:tcPr>
            <w:tcW w:w="720" w:type="dxa"/>
            <w:vAlign w:val="center"/>
          </w:tcPr>
          <w:p w14:paraId="05528BC4">
            <w:pPr>
              <w:pStyle w:val="44"/>
              <w:rPr>
                <w:color w:val="auto"/>
              </w:rPr>
            </w:pPr>
          </w:p>
        </w:tc>
      </w:tr>
    </w:tbl>
    <w:p w14:paraId="67B6AC7E">
      <w:pPr>
        <w:pStyle w:val="4"/>
        <w:spacing w:before="156" w:after="156"/>
      </w:pPr>
      <w:bookmarkStart w:id="106" w:name="_Toc29679"/>
      <w:bookmarkStart w:id="107" w:name="_Toc14558"/>
      <w:bookmarkStart w:id="108" w:name="_Toc427334484"/>
      <w:bookmarkStart w:id="109" w:name="_Toc426474738"/>
      <w:bookmarkStart w:id="110" w:name="_Toc405227246"/>
      <w:r>
        <w:rPr>
          <w:rFonts w:hint="eastAsia"/>
        </w:rPr>
        <w:br w:type="page"/>
      </w:r>
      <w:bookmarkStart w:id="111" w:name="_Toc2813"/>
      <w:bookmarkStart w:id="112" w:name="_Toc28275"/>
      <w:r>
        <w:rPr>
          <w:rFonts w:hint="eastAsia"/>
        </w:rPr>
        <w:t>本标准用词说明</w:t>
      </w:r>
      <w:bookmarkEnd w:id="106"/>
      <w:bookmarkEnd w:id="107"/>
      <w:bookmarkEnd w:id="108"/>
      <w:bookmarkEnd w:id="109"/>
      <w:bookmarkEnd w:id="110"/>
      <w:bookmarkEnd w:id="111"/>
      <w:bookmarkEnd w:id="112"/>
    </w:p>
    <w:p w14:paraId="4C555838">
      <w:pPr>
        <w:tabs>
          <w:tab w:val="left" w:pos="19"/>
        </w:tabs>
        <w:spacing w:line="360" w:lineRule="auto"/>
      </w:pPr>
      <w:r>
        <w:rPr>
          <w:b/>
          <w:bCs/>
        </w:rPr>
        <w:t>1</w:t>
      </w:r>
      <w:r>
        <w:rPr>
          <w:rFonts w:hint="eastAsia"/>
          <w:b/>
          <w:bCs/>
        </w:rPr>
        <w:t xml:space="preserve"> </w:t>
      </w:r>
      <w:r>
        <w:rPr>
          <w:rFonts w:hint="eastAsia"/>
        </w:rPr>
        <w:t xml:space="preserve"> 为便于在执行本标准条文时区别对待，对要求严格程度不同的用词说明如下：</w:t>
      </w:r>
    </w:p>
    <w:p w14:paraId="68C47103">
      <w:pPr>
        <w:tabs>
          <w:tab w:val="left" w:pos="19"/>
        </w:tabs>
        <w:spacing w:line="360" w:lineRule="auto"/>
        <w:ind w:firstLine="321" w:firstLineChars="100"/>
      </w:pPr>
      <w:r>
        <w:rPr>
          <w:rFonts w:hint="eastAsia"/>
          <w:b/>
          <w:bCs/>
        </w:rPr>
        <w:t>1</w:t>
      </w:r>
      <w:r>
        <w:rPr>
          <w:rFonts w:hint="eastAsia"/>
        </w:rPr>
        <w:t>）表示很严格，非这样做不可的：</w:t>
      </w:r>
    </w:p>
    <w:p w14:paraId="38460FB1">
      <w:pPr>
        <w:tabs>
          <w:tab w:val="left" w:pos="19"/>
        </w:tabs>
        <w:spacing w:line="360" w:lineRule="auto"/>
      </w:pPr>
      <w:r>
        <w:rPr>
          <w:rFonts w:hint="eastAsia"/>
        </w:rPr>
        <w:t xml:space="preserve">     正面词采用“必须</w:t>
      </w:r>
      <w:r>
        <w:rPr>
          <w:rFonts w:hint="eastAsia"/>
          <w:spacing w:val="120"/>
        </w:rPr>
        <w:t>”</w:t>
      </w:r>
      <w:r>
        <w:rPr>
          <w:rFonts w:hint="eastAsia"/>
        </w:rPr>
        <w:t>，反面词采用“严禁</w:t>
      </w:r>
      <w:r>
        <w:rPr>
          <w:rFonts w:hint="eastAsia"/>
          <w:spacing w:val="120"/>
        </w:rPr>
        <w:t>”；</w:t>
      </w:r>
    </w:p>
    <w:p w14:paraId="680FB28E">
      <w:pPr>
        <w:tabs>
          <w:tab w:val="left" w:pos="19"/>
        </w:tabs>
        <w:spacing w:line="360" w:lineRule="auto"/>
        <w:ind w:firstLine="321" w:firstLineChars="100"/>
      </w:pPr>
      <w:r>
        <w:rPr>
          <w:rFonts w:hint="eastAsia"/>
          <w:b/>
          <w:bCs/>
        </w:rPr>
        <w:t>2</w:t>
      </w:r>
      <w:r>
        <w:rPr>
          <w:rFonts w:hint="eastAsia"/>
        </w:rPr>
        <w:t>）表示严格，在正常情况下均应这样做的：</w:t>
      </w:r>
    </w:p>
    <w:p w14:paraId="3CBB12A5">
      <w:pPr>
        <w:tabs>
          <w:tab w:val="left" w:pos="19"/>
        </w:tabs>
        <w:spacing w:line="360" w:lineRule="auto"/>
      </w:pPr>
      <w:r>
        <w:rPr>
          <w:rFonts w:hint="eastAsia"/>
        </w:rPr>
        <w:t xml:space="preserve">     正面词采用“应</w:t>
      </w:r>
      <w:r>
        <w:rPr>
          <w:rFonts w:hint="eastAsia"/>
          <w:spacing w:val="120"/>
        </w:rPr>
        <w:t>”</w:t>
      </w:r>
      <w:r>
        <w:rPr>
          <w:rFonts w:hint="eastAsia"/>
        </w:rPr>
        <w:t>，反面词采用“不应”或“不得</w:t>
      </w:r>
      <w:r>
        <w:rPr>
          <w:rFonts w:hint="eastAsia"/>
          <w:spacing w:val="120"/>
        </w:rPr>
        <w:t>”；</w:t>
      </w:r>
    </w:p>
    <w:p w14:paraId="6B13188E">
      <w:pPr>
        <w:tabs>
          <w:tab w:val="left" w:pos="19"/>
        </w:tabs>
        <w:spacing w:line="360" w:lineRule="auto"/>
        <w:ind w:firstLine="321" w:firstLineChars="100"/>
      </w:pPr>
      <w:r>
        <w:rPr>
          <w:rFonts w:hint="eastAsia"/>
          <w:b/>
          <w:bCs/>
        </w:rPr>
        <w:t>3</w:t>
      </w:r>
      <w:r>
        <w:rPr>
          <w:rFonts w:hint="eastAsia"/>
        </w:rPr>
        <w:t>）表示</w:t>
      </w:r>
      <w:r>
        <w:rPr>
          <w:rFonts w:hint="eastAsia" w:ascii="宋体" w:hAnsi="宋体"/>
        </w:rPr>
        <w:t>允</w:t>
      </w:r>
      <w:r>
        <w:rPr>
          <w:rFonts w:hint="eastAsia"/>
        </w:rPr>
        <w:t>许稍有选择，在条件许可时首先这样做的：</w:t>
      </w:r>
    </w:p>
    <w:p w14:paraId="16DCA103">
      <w:pPr>
        <w:tabs>
          <w:tab w:val="left" w:pos="19"/>
        </w:tabs>
        <w:spacing w:line="360" w:lineRule="auto"/>
        <w:ind w:firstLine="600"/>
        <w:rPr>
          <w:spacing w:val="120"/>
        </w:rPr>
      </w:pPr>
      <w:r>
        <w:rPr>
          <w:rFonts w:hint="eastAsia"/>
        </w:rPr>
        <w:t>正面词采用“宜</w:t>
      </w:r>
      <w:r>
        <w:rPr>
          <w:rFonts w:hint="eastAsia"/>
          <w:spacing w:val="120"/>
        </w:rPr>
        <w:t>”</w:t>
      </w:r>
      <w:r>
        <w:rPr>
          <w:rFonts w:hint="eastAsia"/>
        </w:rPr>
        <w:t>，反面词采用“不宜</w:t>
      </w:r>
      <w:r>
        <w:rPr>
          <w:rFonts w:hint="eastAsia"/>
          <w:spacing w:val="120"/>
        </w:rPr>
        <w:t>”；</w:t>
      </w:r>
    </w:p>
    <w:p w14:paraId="4C7434A2">
      <w:pPr>
        <w:tabs>
          <w:tab w:val="left" w:pos="19"/>
        </w:tabs>
        <w:spacing w:line="360" w:lineRule="auto"/>
        <w:ind w:firstLine="321" w:firstLineChars="100"/>
        <w:rPr>
          <w:spacing w:val="120"/>
        </w:rPr>
      </w:pPr>
      <w:r>
        <w:rPr>
          <w:rFonts w:hint="eastAsia"/>
          <w:b/>
          <w:bCs/>
        </w:rPr>
        <w:t>4</w:t>
      </w:r>
      <w:r>
        <w:rPr>
          <w:rFonts w:hint="eastAsia"/>
        </w:rPr>
        <w:t>）表示有选择，在一定条件下可以这样做的，可采用“可”。</w:t>
      </w:r>
    </w:p>
    <w:p w14:paraId="30E2318E">
      <w:r>
        <w:rPr>
          <w:b/>
          <w:bCs/>
        </w:rPr>
        <w:t>2</w:t>
      </w:r>
      <w:r>
        <w:rPr>
          <w:rFonts w:hint="eastAsia"/>
        </w:rPr>
        <w:t xml:space="preserve">  条文中指明应按其他有关标准执行的写法为：“应符合……的规定”或“应按……执行”。</w:t>
      </w:r>
    </w:p>
    <w:p w14:paraId="36227E2D">
      <w:pPr>
        <w:pStyle w:val="4"/>
      </w:pPr>
      <w:bookmarkStart w:id="113" w:name="_Toc405227247"/>
      <w:bookmarkStart w:id="114" w:name="_Toc23057"/>
      <w:bookmarkStart w:id="115" w:name="_Toc21645"/>
      <w:bookmarkStart w:id="116" w:name="_Toc20729"/>
      <w:bookmarkStart w:id="117" w:name="_Toc427334485"/>
      <w:bookmarkStart w:id="118" w:name="_Toc426474739"/>
      <w:bookmarkStart w:id="119" w:name="_Toc20719"/>
      <w:r>
        <w:rPr>
          <w:rFonts w:hint="eastAsia"/>
        </w:rPr>
        <w:t>引用标准名录</w:t>
      </w:r>
      <w:bookmarkEnd w:id="113"/>
      <w:bookmarkEnd w:id="114"/>
      <w:bookmarkEnd w:id="115"/>
      <w:bookmarkEnd w:id="116"/>
      <w:bookmarkEnd w:id="117"/>
      <w:bookmarkEnd w:id="118"/>
      <w:bookmarkEnd w:id="119"/>
    </w:p>
    <w:p w14:paraId="525BC89C">
      <w:pPr>
        <w:numPr>
          <w:ilvl w:val="0"/>
          <w:numId w:val="2"/>
        </w:numPr>
        <w:spacing w:line="400" w:lineRule="exact"/>
      </w:pPr>
      <w:r>
        <w:rPr>
          <w:rFonts w:hint="eastAsia"/>
        </w:rPr>
        <w:t>《滑动模板工程技术规范》GB 50113</w:t>
      </w:r>
    </w:p>
    <w:p w14:paraId="302A309A">
      <w:pPr>
        <w:numPr>
          <w:ilvl w:val="0"/>
          <w:numId w:val="2"/>
        </w:numPr>
        <w:spacing w:line="400" w:lineRule="exact"/>
      </w:pPr>
      <w:r>
        <w:t>《给水排水构筑物工程施工及验收规范》GB50141</w:t>
      </w:r>
    </w:p>
    <w:p w14:paraId="016EDA0E">
      <w:pPr>
        <w:numPr>
          <w:ilvl w:val="0"/>
          <w:numId w:val="2"/>
        </w:numPr>
        <w:spacing w:line="400" w:lineRule="exact"/>
      </w:pPr>
      <w:r>
        <w:rPr>
          <w:rFonts w:hint="eastAsia"/>
        </w:rPr>
        <w:t>《建设工程施工现场供用电安全规范》GB 50194</w:t>
      </w:r>
    </w:p>
    <w:p w14:paraId="7CC5011A">
      <w:pPr>
        <w:numPr>
          <w:ilvl w:val="0"/>
          <w:numId w:val="2"/>
        </w:numPr>
        <w:spacing w:line="400" w:lineRule="exact"/>
      </w:pPr>
      <w:r>
        <w:rPr>
          <w:rFonts w:hint="eastAsia"/>
        </w:rPr>
        <w:t>《给水排水管道工程施工及验收规范》</w:t>
      </w:r>
      <w:r>
        <w:t>GB 50268</w:t>
      </w:r>
    </w:p>
    <w:p w14:paraId="46390098">
      <w:pPr>
        <w:numPr>
          <w:ilvl w:val="0"/>
          <w:numId w:val="2"/>
        </w:numPr>
        <w:spacing w:line="400" w:lineRule="exact"/>
      </w:pPr>
      <w:r>
        <w:rPr>
          <w:rFonts w:hint="eastAsia"/>
        </w:rPr>
        <w:t>《盾构掘进隧道工程施工及验收规范》GB 50446</w:t>
      </w:r>
    </w:p>
    <w:p w14:paraId="36AEA62C">
      <w:pPr>
        <w:numPr>
          <w:ilvl w:val="0"/>
          <w:numId w:val="2"/>
        </w:numPr>
        <w:spacing w:line="400" w:lineRule="exact"/>
      </w:pPr>
      <w:r>
        <w:t>《</w:t>
      </w:r>
      <w:r>
        <w:rPr>
          <w:rFonts w:hint="eastAsia"/>
        </w:rPr>
        <w:t>建筑基坑</w:t>
      </w:r>
      <w:r>
        <w:t>工程监测技术规范》</w:t>
      </w:r>
      <w:r>
        <w:rPr>
          <w:rFonts w:hint="eastAsia"/>
        </w:rPr>
        <w:t>GB 50497</w:t>
      </w:r>
    </w:p>
    <w:p w14:paraId="03098041">
      <w:pPr>
        <w:numPr>
          <w:ilvl w:val="0"/>
          <w:numId w:val="2"/>
        </w:numPr>
        <w:spacing w:line="400" w:lineRule="exact"/>
      </w:pPr>
      <w:r>
        <w:rPr>
          <w:rFonts w:hint="eastAsia"/>
        </w:rPr>
        <w:t>《建设工程施工现场消防安全技术规范》GB 50720</w:t>
      </w:r>
    </w:p>
    <w:p w14:paraId="48464B57">
      <w:pPr>
        <w:numPr>
          <w:ilvl w:val="0"/>
          <w:numId w:val="2"/>
        </w:numPr>
        <w:spacing w:line="400" w:lineRule="exact"/>
      </w:pPr>
      <w:r>
        <w:rPr>
          <w:rFonts w:hint="eastAsia"/>
        </w:rPr>
        <w:t>《沉井与气压沉箱施工规范》GB/T</w:t>
      </w:r>
      <w:r>
        <w:t xml:space="preserve"> </w:t>
      </w:r>
      <w:r>
        <w:rPr>
          <w:rFonts w:hint="eastAsia"/>
        </w:rPr>
        <w:t>51130</w:t>
      </w:r>
    </w:p>
    <w:p w14:paraId="2F1BB580">
      <w:pPr>
        <w:numPr>
          <w:ilvl w:val="0"/>
          <w:numId w:val="2"/>
        </w:numPr>
        <w:spacing w:line="400" w:lineRule="exact"/>
      </w:pPr>
      <w:r>
        <w:t>《塔式起重机安全规程》GB 5144</w:t>
      </w:r>
    </w:p>
    <w:p w14:paraId="2CD56094">
      <w:pPr>
        <w:numPr>
          <w:ilvl w:val="0"/>
          <w:numId w:val="2"/>
        </w:numPr>
        <w:spacing w:line="400" w:lineRule="exact"/>
      </w:pPr>
      <w:r>
        <w:rPr>
          <w:rFonts w:hint="eastAsia"/>
        </w:rPr>
        <w:t>《起重机械安全规程》GB 6067</w:t>
      </w:r>
    </w:p>
    <w:p w14:paraId="1A52EA21">
      <w:pPr>
        <w:numPr>
          <w:ilvl w:val="0"/>
          <w:numId w:val="2"/>
        </w:numPr>
        <w:spacing w:line="400" w:lineRule="exact"/>
      </w:pPr>
      <w:r>
        <w:rPr>
          <w:rFonts w:hint="eastAsia"/>
        </w:rPr>
        <w:t>《施工升降机安全规程》</w:t>
      </w:r>
      <w:r>
        <w:t>GB</w:t>
      </w:r>
      <w:r>
        <w:rPr>
          <w:rFonts w:hint="eastAsia"/>
        </w:rPr>
        <w:t xml:space="preserve"> </w:t>
      </w:r>
      <w:r>
        <w:t>10055</w:t>
      </w:r>
    </w:p>
    <w:p w14:paraId="03106F3C">
      <w:pPr>
        <w:numPr>
          <w:ilvl w:val="0"/>
          <w:numId w:val="2"/>
        </w:numPr>
        <w:spacing w:line="400" w:lineRule="exact"/>
      </w:pPr>
      <w:r>
        <w:rPr>
          <w:rFonts w:hint="eastAsia"/>
        </w:rPr>
        <w:t>《架桥机安全规程》GB26469</w:t>
      </w:r>
    </w:p>
    <w:p w14:paraId="118606A8">
      <w:pPr>
        <w:numPr>
          <w:ilvl w:val="0"/>
          <w:numId w:val="2"/>
        </w:numPr>
        <w:spacing w:line="400" w:lineRule="exact"/>
      </w:pPr>
      <w:r>
        <w:t>《建设机械使用安全技术规程》JGJ 33</w:t>
      </w:r>
    </w:p>
    <w:p w14:paraId="4C428500">
      <w:pPr>
        <w:numPr>
          <w:ilvl w:val="0"/>
          <w:numId w:val="2"/>
        </w:numPr>
        <w:spacing w:line="400" w:lineRule="exact"/>
      </w:pPr>
      <w:r>
        <w:rPr>
          <w:rFonts w:hint="eastAsia"/>
        </w:rPr>
        <w:t>《液压滑动模板施工安全呢技术规程》JGJ65</w:t>
      </w:r>
    </w:p>
    <w:p w14:paraId="78B08756">
      <w:pPr>
        <w:numPr>
          <w:ilvl w:val="0"/>
          <w:numId w:val="2"/>
        </w:numPr>
        <w:spacing w:line="400" w:lineRule="exact"/>
      </w:pPr>
      <w:r>
        <w:rPr>
          <w:rFonts w:hint="eastAsia"/>
        </w:rPr>
        <w:t>《建筑工程大模板技术规程》JGJ 74</w:t>
      </w:r>
    </w:p>
    <w:p w14:paraId="5ED711A1">
      <w:pPr>
        <w:numPr>
          <w:ilvl w:val="0"/>
          <w:numId w:val="2"/>
        </w:numPr>
        <w:spacing w:line="400" w:lineRule="exact"/>
      </w:pPr>
      <w:r>
        <w:rPr>
          <w:rFonts w:hint="eastAsia"/>
        </w:rPr>
        <w:t>《建筑施工高处作业安全技术规范》JGJ 80</w:t>
      </w:r>
    </w:p>
    <w:p w14:paraId="6B16903A">
      <w:pPr>
        <w:numPr>
          <w:ilvl w:val="0"/>
          <w:numId w:val="2"/>
        </w:numPr>
        <w:spacing w:line="400" w:lineRule="exact"/>
      </w:pPr>
      <w:r>
        <w:rPr>
          <w:rFonts w:hint="eastAsia"/>
        </w:rPr>
        <w:t>《龙门架及井架物料提升机安全技术规范》JGJ 88</w:t>
      </w:r>
    </w:p>
    <w:p w14:paraId="2E2D8438">
      <w:pPr>
        <w:numPr>
          <w:ilvl w:val="0"/>
          <w:numId w:val="2"/>
        </w:numPr>
        <w:spacing w:line="400" w:lineRule="exact"/>
      </w:pPr>
      <w:r>
        <w:t>《</w:t>
      </w:r>
      <w:r>
        <w:rPr>
          <w:rFonts w:hint="eastAsia"/>
        </w:rPr>
        <w:t>建筑桩基技术规范</w:t>
      </w:r>
      <w:r>
        <w:t>》</w:t>
      </w:r>
      <w:r>
        <w:rPr>
          <w:rFonts w:hint="eastAsia"/>
        </w:rPr>
        <w:t>JGJ 94</w:t>
      </w:r>
    </w:p>
    <w:p w14:paraId="611B2863">
      <w:pPr>
        <w:numPr>
          <w:ilvl w:val="0"/>
          <w:numId w:val="2"/>
        </w:numPr>
        <w:spacing w:line="400" w:lineRule="exact"/>
      </w:pPr>
      <w:r>
        <w:t>《</w:t>
      </w:r>
      <w:r>
        <w:rPr>
          <w:rFonts w:hint="eastAsia"/>
        </w:rPr>
        <w:t>建筑基坑支护技术规程</w:t>
      </w:r>
      <w:r>
        <w:t xml:space="preserve">》JGJ </w:t>
      </w:r>
      <w:r>
        <w:rPr>
          <w:rFonts w:hint="eastAsia"/>
        </w:rPr>
        <w:t>120</w:t>
      </w:r>
    </w:p>
    <w:p w14:paraId="53753AFF">
      <w:pPr>
        <w:numPr>
          <w:ilvl w:val="0"/>
          <w:numId w:val="2"/>
        </w:numPr>
        <w:spacing w:line="400" w:lineRule="exact"/>
      </w:pPr>
      <w:r>
        <w:rPr>
          <w:rFonts w:hint="eastAsia"/>
        </w:rPr>
        <w:t>《建筑施工门式钢管脚手架安全技术规范》JGJ 128</w:t>
      </w:r>
    </w:p>
    <w:p w14:paraId="5393B81B">
      <w:pPr>
        <w:numPr>
          <w:ilvl w:val="0"/>
          <w:numId w:val="2"/>
        </w:numPr>
        <w:spacing w:line="400" w:lineRule="exact"/>
      </w:pPr>
      <w:r>
        <w:t>《</w:t>
      </w:r>
      <w:r>
        <w:rPr>
          <w:rFonts w:hint="eastAsia"/>
        </w:rPr>
        <w:t>建筑施工扣件式钢管脚手架安全技术规范</w:t>
      </w:r>
      <w:r>
        <w:t>》</w:t>
      </w:r>
      <w:r>
        <w:rPr>
          <w:rFonts w:hint="eastAsia"/>
        </w:rPr>
        <w:t>JGJ 130</w:t>
      </w:r>
    </w:p>
    <w:p w14:paraId="373815D7">
      <w:pPr>
        <w:numPr>
          <w:ilvl w:val="0"/>
          <w:numId w:val="2"/>
        </w:numPr>
        <w:spacing w:line="400" w:lineRule="exact"/>
      </w:pPr>
      <w:r>
        <w:rPr>
          <w:rFonts w:hint="eastAsia"/>
        </w:rPr>
        <w:t>《建筑施工现场环境与卫生标准》JGJ 146</w:t>
      </w:r>
    </w:p>
    <w:p w14:paraId="563C8BEB">
      <w:pPr>
        <w:numPr>
          <w:ilvl w:val="0"/>
          <w:numId w:val="2"/>
        </w:numPr>
        <w:spacing w:line="400" w:lineRule="exact"/>
      </w:pPr>
      <w:r>
        <w:t>《施工现场机械设备检查技术规程》JGJ 160</w:t>
      </w:r>
    </w:p>
    <w:p w14:paraId="62128977">
      <w:pPr>
        <w:numPr>
          <w:ilvl w:val="0"/>
          <w:numId w:val="2"/>
        </w:numPr>
        <w:spacing w:line="400" w:lineRule="exact"/>
      </w:pPr>
      <w:r>
        <w:rPr>
          <w:rFonts w:hint="eastAsia"/>
        </w:rPr>
        <w:t>《建筑施工碗扣式钢管脚手架安全技术规范》JGJ 166</w:t>
      </w:r>
    </w:p>
    <w:p w14:paraId="4E445E23">
      <w:pPr>
        <w:numPr>
          <w:ilvl w:val="0"/>
          <w:numId w:val="2"/>
        </w:numPr>
        <w:spacing w:line="400" w:lineRule="exact"/>
      </w:pPr>
      <w:r>
        <w:t>《</w:t>
      </w:r>
      <w:r>
        <w:rPr>
          <w:rFonts w:hint="eastAsia"/>
        </w:rPr>
        <w:t>建筑施工土石方工程安全技术规范</w:t>
      </w:r>
      <w:r>
        <w:t>》JGJ 1</w:t>
      </w:r>
      <w:r>
        <w:rPr>
          <w:rFonts w:hint="eastAsia"/>
        </w:rPr>
        <w:t>80</w:t>
      </w:r>
    </w:p>
    <w:p w14:paraId="3DACDB79">
      <w:pPr>
        <w:numPr>
          <w:ilvl w:val="0"/>
          <w:numId w:val="2"/>
        </w:numPr>
        <w:spacing w:line="400" w:lineRule="exact"/>
      </w:pPr>
      <w:r>
        <w:rPr>
          <w:rFonts w:hint="eastAsia"/>
        </w:rPr>
        <w:t>《施工现场临时建筑物技术规范》JGJ/T 188</w:t>
      </w:r>
    </w:p>
    <w:p w14:paraId="235CE5B7">
      <w:pPr>
        <w:numPr>
          <w:ilvl w:val="0"/>
          <w:numId w:val="2"/>
        </w:numPr>
        <w:spacing w:line="400" w:lineRule="exact"/>
      </w:pPr>
      <w:r>
        <w:rPr>
          <w:rFonts w:hint="eastAsia"/>
        </w:rPr>
        <w:t>《液压爬升模板工程技术规程》JGJ 195</w:t>
      </w:r>
    </w:p>
    <w:p w14:paraId="5B3BACE8">
      <w:pPr>
        <w:numPr>
          <w:ilvl w:val="0"/>
          <w:numId w:val="2"/>
        </w:numPr>
        <w:spacing w:line="400" w:lineRule="exact"/>
      </w:pPr>
      <w:r>
        <w:t>《建筑施工塔式起重机安装、使用、拆卸安全技术规程》JGJ 196</w:t>
      </w:r>
    </w:p>
    <w:p w14:paraId="7092CC4A">
      <w:pPr>
        <w:numPr>
          <w:ilvl w:val="0"/>
          <w:numId w:val="2"/>
        </w:numPr>
        <w:spacing w:line="400" w:lineRule="exact"/>
      </w:pPr>
      <w:r>
        <w:rPr>
          <w:rFonts w:hint="eastAsia"/>
        </w:rPr>
        <w:t>《建筑施工工具式脚手架安全技术规范》</w:t>
      </w:r>
      <w:r>
        <w:t>JGJ</w:t>
      </w:r>
      <w:r>
        <w:rPr>
          <w:rFonts w:hint="eastAsia"/>
        </w:rPr>
        <w:t xml:space="preserve"> </w:t>
      </w:r>
      <w:r>
        <w:t>202</w:t>
      </w:r>
    </w:p>
    <w:p w14:paraId="095D6732">
      <w:pPr>
        <w:numPr>
          <w:ilvl w:val="0"/>
          <w:numId w:val="2"/>
        </w:numPr>
        <w:spacing w:line="400" w:lineRule="exact"/>
      </w:pPr>
      <w:r>
        <w:rPr>
          <w:rFonts w:hint="eastAsia"/>
        </w:rPr>
        <w:t>《建筑施工升降机安装、使用、拆卸安全技术规程》</w:t>
      </w:r>
      <w:r>
        <w:t>JGJ</w:t>
      </w:r>
      <w:r>
        <w:rPr>
          <w:rFonts w:hint="eastAsia"/>
        </w:rPr>
        <w:t xml:space="preserve"> </w:t>
      </w:r>
      <w:r>
        <w:t>21</w:t>
      </w:r>
      <w:r>
        <w:rPr>
          <w:rFonts w:hint="eastAsia"/>
        </w:rPr>
        <w:t>5</w:t>
      </w:r>
    </w:p>
    <w:p w14:paraId="4D11FFCA">
      <w:pPr>
        <w:numPr>
          <w:ilvl w:val="0"/>
          <w:numId w:val="2"/>
        </w:numPr>
        <w:spacing w:line="400" w:lineRule="exact"/>
      </w:pPr>
      <w:r>
        <w:rPr>
          <w:rFonts w:hint="eastAsia"/>
        </w:rPr>
        <w:t>《建筑施工承插型盘扣式钢管支架安全技术规程》JGJ 231</w:t>
      </w:r>
    </w:p>
    <w:p w14:paraId="68164496">
      <w:pPr>
        <w:numPr>
          <w:ilvl w:val="0"/>
          <w:numId w:val="2"/>
        </w:numPr>
        <w:spacing w:line="400" w:lineRule="exact"/>
      </w:pPr>
      <w:r>
        <w:rPr>
          <w:rFonts w:hint="eastAsia"/>
        </w:rPr>
        <w:t>《市政架桥机安全使用技术规程》JGJ 266</w:t>
      </w:r>
    </w:p>
    <w:p w14:paraId="4A42FFCB">
      <w:pPr>
        <w:numPr>
          <w:ilvl w:val="0"/>
          <w:numId w:val="2"/>
        </w:numPr>
        <w:spacing w:line="400" w:lineRule="exact"/>
      </w:pPr>
      <w:r>
        <w:rPr>
          <w:rFonts w:hint="eastAsia"/>
        </w:rPr>
        <w:t>《建筑施工起重吊装工程安全技术规范》JGJ 276</w:t>
      </w:r>
    </w:p>
    <w:p w14:paraId="4AF88A3A">
      <w:pPr>
        <w:numPr>
          <w:ilvl w:val="0"/>
          <w:numId w:val="2"/>
        </w:numPr>
        <w:spacing w:line="400" w:lineRule="exact"/>
      </w:pPr>
      <w:r>
        <w:rPr>
          <w:rFonts w:hint="eastAsia"/>
        </w:rPr>
        <w:t>《建筑深基坑工程施工安全技术规范》JGJ 311</w:t>
      </w:r>
    </w:p>
    <w:p w14:paraId="285B6044">
      <w:pPr>
        <w:numPr>
          <w:ilvl w:val="0"/>
          <w:numId w:val="2"/>
        </w:numPr>
        <w:spacing w:line="400" w:lineRule="exact"/>
      </w:pPr>
      <w:r>
        <w:rPr>
          <w:rFonts w:hint="eastAsia"/>
        </w:rPr>
        <w:t>《盾构法开仓及气压作业技术规范》CJJ 217</w:t>
      </w:r>
    </w:p>
    <w:p w14:paraId="7DE08BE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9AD74">
    <w:pPr>
      <w:pStyle w:val="13"/>
      <w:jc w:val="center"/>
    </w:pPr>
    <w:r>
      <w:fldChar w:fldCharType="begin"/>
    </w:r>
    <w:r>
      <w:instrText xml:space="preserve"> PAGE   \* MERGEFORMAT </w:instrText>
    </w:r>
    <w:r>
      <w:fldChar w:fldCharType="separate"/>
    </w:r>
    <w:r>
      <w:rPr>
        <w:lang w:val="zh-CN"/>
      </w:rPr>
      <w:t>1</w:t>
    </w:r>
    <w:r>
      <w:fldChar w:fldCharType="end"/>
    </w:r>
  </w:p>
  <w:p w14:paraId="4D176E46">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decimal"/>
      <w:lvlText w:val="%1"/>
      <w:lvlJc w:val="left"/>
      <w:pPr>
        <w:ind w:left="360" w:hanging="36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D763FFA"/>
    <w:multiLevelType w:val="multilevel"/>
    <w:tmpl w:val="2D763FF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zEwNTM5NzYwMDRjMzkwZTVkZjY2ODkwMGIxNGU0OTUifQ=="/>
  </w:docVars>
  <w:rsids>
    <w:rsidRoot w:val="00172A27"/>
    <w:rsid w:val="00000441"/>
    <w:rsid w:val="0000235E"/>
    <w:rsid w:val="00013F93"/>
    <w:rsid w:val="000154A4"/>
    <w:rsid w:val="0001605C"/>
    <w:rsid w:val="00016E74"/>
    <w:rsid w:val="00021152"/>
    <w:rsid w:val="00023EF2"/>
    <w:rsid w:val="00030A73"/>
    <w:rsid w:val="00034EEB"/>
    <w:rsid w:val="00037A6B"/>
    <w:rsid w:val="00053A59"/>
    <w:rsid w:val="0005406C"/>
    <w:rsid w:val="000548DC"/>
    <w:rsid w:val="00064320"/>
    <w:rsid w:val="00083142"/>
    <w:rsid w:val="000855C1"/>
    <w:rsid w:val="00085949"/>
    <w:rsid w:val="00087AF0"/>
    <w:rsid w:val="00097111"/>
    <w:rsid w:val="000A079D"/>
    <w:rsid w:val="000A1EE0"/>
    <w:rsid w:val="000A2547"/>
    <w:rsid w:val="000B00E4"/>
    <w:rsid w:val="000B0AE8"/>
    <w:rsid w:val="000B576C"/>
    <w:rsid w:val="000C1137"/>
    <w:rsid w:val="000D2440"/>
    <w:rsid w:val="000D2BAB"/>
    <w:rsid w:val="000D70C1"/>
    <w:rsid w:val="000E064A"/>
    <w:rsid w:val="000E67AC"/>
    <w:rsid w:val="000F0CA1"/>
    <w:rsid w:val="000F1F1E"/>
    <w:rsid w:val="000F29DB"/>
    <w:rsid w:val="000F4111"/>
    <w:rsid w:val="001059AD"/>
    <w:rsid w:val="0010607D"/>
    <w:rsid w:val="00110D02"/>
    <w:rsid w:val="00112896"/>
    <w:rsid w:val="0011389C"/>
    <w:rsid w:val="001144AE"/>
    <w:rsid w:val="0012508A"/>
    <w:rsid w:val="00125C06"/>
    <w:rsid w:val="00127B5F"/>
    <w:rsid w:val="00131C47"/>
    <w:rsid w:val="00133B51"/>
    <w:rsid w:val="00147406"/>
    <w:rsid w:val="0015008E"/>
    <w:rsid w:val="0015481F"/>
    <w:rsid w:val="001633C2"/>
    <w:rsid w:val="00164639"/>
    <w:rsid w:val="00171FB9"/>
    <w:rsid w:val="00172A27"/>
    <w:rsid w:val="001772A3"/>
    <w:rsid w:val="00180452"/>
    <w:rsid w:val="0018391D"/>
    <w:rsid w:val="00192F54"/>
    <w:rsid w:val="00194D81"/>
    <w:rsid w:val="00196824"/>
    <w:rsid w:val="001A260C"/>
    <w:rsid w:val="001B319F"/>
    <w:rsid w:val="001B6E43"/>
    <w:rsid w:val="001C1081"/>
    <w:rsid w:val="001C2734"/>
    <w:rsid w:val="001C7C82"/>
    <w:rsid w:val="001E260E"/>
    <w:rsid w:val="001E456E"/>
    <w:rsid w:val="001E667C"/>
    <w:rsid w:val="00200078"/>
    <w:rsid w:val="00201C23"/>
    <w:rsid w:val="00205DC1"/>
    <w:rsid w:val="00206645"/>
    <w:rsid w:val="002113C7"/>
    <w:rsid w:val="00211833"/>
    <w:rsid w:val="002141E9"/>
    <w:rsid w:val="00225AA4"/>
    <w:rsid w:val="00232210"/>
    <w:rsid w:val="00240719"/>
    <w:rsid w:val="0024478F"/>
    <w:rsid w:val="002465B1"/>
    <w:rsid w:val="00253B95"/>
    <w:rsid w:val="00260810"/>
    <w:rsid w:val="00262A73"/>
    <w:rsid w:val="00263B54"/>
    <w:rsid w:val="0026589B"/>
    <w:rsid w:val="00275573"/>
    <w:rsid w:val="002756D2"/>
    <w:rsid w:val="0028150C"/>
    <w:rsid w:val="00282ABD"/>
    <w:rsid w:val="00285B7B"/>
    <w:rsid w:val="00293C13"/>
    <w:rsid w:val="002A0253"/>
    <w:rsid w:val="002A6428"/>
    <w:rsid w:val="002B7544"/>
    <w:rsid w:val="002C62BA"/>
    <w:rsid w:val="002D2258"/>
    <w:rsid w:val="002E3C62"/>
    <w:rsid w:val="002E4B28"/>
    <w:rsid w:val="002F15A3"/>
    <w:rsid w:val="002F2A3C"/>
    <w:rsid w:val="002F3902"/>
    <w:rsid w:val="003036AE"/>
    <w:rsid w:val="0030641F"/>
    <w:rsid w:val="00307928"/>
    <w:rsid w:val="0031028F"/>
    <w:rsid w:val="00311370"/>
    <w:rsid w:val="00312976"/>
    <w:rsid w:val="003155D6"/>
    <w:rsid w:val="00316C9B"/>
    <w:rsid w:val="0031705B"/>
    <w:rsid w:val="00321D16"/>
    <w:rsid w:val="00327CAC"/>
    <w:rsid w:val="003314D2"/>
    <w:rsid w:val="00332DC1"/>
    <w:rsid w:val="00335B26"/>
    <w:rsid w:val="003363FE"/>
    <w:rsid w:val="00350CE1"/>
    <w:rsid w:val="003514E8"/>
    <w:rsid w:val="003536CF"/>
    <w:rsid w:val="00362789"/>
    <w:rsid w:val="003640C8"/>
    <w:rsid w:val="00364BF4"/>
    <w:rsid w:val="00374A0B"/>
    <w:rsid w:val="0037573B"/>
    <w:rsid w:val="003853F0"/>
    <w:rsid w:val="00386264"/>
    <w:rsid w:val="00390CCE"/>
    <w:rsid w:val="00395C34"/>
    <w:rsid w:val="003972C3"/>
    <w:rsid w:val="003B6C3A"/>
    <w:rsid w:val="003B7289"/>
    <w:rsid w:val="003B7A51"/>
    <w:rsid w:val="003C2E95"/>
    <w:rsid w:val="003D7237"/>
    <w:rsid w:val="003E0724"/>
    <w:rsid w:val="003F01B5"/>
    <w:rsid w:val="003F247E"/>
    <w:rsid w:val="00401265"/>
    <w:rsid w:val="004066A5"/>
    <w:rsid w:val="00425113"/>
    <w:rsid w:val="00426F31"/>
    <w:rsid w:val="004313F4"/>
    <w:rsid w:val="00433E0B"/>
    <w:rsid w:val="00437A0A"/>
    <w:rsid w:val="00441108"/>
    <w:rsid w:val="00444EF2"/>
    <w:rsid w:val="00453AC4"/>
    <w:rsid w:val="00453B22"/>
    <w:rsid w:val="00457F86"/>
    <w:rsid w:val="0046273C"/>
    <w:rsid w:val="00467D87"/>
    <w:rsid w:val="00472AAE"/>
    <w:rsid w:val="00473154"/>
    <w:rsid w:val="00475DA0"/>
    <w:rsid w:val="004812E3"/>
    <w:rsid w:val="00485B29"/>
    <w:rsid w:val="004874BB"/>
    <w:rsid w:val="00490D43"/>
    <w:rsid w:val="00491E5C"/>
    <w:rsid w:val="004920EE"/>
    <w:rsid w:val="004A05A4"/>
    <w:rsid w:val="004A0D89"/>
    <w:rsid w:val="004A18FB"/>
    <w:rsid w:val="004A6C1B"/>
    <w:rsid w:val="004A7135"/>
    <w:rsid w:val="004B15B8"/>
    <w:rsid w:val="004B2675"/>
    <w:rsid w:val="004B5218"/>
    <w:rsid w:val="004C47F2"/>
    <w:rsid w:val="004C571E"/>
    <w:rsid w:val="004D10EB"/>
    <w:rsid w:val="004D5392"/>
    <w:rsid w:val="004E2988"/>
    <w:rsid w:val="004E5CAC"/>
    <w:rsid w:val="004F208C"/>
    <w:rsid w:val="005027B4"/>
    <w:rsid w:val="0050355B"/>
    <w:rsid w:val="00507A8F"/>
    <w:rsid w:val="005134DF"/>
    <w:rsid w:val="00527141"/>
    <w:rsid w:val="00534B37"/>
    <w:rsid w:val="00534EA8"/>
    <w:rsid w:val="00543E9A"/>
    <w:rsid w:val="00551A0E"/>
    <w:rsid w:val="00551F17"/>
    <w:rsid w:val="00556132"/>
    <w:rsid w:val="005616B2"/>
    <w:rsid w:val="00566D32"/>
    <w:rsid w:val="00567861"/>
    <w:rsid w:val="0057162D"/>
    <w:rsid w:val="005769BB"/>
    <w:rsid w:val="005778B6"/>
    <w:rsid w:val="005806E6"/>
    <w:rsid w:val="005834CE"/>
    <w:rsid w:val="005857D2"/>
    <w:rsid w:val="00585CC6"/>
    <w:rsid w:val="00585FCA"/>
    <w:rsid w:val="00591F05"/>
    <w:rsid w:val="00593069"/>
    <w:rsid w:val="005A0485"/>
    <w:rsid w:val="005A1569"/>
    <w:rsid w:val="005B62F3"/>
    <w:rsid w:val="005B75D4"/>
    <w:rsid w:val="005C1598"/>
    <w:rsid w:val="005C1CE5"/>
    <w:rsid w:val="005D0AA0"/>
    <w:rsid w:val="005D2655"/>
    <w:rsid w:val="005D37B5"/>
    <w:rsid w:val="005E14AD"/>
    <w:rsid w:val="005E6D16"/>
    <w:rsid w:val="005F0261"/>
    <w:rsid w:val="005F2523"/>
    <w:rsid w:val="005F3294"/>
    <w:rsid w:val="00603F7C"/>
    <w:rsid w:val="00607E09"/>
    <w:rsid w:val="00613CDB"/>
    <w:rsid w:val="0061533E"/>
    <w:rsid w:val="00616953"/>
    <w:rsid w:val="006324D6"/>
    <w:rsid w:val="00635345"/>
    <w:rsid w:val="00635EA8"/>
    <w:rsid w:val="00636D8A"/>
    <w:rsid w:val="00642443"/>
    <w:rsid w:val="00643EA6"/>
    <w:rsid w:val="00650052"/>
    <w:rsid w:val="00653ACA"/>
    <w:rsid w:val="00662BC6"/>
    <w:rsid w:val="006654F5"/>
    <w:rsid w:val="006664F1"/>
    <w:rsid w:val="00666B8C"/>
    <w:rsid w:val="00667E17"/>
    <w:rsid w:val="00667F3C"/>
    <w:rsid w:val="00671738"/>
    <w:rsid w:val="00682031"/>
    <w:rsid w:val="00695EA6"/>
    <w:rsid w:val="0069796F"/>
    <w:rsid w:val="00697EA8"/>
    <w:rsid w:val="006A54F0"/>
    <w:rsid w:val="006A5792"/>
    <w:rsid w:val="006A5B83"/>
    <w:rsid w:val="006A7ED6"/>
    <w:rsid w:val="006C1737"/>
    <w:rsid w:val="006D000B"/>
    <w:rsid w:val="006D4C30"/>
    <w:rsid w:val="006E0B26"/>
    <w:rsid w:val="006E132C"/>
    <w:rsid w:val="006E6FAB"/>
    <w:rsid w:val="006F3683"/>
    <w:rsid w:val="006F453A"/>
    <w:rsid w:val="007048E9"/>
    <w:rsid w:val="00705FDD"/>
    <w:rsid w:val="00712FE1"/>
    <w:rsid w:val="00713E7B"/>
    <w:rsid w:val="00722967"/>
    <w:rsid w:val="007232E7"/>
    <w:rsid w:val="007306E8"/>
    <w:rsid w:val="00730CFD"/>
    <w:rsid w:val="00731831"/>
    <w:rsid w:val="00736B2C"/>
    <w:rsid w:val="00737DBA"/>
    <w:rsid w:val="007513EB"/>
    <w:rsid w:val="0075784E"/>
    <w:rsid w:val="00760C9D"/>
    <w:rsid w:val="007639E4"/>
    <w:rsid w:val="007641BD"/>
    <w:rsid w:val="007647F7"/>
    <w:rsid w:val="00765A65"/>
    <w:rsid w:val="007701E5"/>
    <w:rsid w:val="0077049D"/>
    <w:rsid w:val="00772D8D"/>
    <w:rsid w:val="00786E67"/>
    <w:rsid w:val="0079136E"/>
    <w:rsid w:val="007A1B49"/>
    <w:rsid w:val="007A37CC"/>
    <w:rsid w:val="007A4F65"/>
    <w:rsid w:val="007A601C"/>
    <w:rsid w:val="007B3A58"/>
    <w:rsid w:val="007B7787"/>
    <w:rsid w:val="007E541B"/>
    <w:rsid w:val="007E59D3"/>
    <w:rsid w:val="007F08DB"/>
    <w:rsid w:val="007F2F35"/>
    <w:rsid w:val="007F374C"/>
    <w:rsid w:val="00800F9F"/>
    <w:rsid w:val="0080278D"/>
    <w:rsid w:val="00811A0C"/>
    <w:rsid w:val="00820FD5"/>
    <w:rsid w:val="00821850"/>
    <w:rsid w:val="00830B78"/>
    <w:rsid w:val="0084421D"/>
    <w:rsid w:val="00846FEC"/>
    <w:rsid w:val="00862997"/>
    <w:rsid w:val="00862D93"/>
    <w:rsid w:val="00864246"/>
    <w:rsid w:val="008655A7"/>
    <w:rsid w:val="008661B0"/>
    <w:rsid w:val="008713E7"/>
    <w:rsid w:val="00871522"/>
    <w:rsid w:val="00874FEB"/>
    <w:rsid w:val="00883514"/>
    <w:rsid w:val="00894088"/>
    <w:rsid w:val="008A14B3"/>
    <w:rsid w:val="008A1CC3"/>
    <w:rsid w:val="008A2C1E"/>
    <w:rsid w:val="008B1EAC"/>
    <w:rsid w:val="008B3E0C"/>
    <w:rsid w:val="008B68DA"/>
    <w:rsid w:val="008B6937"/>
    <w:rsid w:val="008B7078"/>
    <w:rsid w:val="008B70EE"/>
    <w:rsid w:val="008C0010"/>
    <w:rsid w:val="008C4FB2"/>
    <w:rsid w:val="008C7B80"/>
    <w:rsid w:val="008D3570"/>
    <w:rsid w:val="008D59DC"/>
    <w:rsid w:val="008D6A53"/>
    <w:rsid w:val="008E1521"/>
    <w:rsid w:val="008E6B81"/>
    <w:rsid w:val="008F7482"/>
    <w:rsid w:val="009012A1"/>
    <w:rsid w:val="00902FB8"/>
    <w:rsid w:val="0093641A"/>
    <w:rsid w:val="009365AA"/>
    <w:rsid w:val="0094006C"/>
    <w:rsid w:val="00950850"/>
    <w:rsid w:val="00950A3E"/>
    <w:rsid w:val="00957230"/>
    <w:rsid w:val="00957C1F"/>
    <w:rsid w:val="00961632"/>
    <w:rsid w:val="0096336C"/>
    <w:rsid w:val="00965246"/>
    <w:rsid w:val="00965F80"/>
    <w:rsid w:val="009673B3"/>
    <w:rsid w:val="00973B7A"/>
    <w:rsid w:val="00974685"/>
    <w:rsid w:val="00974A1C"/>
    <w:rsid w:val="0097706A"/>
    <w:rsid w:val="0098183D"/>
    <w:rsid w:val="00981865"/>
    <w:rsid w:val="00990C81"/>
    <w:rsid w:val="00994C9A"/>
    <w:rsid w:val="009A02CF"/>
    <w:rsid w:val="009B3045"/>
    <w:rsid w:val="009B3403"/>
    <w:rsid w:val="009B47A9"/>
    <w:rsid w:val="009B7A17"/>
    <w:rsid w:val="009C4C70"/>
    <w:rsid w:val="009C5D51"/>
    <w:rsid w:val="009C71E1"/>
    <w:rsid w:val="009D0A52"/>
    <w:rsid w:val="009E03F9"/>
    <w:rsid w:val="009E3FF8"/>
    <w:rsid w:val="009F1BA6"/>
    <w:rsid w:val="009F5AA0"/>
    <w:rsid w:val="00A0170B"/>
    <w:rsid w:val="00A15B4B"/>
    <w:rsid w:val="00A15FEC"/>
    <w:rsid w:val="00A20118"/>
    <w:rsid w:val="00A2454A"/>
    <w:rsid w:val="00A2491E"/>
    <w:rsid w:val="00A26D26"/>
    <w:rsid w:val="00A4466A"/>
    <w:rsid w:val="00A46A20"/>
    <w:rsid w:val="00A538C0"/>
    <w:rsid w:val="00A54802"/>
    <w:rsid w:val="00A60FBF"/>
    <w:rsid w:val="00A62E24"/>
    <w:rsid w:val="00A65E09"/>
    <w:rsid w:val="00A66826"/>
    <w:rsid w:val="00A71681"/>
    <w:rsid w:val="00A727FF"/>
    <w:rsid w:val="00A76F7C"/>
    <w:rsid w:val="00A854BE"/>
    <w:rsid w:val="00A952CE"/>
    <w:rsid w:val="00A96B87"/>
    <w:rsid w:val="00AA2996"/>
    <w:rsid w:val="00AA30CD"/>
    <w:rsid w:val="00AA5974"/>
    <w:rsid w:val="00AA7B21"/>
    <w:rsid w:val="00AB08CB"/>
    <w:rsid w:val="00AB4353"/>
    <w:rsid w:val="00AB7496"/>
    <w:rsid w:val="00AC3065"/>
    <w:rsid w:val="00AC67B7"/>
    <w:rsid w:val="00AC75B2"/>
    <w:rsid w:val="00AD41B3"/>
    <w:rsid w:val="00AD6232"/>
    <w:rsid w:val="00AE08EE"/>
    <w:rsid w:val="00AE2D0A"/>
    <w:rsid w:val="00AF19E7"/>
    <w:rsid w:val="00AF46D6"/>
    <w:rsid w:val="00AF6EDF"/>
    <w:rsid w:val="00AF738A"/>
    <w:rsid w:val="00AF7B92"/>
    <w:rsid w:val="00B06B87"/>
    <w:rsid w:val="00B115D9"/>
    <w:rsid w:val="00B14FC1"/>
    <w:rsid w:val="00B32DF1"/>
    <w:rsid w:val="00B34B6E"/>
    <w:rsid w:val="00B36856"/>
    <w:rsid w:val="00B7152C"/>
    <w:rsid w:val="00B73878"/>
    <w:rsid w:val="00B74D60"/>
    <w:rsid w:val="00B7546F"/>
    <w:rsid w:val="00B75A15"/>
    <w:rsid w:val="00B80165"/>
    <w:rsid w:val="00B977F5"/>
    <w:rsid w:val="00BA0712"/>
    <w:rsid w:val="00BA0BA9"/>
    <w:rsid w:val="00BB0EDF"/>
    <w:rsid w:val="00BB162C"/>
    <w:rsid w:val="00BB2754"/>
    <w:rsid w:val="00BB3391"/>
    <w:rsid w:val="00BB55DF"/>
    <w:rsid w:val="00BC5330"/>
    <w:rsid w:val="00BC6542"/>
    <w:rsid w:val="00BC78C0"/>
    <w:rsid w:val="00BC7AB4"/>
    <w:rsid w:val="00BD27EB"/>
    <w:rsid w:val="00BD462A"/>
    <w:rsid w:val="00BD7E0E"/>
    <w:rsid w:val="00BE5651"/>
    <w:rsid w:val="00BE6D4A"/>
    <w:rsid w:val="00BF081C"/>
    <w:rsid w:val="00BF25BC"/>
    <w:rsid w:val="00BF4873"/>
    <w:rsid w:val="00C00605"/>
    <w:rsid w:val="00C02243"/>
    <w:rsid w:val="00C04D34"/>
    <w:rsid w:val="00C0509D"/>
    <w:rsid w:val="00C054C6"/>
    <w:rsid w:val="00C05CD8"/>
    <w:rsid w:val="00C06E3D"/>
    <w:rsid w:val="00C160CB"/>
    <w:rsid w:val="00C17CF7"/>
    <w:rsid w:val="00C23DE2"/>
    <w:rsid w:val="00C37621"/>
    <w:rsid w:val="00C44EAA"/>
    <w:rsid w:val="00C4567E"/>
    <w:rsid w:val="00C470B8"/>
    <w:rsid w:val="00C867D6"/>
    <w:rsid w:val="00C910EF"/>
    <w:rsid w:val="00C9246D"/>
    <w:rsid w:val="00CA00E6"/>
    <w:rsid w:val="00CA6BE9"/>
    <w:rsid w:val="00CB0CD7"/>
    <w:rsid w:val="00CB15A8"/>
    <w:rsid w:val="00CB56B8"/>
    <w:rsid w:val="00CC063C"/>
    <w:rsid w:val="00CC0F13"/>
    <w:rsid w:val="00CC1CB5"/>
    <w:rsid w:val="00CC4722"/>
    <w:rsid w:val="00CC50E6"/>
    <w:rsid w:val="00CC78BB"/>
    <w:rsid w:val="00CD3673"/>
    <w:rsid w:val="00CD5DDB"/>
    <w:rsid w:val="00CD6EF9"/>
    <w:rsid w:val="00CE0D8C"/>
    <w:rsid w:val="00CE5B10"/>
    <w:rsid w:val="00CE6C2A"/>
    <w:rsid w:val="00D12554"/>
    <w:rsid w:val="00D12A5F"/>
    <w:rsid w:val="00D13A32"/>
    <w:rsid w:val="00D16B46"/>
    <w:rsid w:val="00D22E6D"/>
    <w:rsid w:val="00D23469"/>
    <w:rsid w:val="00D36AA9"/>
    <w:rsid w:val="00D41F15"/>
    <w:rsid w:val="00D44B86"/>
    <w:rsid w:val="00D47662"/>
    <w:rsid w:val="00D54034"/>
    <w:rsid w:val="00D54853"/>
    <w:rsid w:val="00D60234"/>
    <w:rsid w:val="00D624B3"/>
    <w:rsid w:val="00D6298A"/>
    <w:rsid w:val="00D65517"/>
    <w:rsid w:val="00D655A2"/>
    <w:rsid w:val="00D668BB"/>
    <w:rsid w:val="00D74C03"/>
    <w:rsid w:val="00D83BEF"/>
    <w:rsid w:val="00D840A2"/>
    <w:rsid w:val="00D86718"/>
    <w:rsid w:val="00D87CC8"/>
    <w:rsid w:val="00D9261C"/>
    <w:rsid w:val="00D92771"/>
    <w:rsid w:val="00D94AB2"/>
    <w:rsid w:val="00DA4CC7"/>
    <w:rsid w:val="00DB058C"/>
    <w:rsid w:val="00DD350D"/>
    <w:rsid w:val="00DE49B9"/>
    <w:rsid w:val="00DE5463"/>
    <w:rsid w:val="00DF00BA"/>
    <w:rsid w:val="00DF08F3"/>
    <w:rsid w:val="00DF1006"/>
    <w:rsid w:val="00DF2457"/>
    <w:rsid w:val="00DF2874"/>
    <w:rsid w:val="00DF2A8D"/>
    <w:rsid w:val="00DF3694"/>
    <w:rsid w:val="00DF572D"/>
    <w:rsid w:val="00DF5D36"/>
    <w:rsid w:val="00E0165A"/>
    <w:rsid w:val="00E06D67"/>
    <w:rsid w:val="00E07467"/>
    <w:rsid w:val="00E07974"/>
    <w:rsid w:val="00E14B4D"/>
    <w:rsid w:val="00E210A1"/>
    <w:rsid w:val="00E23151"/>
    <w:rsid w:val="00E234A4"/>
    <w:rsid w:val="00E26727"/>
    <w:rsid w:val="00E30631"/>
    <w:rsid w:val="00E35AA4"/>
    <w:rsid w:val="00E364D5"/>
    <w:rsid w:val="00E426C5"/>
    <w:rsid w:val="00E434D6"/>
    <w:rsid w:val="00E4636D"/>
    <w:rsid w:val="00E468D6"/>
    <w:rsid w:val="00E508ED"/>
    <w:rsid w:val="00E51022"/>
    <w:rsid w:val="00E6119C"/>
    <w:rsid w:val="00E64272"/>
    <w:rsid w:val="00E64E8D"/>
    <w:rsid w:val="00E66ADF"/>
    <w:rsid w:val="00E74A95"/>
    <w:rsid w:val="00E74E62"/>
    <w:rsid w:val="00E77FBF"/>
    <w:rsid w:val="00E837EE"/>
    <w:rsid w:val="00E870C8"/>
    <w:rsid w:val="00E92011"/>
    <w:rsid w:val="00E938D0"/>
    <w:rsid w:val="00E95302"/>
    <w:rsid w:val="00E95C9F"/>
    <w:rsid w:val="00E96D4A"/>
    <w:rsid w:val="00EA7E7E"/>
    <w:rsid w:val="00EB03A4"/>
    <w:rsid w:val="00EB3949"/>
    <w:rsid w:val="00EB789F"/>
    <w:rsid w:val="00EC1E16"/>
    <w:rsid w:val="00EC4C91"/>
    <w:rsid w:val="00EC59B1"/>
    <w:rsid w:val="00EC5E52"/>
    <w:rsid w:val="00EC656D"/>
    <w:rsid w:val="00EC7623"/>
    <w:rsid w:val="00EC7CA9"/>
    <w:rsid w:val="00EC7FC7"/>
    <w:rsid w:val="00ED7DC8"/>
    <w:rsid w:val="00EE12DA"/>
    <w:rsid w:val="00EE4037"/>
    <w:rsid w:val="00EF6338"/>
    <w:rsid w:val="00EF6B38"/>
    <w:rsid w:val="00F02932"/>
    <w:rsid w:val="00F203C3"/>
    <w:rsid w:val="00F24388"/>
    <w:rsid w:val="00F24CDC"/>
    <w:rsid w:val="00F31916"/>
    <w:rsid w:val="00F3354A"/>
    <w:rsid w:val="00F339B9"/>
    <w:rsid w:val="00F4446F"/>
    <w:rsid w:val="00F51A23"/>
    <w:rsid w:val="00F530F3"/>
    <w:rsid w:val="00F55C36"/>
    <w:rsid w:val="00F65185"/>
    <w:rsid w:val="00F6521F"/>
    <w:rsid w:val="00F66E3F"/>
    <w:rsid w:val="00F723F2"/>
    <w:rsid w:val="00F73389"/>
    <w:rsid w:val="00F77762"/>
    <w:rsid w:val="00F80112"/>
    <w:rsid w:val="00F86CEC"/>
    <w:rsid w:val="00F905EC"/>
    <w:rsid w:val="00F9635D"/>
    <w:rsid w:val="00FA37FB"/>
    <w:rsid w:val="00FA3A92"/>
    <w:rsid w:val="00FA45A3"/>
    <w:rsid w:val="00FB3E62"/>
    <w:rsid w:val="00FC078C"/>
    <w:rsid w:val="00FC0FB9"/>
    <w:rsid w:val="00FC1A6E"/>
    <w:rsid w:val="00FC3E3F"/>
    <w:rsid w:val="00FC5809"/>
    <w:rsid w:val="00FD0038"/>
    <w:rsid w:val="00FD0829"/>
    <w:rsid w:val="00FE0285"/>
    <w:rsid w:val="00FE03AA"/>
    <w:rsid w:val="00FE632C"/>
    <w:rsid w:val="00FF3621"/>
    <w:rsid w:val="00FF3653"/>
    <w:rsid w:val="02D00181"/>
    <w:rsid w:val="04AB542C"/>
    <w:rsid w:val="079601D3"/>
    <w:rsid w:val="0D8C5798"/>
    <w:rsid w:val="0E5E6BD3"/>
    <w:rsid w:val="1C1D3591"/>
    <w:rsid w:val="1CC57360"/>
    <w:rsid w:val="1F4515C4"/>
    <w:rsid w:val="231E1072"/>
    <w:rsid w:val="26265313"/>
    <w:rsid w:val="29D949CA"/>
    <w:rsid w:val="2F6B001E"/>
    <w:rsid w:val="31F031A4"/>
    <w:rsid w:val="341E6387"/>
    <w:rsid w:val="351C4293"/>
    <w:rsid w:val="47A54573"/>
    <w:rsid w:val="4DAC6905"/>
    <w:rsid w:val="4DDB5B5A"/>
    <w:rsid w:val="559477F6"/>
    <w:rsid w:val="5E0F7E5F"/>
    <w:rsid w:val="66556D80"/>
    <w:rsid w:val="6CEB1379"/>
    <w:rsid w:val="6D59761A"/>
    <w:rsid w:val="77924D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iPriority="0"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paragraph" w:styleId="4">
    <w:name w:val="heading 1"/>
    <w:basedOn w:val="1"/>
    <w:next w:val="1"/>
    <w:link w:val="26"/>
    <w:qFormat/>
    <w:uiPriority w:val="0"/>
    <w:pPr>
      <w:keepNext/>
      <w:keepLines/>
      <w:spacing w:before="340" w:after="330" w:line="578" w:lineRule="auto"/>
      <w:outlineLvl w:val="0"/>
    </w:pPr>
    <w:rPr>
      <w:b/>
      <w:bCs/>
      <w:kern w:val="44"/>
      <w:sz w:val="44"/>
      <w:szCs w:val="44"/>
      <w:lang w:val="zh-CN" w:eastAsia="zh-CN"/>
    </w:rPr>
  </w:style>
  <w:style w:type="paragraph" w:styleId="5">
    <w:name w:val="heading 2"/>
    <w:basedOn w:val="1"/>
    <w:next w:val="1"/>
    <w:link w:val="27"/>
    <w:qFormat/>
    <w:uiPriority w:val="0"/>
    <w:pPr>
      <w:keepNext/>
      <w:keepLines/>
      <w:spacing w:before="260" w:after="260" w:line="416" w:lineRule="auto"/>
      <w:outlineLvl w:val="1"/>
    </w:pPr>
    <w:rPr>
      <w:rFonts w:ascii="Arial" w:hAnsi="Arial" w:eastAsia="黑体"/>
      <w:b/>
      <w:bCs/>
      <w:szCs w:val="32"/>
      <w:lang w:val="zh-CN" w:eastAsia="zh-CN"/>
    </w:rPr>
  </w:style>
  <w:style w:type="paragraph" w:styleId="6">
    <w:name w:val="heading 3"/>
    <w:basedOn w:val="1"/>
    <w:next w:val="1"/>
    <w:link w:val="28"/>
    <w:unhideWhenUsed/>
    <w:qFormat/>
    <w:uiPriority w:val="0"/>
    <w:pPr>
      <w:keepNext/>
      <w:keepLines/>
      <w:spacing w:before="260" w:after="260" w:line="416" w:lineRule="auto"/>
      <w:outlineLvl w:val="2"/>
    </w:pPr>
    <w:rPr>
      <w:b/>
      <w:bCs/>
      <w:szCs w:val="32"/>
      <w:lang w:val="zh-CN" w:eastAsia="zh-CN"/>
    </w:rPr>
  </w:style>
  <w:style w:type="paragraph" w:styleId="7">
    <w:name w:val="heading 5"/>
    <w:basedOn w:val="1"/>
    <w:next w:val="1"/>
    <w:link w:val="29"/>
    <w:qFormat/>
    <w:uiPriority w:val="0"/>
    <w:pPr>
      <w:keepNext/>
      <w:keepLines/>
      <w:spacing w:before="280" w:after="290" w:line="374" w:lineRule="auto"/>
      <w:ind w:left="1008" w:leftChars="1" w:right="25" w:rightChars="12" w:hanging="1008"/>
      <w:outlineLvl w:val="4"/>
    </w:pPr>
    <w:rPr>
      <w:rFonts w:ascii="Calibri" w:hAnsi="Calibri" w:eastAsia="宋体"/>
      <w:b/>
      <w:bCs/>
      <w:kern w:val="0"/>
      <w:sz w:val="28"/>
      <w:szCs w:val="28"/>
      <w:lang w:val="zh-CN" w:eastAsia="zh-CN"/>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rPr>
      <w:rFonts w:cs="Times New Roman"/>
      <w:kern w:val="0"/>
      <w:sz w:val="24"/>
      <w:szCs w:val="24"/>
    </w:rPr>
  </w:style>
  <w:style w:type="paragraph" w:customStyle="1" w:styleId="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8">
    <w:name w:val="Document Map"/>
    <w:basedOn w:val="1"/>
    <w:link w:val="42"/>
    <w:qFormat/>
    <w:uiPriority w:val="0"/>
    <w:pPr>
      <w:shd w:val="clear" w:color="auto" w:fill="000080"/>
      <w:spacing w:line="400" w:lineRule="exact"/>
    </w:pPr>
    <w:rPr>
      <w:rFonts w:eastAsia="宋体"/>
      <w:kern w:val="0"/>
      <w:sz w:val="24"/>
      <w:szCs w:val="24"/>
      <w:lang w:val="zh-CN" w:eastAsia="zh-CN"/>
    </w:rPr>
  </w:style>
  <w:style w:type="paragraph" w:styleId="9">
    <w:name w:val="annotation text"/>
    <w:basedOn w:val="1"/>
    <w:semiHidden/>
    <w:qFormat/>
    <w:uiPriority w:val="0"/>
    <w:pPr>
      <w:jc w:val="left"/>
    </w:pPr>
  </w:style>
  <w:style w:type="paragraph" w:styleId="10">
    <w:name w:val="Body Text Indent"/>
    <w:basedOn w:val="1"/>
    <w:link w:val="32"/>
    <w:qFormat/>
    <w:uiPriority w:val="0"/>
    <w:pPr>
      <w:ind w:firstLine="420" w:firstLineChars="200"/>
    </w:pPr>
    <w:rPr>
      <w:rFonts w:eastAsia="宋体"/>
      <w:sz w:val="21"/>
      <w:szCs w:val="24"/>
      <w:lang w:val="zh-CN" w:eastAsia="zh-CN"/>
    </w:rPr>
  </w:style>
  <w:style w:type="paragraph" w:styleId="11">
    <w:name w:val="Date"/>
    <w:basedOn w:val="1"/>
    <w:next w:val="1"/>
    <w:link w:val="33"/>
    <w:qFormat/>
    <w:uiPriority w:val="0"/>
    <w:pPr>
      <w:ind w:left="100" w:leftChars="2500"/>
    </w:pPr>
    <w:rPr>
      <w:rFonts w:eastAsia="宋体"/>
      <w:sz w:val="21"/>
      <w:szCs w:val="24"/>
      <w:lang w:val="zh-CN" w:eastAsia="zh-CN"/>
    </w:rPr>
  </w:style>
  <w:style w:type="paragraph" w:styleId="12">
    <w:name w:val="Balloon Text"/>
    <w:basedOn w:val="1"/>
    <w:link w:val="34"/>
    <w:qFormat/>
    <w:uiPriority w:val="0"/>
    <w:rPr>
      <w:sz w:val="18"/>
      <w:szCs w:val="18"/>
      <w:lang w:val="zh-CN" w:eastAsia="zh-CN"/>
    </w:rPr>
  </w:style>
  <w:style w:type="paragraph" w:styleId="13">
    <w:name w:val="footer"/>
    <w:basedOn w:val="1"/>
    <w:link w:val="31"/>
    <w:qFormat/>
    <w:uiPriority w:val="0"/>
    <w:pPr>
      <w:tabs>
        <w:tab w:val="center" w:pos="4153"/>
        <w:tab w:val="right" w:pos="8306"/>
      </w:tabs>
      <w:snapToGrid w:val="0"/>
      <w:jc w:val="left"/>
    </w:pPr>
    <w:rPr>
      <w:sz w:val="18"/>
      <w:szCs w:val="18"/>
      <w:lang w:val="zh-CN" w:eastAsia="zh-CN"/>
    </w:rPr>
  </w:style>
  <w:style w:type="paragraph" w:styleId="14">
    <w:name w:val="header"/>
    <w:basedOn w:val="1"/>
    <w:link w:val="30"/>
    <w:qFormat/>
    <w:uiPriority w:val="99"/>
    <w:pPr>
      <w:pBdr>
        <w:bottom w:val="single" w:color="auto" w:sz="6" w:space="1"/>
      </w:pBdr>
      <w:tabs>
        <w:tab w:val="center" w:pos="4153"/>
        <w:tab w:val="right" w:pos="8306"/>
      </w:tabs>
      <w:snapToGrid w:val="0"/>
      <w:jc w:val="center"/>
    </w:pPr>
    <w:rPr>
      <w:sz w:val="18"/>
      <w:szCs w:val="18"/>
      <w:lang w:val="zh-CN" w:eastAsia="zh-CN"/>
    </w:rPr>
  </w:style>
  <w:style w:type="paragraph" w:styleId="15">
    <w:name w:val="Body Text Indent 3"/>
    <w:basedOn w:val="1"/>
    <w:link w:val="43"/>
    <w:qFormat/>
    <w:uiPriority w:val="0"/>
    <w:pPr>
      <w:spacing w:line="300" w:lineRule="auto"/>
      <w:ind w:firstLine="435"/>
    </w:pPr>
    <w:rPr>
      <w:rFonts w:ascii="楷体_GB2312"/>
      <w:sz w:val="24"/>
      <w:szCs w:val="24"/>
      <w:lang w:val="zh-CN" w:eastAsia="zh-CN"/>
    </w:rPr>
  </w:style>
  <w:style w:type="paragraph" w:styleId="16">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Title"/>
    <w:basedOn w:val="1"/>
    <w:next w:val="1"/>
    <w:link w:val="59"/>
    <w:qFormat/>
    <w:uiPriority w:val="0"/>
    <w:pPr>
      <w:spacing w:before="240" w:after="60"/>
      <w:jc w:val="center"/>
      <w:outlineLvl w:val="0"/>
    </w:pPr>
    <w:rPr>
      <w:rFonts w:ascii="等线 Light" w:hAnsi="等线 Light" w:eastAsia="宋体"/>
      <w:b/>
      <w:bCs/>
      <w:szCs w:val="32"/>
    </w:rPr>
  </w:style>
  <w:style w:type="paragraph" w:styleId="18">
    <w:name w:val="annotation subject"/>
    <w:basedOn w:val="9"/>
    <w:next w:val="9"/>
    <w:semiHidden/>
    <w:qFormat/>
    <w:uiPriority w:val="0"/>
    <w:rPr>
      <w:b/>
      <w:bCs/>
    </w:rPr>
  </w:style>
  <w:style w:type="table" w:styleId="20">
    <w:name w:val="Table Grid"/>
    <w:basedOn w:val="19"/>
    <w:qFormat/>
    <w:uiPriority w:val="5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b/>
      <w:bCs/>
    </w:rPr>
  </w:style>
  <w:style w:type="character" w:styleId="23">
    <w:name w:val="page number"/>
    <w:basedOn w:val="21"/>
    <w:qFormat/>
    <w:uiPriority w:val="0"/>
  </w:style>
  <w:style w:type="character" w:styleId="24">
    <w:name w:val="Hyperlink"/>
    <w:unhideWhenUsed/>
    <w:qFormat/>
    <w:uiPriority w:val="0"/>
    <w:rPr>
      <w:color w:val="0000FF"/>
      <w:u w:val="single"/>
    </w:rPr>
  </w:style>
  <w:style w:type="character" w:styleId="25">
    <w:name w:val="annotation reference"/>
    <w:semiHidden/>
    <w:qFormat/>
    <w:uiPriority w:val="0"/>
    <w:rPr>
      <w:sz w:val="21"/>
      <w:szCs w:val="21"/>
    </w:rPr>
  </w:style>
  <w:style w:type="character" w:customStyle="1" w:styleId="26">
    <w:name w:val="标题 1 字符"/>
    <w:link w:val="4"/>
    <w:qFormat/>
    <w:uiPriority w:val="0"/>
    <w:rPr>
      <w:rFonts w:eastAsia="仿宋_GB2312"/>
      <w:b/>
      <w:bCs/>
      <w:kern w:val="44"/>
      <w:sz w:val="44"/>
      <w:szCs w:val="44"/>
    </w:rPr>
  </w:style>
  <w:style w:type="character" w:customStyle="1" w:styleId="27">
    <w:name w:val="标题 2 字符"/>
    <w:link w:val="5"/>
    <w:qFormat/>
    <w:uiPriority w:val="0"/>
    <w:rPr>
      <w:rFonts w:ascii="Arial" w:hAnsi="Arial" w:eastAsia="黑体"/>
      <w:b/>
      <w:bCs/>
      <w:kern w:val="2"/>
      <w:sz w:val="32"/>
      <w:szCs w:val="32"/>
    </w:rPr>
  </w:style>
  <w:style w:type="character" w:customStyle="1" w:styleId="28">
    <w:name w:val="标题 3 字符"/>
    <w:link w:val="6"/>
    <w:qFormat/>
    <w:uiPriority w:val="0"/>
    <w:rPr>
      <w:rFonts w:eastAsia="仿宋_GB2312"/>
      <w:b/>
      <w:bCs/>
      <w:kern w:val="2"/>
      <w:sz w:val="32"/>
      <w:szCs w:val="32"/>
    </w:rPr>
  </w:style>
  <w:style w:type="character" w:customStyle="1" w:styleId="29">
    <w:name w:val="标题 5 字符"/>
    <w:link w:val="7"/>
    <w:qFormat/>
    <w:uiPriority w:val="0"/>
    <w:rPr>
      <w:rFonts w:ascii="Calibri" w:hAnsi="Calibri"/>
      <w:b/>
      <w:bCs/>
      <w:sz w:val="28"/>
      <w:szCs w:val="28"/>
    </w:rPr>
  </w:style>
  <w:style w:type="character" w:customStyle="1" w:styleId="30">
    <w:name w:val="页眉 字符"/>
    <w:link w:val="14"/>
    <w:qFormat/>
    <w:uiPriority w:val="99"/>
    <w:rPr>
      <w:rFonts w:eastAsia="仿宋_GB2312"/>
      <w:kern w:val="2"/>
      <w:sz w:val="18"/>
      <w:szCs w:val="18"/>
    </w:rPr>
  </w:style>
  <w:style w:type="character" w:customStyle="1" w:styleId="31">
    <w:name w:val="页脚 字符"/>
    <w:link w:val="13"/>
    <w:qFormat/>
    <w:uiPriority w:val="0"/>
    <w:rPr>
      <w:rFonts w:eastAsia="仿宋_GB2312"/>
      <w:kern w:val="2"/>
      <w:sz w:val="18"/>
      <w:szCs w:val="18"/>
    </w:rPr>
  </w:style>
  <w:style w:type="character" w:customStyle="1" w:styleId="32">
    <w:name w:val="正文文本缩进 字符"/>
    <w:link w:val="10"/>
    <w:qFormat/>
    <w:uiPriority w:val="0"/>
    <w:rPr>
      <w:kern w:val="2"/>
      <w:sz w:val="21"/>
      <w:szCs w:val="24"/>
    </w:rPr>
  </w:style>
  <w:style w:type="character" w:customStyle="1" w:styleId="33">
    <w:name w:val="日期 字符"/>
    <w:link w:val="11"/>
    <w:qFormat/>
    <w:uiPriority w:val="0"/>
    <w:rPr>
      <w:kern w:val="2"/>
      <w:sz w:val="21"/>
      <w:szCs w:val="24"/>
    </w:rPr>
  </w:style>
  <w:style w:type="character" w:customStyle="1" w:styleId="34">
    <w:name w:val="批注框文本 字符"/>
    <w:link w:val="12"/>
    <w:qFormat/>
    <w:uiPriority w:val="0"/>
    <w:rPr>
      <w:rFonts w:eastAsia="仿宋_GB2312"/>
      <w:kern w:val="2"/>
      <w:sz w:val="18"/>
      <w:szCs w:val="18"/>
    </w:rPr>
  </w:style>
  <w:style w:type="paragraph" w:customStyle="1" w:styleId="35">
    <w:name w:val="列出段落1"/>
    <w:basedOn w:val="1"/>
    <w:qFormat/>
    <w:uiPriority w:val="34"/>
    <w:pPr>
      <w:spacing w:line="400" w:lineRule="exact"/>
      <w:ind w:firstLine="420" w:firstLineChars="200"/>
    </w:pPr>
    <w:rPr>
      <w:rFonts w:eastAsia="宋体"/>
      <w:sz w:val="24"/>
      <w:szCs w:val="24"/>
    </w:rPr>
  </w:style>
  <w:style w:type="character" w:customStyle="1" w:styleId="36">
    <w:name w:val="已访问的超链接1"/>
    <w:qFormat/>
    <w:uiPriority w:val="0"/>
    <w:rPr>
      <w:color w:val="800080"/>
      <w:u w:val="single"/>
    </w:rPr>
  </w:style>
  <w:style w:type="character" w:customStyle="1" w:styleId="37">
    <w:name w:val="条文说明 Char"/>
    <w:link w:val="38"/>
    <w:qFormat/>
    <w:uiPriority w:val="0"/>
    <w:rPr>
      <w:sz w:val="24"/>
      <w:szCs w:val="24"/>
      <w:lang w:val="zh-CN"/>
    </w:rPr>
  </w:style>
  <w:style w:type="paragraph" w:customStyle="1" w:styleId="38">
    <w:name w:val="条文说明"/>
    <w:basedOn w:val="1"/>
    <w:link w:val="37"/>
    <w:qFormat/>
    <w:uiPriority w:val="0"/>
    <w:pPr>
      <w:autoSpaceDE w:val="0"/>
      <w:autoSpaceDN w:val="0"/>
      <w:adjustRightInd w:val="0"/>
      <w:spacing w:line="400" w:lineRule="exact"/>
      <w:ind w:firstLine="200" w:firstLineChars="200"/>
    </w:pPr>
    <w:rPr>
      <w:rFonts w:eastAsia="宋体"/>
      <w:kern w:val="0"/>
      <w:sz w:val="24"/>
      <w:szCs w:val="24"/>
      <w:lang w:val="zh-CN" w:eastAsia="zh-CN"/>
    </w:rPr>
  </w:style>
  <w:style w:type="character" w:customStyle="1" w:styleId="39">
    <w:name w:val="表标题 Char Char"/>
    <w:link w:val="40"/>
    <w:qFormat/>
    <w:uiPriority w:val="0"/>
    <w:rPr>
      <w:rFonts w:eastAsia="黑体"/>
      <w:szCs w:val="21"/>
    </w:rPr>
  </w:style>
  <w:style w:type="paragraph" w:customStyle="1" w:styleId="40">
    <w:name w:val="表标题"/>
    <w:basedOn w:val="1"/>
    <w:link w:val="39"/>
    <w:qFormat/>
    <w:uiPriority w:val="0"/>
    <w:pPr>
      <w:spacing w:line="480" w:lineRule="auto"/>
      <w:jc w:val="center"/>
    </w:pPr>
    <w:rPr>
      <w:rFonts w:eastAsia="黑体"/>
      <w:kern w:val="0"/>
      <w:sz w:val="20"/>
      <w:szCs w:val="21"/>
      <w:lang w:val="zh-CN" w:eastAsia="zh-CN"/>
    </w:rPr>
  </w:style>
  <w:style w:type="character" w:customStyle="1" w:styleId="41">
    <w:name w:val="title1"/>
    <w:qFormat/>
    <w:uiPriority w:val="0"/>
    <w:rPr>
      <w:b/>
      <w:bCs/>
      <w:sz w:val="23"/>
      <w:szCs w:val="23"/>
    </w:rPr>
  </w:style>
  <w:style w:type="character" w:customStyle="1" w:styleId="42">
    <w:name w:val="文档结构图 字符"/>
    <w:link w:val="8"/>
    <w:qFormat/>
    <w:uiPriority w:val="0"/>
    <w:rPr>
      <w:sz w:val="24"/>
      <w:szCs w:val="24"/>
      <w:shd w:val="clear" w:color="auto" w:fill="000080"/>
    </w:rPr>
  </w:style>
  <w:style w:type="character" w:customStyle="1" w:styleId="43">
    <w:name w:val="正文文本缩进 3 字符"/>
    <w:link w:val="15"/>
    <w:qFormat/>
    <w:uiPriority w:val="0"/>
    <w:rPr>
      <w:rFonts w:ascii="楷体_GB2312" w:eastAsia="仿宋_GB2312"/>
      <w:kern w:val="2"/>
      <w:sz w:val="24"/>
      <w:szCs w:val="24"/>
    </w:rPr>
  </w:style>
  <w:style w:type="paragraph" w:customStyle="1" w:styleId="44">
    <w:name w:val="表格文字"/>
    <w:basedOn w:val="1"/>
    <w:qFormat/>
    <w:uiPriority w:val="0"/>
    <w:pPr>
      <w:widowControl/>
      <w:jc w:val="center"/>
    </w:pPr>
    <w:rPr>
      <w:rFonts w:eastAsia="宋体" w:cs="宋体"/>
      <w:bCs/>
      <w:color w:val="000000"/>
      <w:kern w:val="0"/>
      <w:sz w:val="21"/>
      <w:szCs w:val="21"/>
    </w:rPr>
  </w:style>
  <w:style w:type="paragraph" w:customStyle="1" w:styleId="45">
    <w:name w:val="_Style 2"/>
    <w:basedOn w:val="1"/>
    <w:qFormat/>
    <w:uiPriority w:val="0"/>
    <w:pPr>
      <w:ind w:firstLine="420" w:firstLineChars="200"/>
    </w:pPr>
    <w:rPr>
      <w:rFonts w:eastAsia="仿宋"/>
      <w:sz w:val="28"/>
      <w:szCs w:val="28"/>
    </w:rPr>
  </w:style>
  <w:style w:type="paragraph" w:customStyle="1" w:styleId="46">
    <w:name w:val="图表名"/>
    <w:basedOn w:val="1"/>
    <w:qFormat/>
    <w:uiPriority w:val="0"/>
    <w:pPr>
      <w:spacing w:line="360" w:lineRule="auto"/>
      <w:jc w:val="center"/>
    </w:pPr>
    <w:rPr>
      <w:rFonts w:eastAsia="宋体"/>
      <w:sz w:val="21"/>
      <w:szCs w:val="24"/>
    </w:rPr>
  </w:style>
  <w:style w:type="paragraph" w:customStyle="1" w:styleId="47">
    <w:name w:val="图名称"/>
    <w:basedOn w:val="1"/>
    <w:qFormat/>
    <w:uiPriority w:val="0"/>
    <w:pPr>
      <w:widowControl/>
      <w:spacing w:beforeLines="50" w:afterLines="50"/>
      <w:jc w:val="center"/>
    </w:pPr>
    <w:rPr>
      <w:rFonts w:eastAsia="宋体"/>
      <w:bCs/>
      <w:color w:val="000000"/>
      <w:kern w:val="0"/>
      <w:sz w:val="21"/>
      <w:szCs w:val="21"/>
    </w:rPr>
  </w:style>
  <w:style w:type="paragraph" w:customStyle="1" w:styleId="48">
    <w:name w:val="列出段落2"/>
    <w:basedOn w:val="1"/>
    <w:qFormat/>
    <w:uiPriority w:val="0"/>
    <w:pPr>
      <w:ind w:firstLine="420" w:firstLineChars="200"/>
    </w:pPr>
    <w:rPr>
      <w:rFonts w:eastAsia="仿宋"/>
      <w:sz w:val="28"/>
      <w:szCs w:val="28"/>
    </w:rPr>
  </w:style>
  <w:style w:type="paragraph" w:customStyle="1" w:styleId="49">
    <w:name w:val="列出段落11"/>
    <w:basedOn w:val="1"/>
    <w:qFormat/>
    <w:uiPriority w:val="0"/>
    <w:pPr>
      <w:ind w:firstLine="420" w:firstLineChars="200"/>
    </w:pPr>
    <w:rPr>
      <w:rFonts w:eastAsia="仿宋"/>
      <w:sz w:val="28"/>
      <w:szCs w:val="28"/>
    </w:rPr>
  </w:style>
  <w:style w:type="paragraph" w:styleId="50">
    <w:name w:val="No Spacing"/>
    <w:qFormat/>
    <w:uiPriority w:val="0"/>
    <w:pPr>
      <w:widowControl w:val="0"/>
      <w:jc w:val="both"/>
    </w:pPr>
    <w:rPr>
      <w:rFonts w:ascii="Times New Roman" w:hAnsi="Times New Roman" w:eastAsia="宋体" w:cs="Times New Roman"/>
      <w:kern w:val="2"/>
      <w:sz w:val="24"/>
      <w:szCs w:val="24"/>
      <w:lang w:val="en-US" w:eastAsia="zh-CN" w:bidi="ar-SA"/>
    </w:rPr>
  </w:style>
  <w:style w:type="paragraph" w:customStyle="1" w:styleId="51">
    <w:name w:val="图表注"/>
    <w:basedOn w:val="1"/>
    <w:qFormat/>
    <w:uiPriority w:val="0"/>
    <w:rPr>
      <w:rFonts w:eastAsia="宋体"/>
      <w:sz w:val="18"/>
      <w:szCs w:val="24"/>
    </w:rPr>
  </w:style>
  <w:style w:type="paragraph" w:customStyle="1" w:styleId="52">
    <w:name w:val="图小注"/>
    <w:basedOn w:val="51"/>
    <w:qFormat/>
    <w:uiPriority w:val="0"/>
    <w:pPr>
      <w:widowControl/>
      <w:jc w:val="center"/>
    </w:pPr>
  </w:style>
  <w:style w:type="paragraph" w:customStyle="1" w:styleId="53">
    <w:name w:val="样式1"/>
    <w:basedOn w:val="1"/>
    <w:qFormat/>
    <w:uiPriority w:val="0"/>
    <w:pPr>
      <w:adjustRightInd w:val="0"/>
      <w:spacing w:line="400" w:lineRule="exact"/>
      <w:ind w:firstLine="200" w:firstLineChars="200"/>
    </w:pPr>
    <w:rPr>
      <w:rFonts w:eastAsia="宋体"/>
      <w:sz w:val="24"/>
      <w:szCs w:val="24"/>
    </w:rPr>
  </w:style>
  <w:style w:type="paragraph" w:customStyle="1" w:styleId="54">
    <w:name w:val="正文缩进2字符"/>
    <w:basedOn w:val="1"/>
    <w:qFormat/>
    <w:uiPriority w:val="0"/>
    <w:pPr>
      <w:spacing w:line="400" w:lineRule="exact"/>
      <w:ind w:firstLine="200" w:firstLineChars="200"/>
    </w:pPr>
    <w:rPr>
      <w:rFonts w:eastAsia="宋体"/>
      <w:sz w:val="24"/>
      <w:szCs w:val="24"/>
    </w:rPr>
  </w:style>
  <w:style w:type="paragraph" w:customStyle="1" w:styleId="55">
    <w:name w:val="列出段落3"/>
    <w:basedOn w:val="1"/>
    <w:qFormat/>
    <w:uiPriority w:val="0"/>
    <w:pPr>
      <w:spacing w:line="400" w:lineRule="exact"/>
      <w:ind w:firstLine="420" w:firstLineChars="200"/>
    </w:pPr>
    <w:rPr>
      <w:rFonts w:eastAsia="宋体"/>
      <w:sz w:val="24"/>
      <w:szCs w:val="24"/>
    </w:rPr>
  </w:style>
  <w:style w:type="paragraph" w:customStyle="1" w:styleId="56">
    <w:name w:val="目录 21"/>
    <w:basedOn w:val="1"/>
    <w:next w:val="1"/>
    <w:qFormat/>
    <w:uiPriority w:val="0"/>
    <w:pPr>
      <w:spacing w:line="400" w:lineRule="exact"/>
      <w:ind w:left="420" w:leftChars="200"/>
    </w:pPr>
    <w:rPr>
      <w:rFonts w:eastAsia="宋体"/>
      <w:sz w:val="24"/>
      <w:szCs w:val="24"/>
    </w:rPr>
  </w:style>
  <w:style w:type="character" w:customStyle="1" w:styleId="57">
    <w:name w:val="文档结构图 Char1"/>
    <w:qFormat/>
    <w:uiPriority w:val="99"/>
    <w:rPr>
      <w:rFonts w:ascii="宋体"/>
      <w:kern w:val="2"/>
      <w:sz w:val="18"/>
      <w:szCs w:val="18"/>
    </w:rPr>
  </w:style>
  <w:style w:type="paragraph" w:customStyle="1" w:styleId="58">
    <w:name w:val="目录 11"/>
    <w:basedOn w:val="1"/>
    <w:next w:val="1"/>
    <w:qFormat/>
    <w:uiPriority w:val="0"/>
    <w:pPr>
      <w:tabs>
        <w:tab w:val="right" w:leader="dot" w:pos="8296"/>
      </w:tabs>
      <w:adjustRightInd w:val="0"/>
      <w:snapToGrid w:val="0"/>
      <w:jc w:val="center"/>
    </w:pPr>
    <w:rPr>
      <w:rFonts w:eastAsia="宋体"/>
      <w:sz w:val="24"/>
      <w:szCs w:val="24"/>
    </w:rPr>
  </w:style>
  <w:style w:type="character" w:customStyle="1" w:styleId="59">
    <w:name w:val="标题 字符"/>
    <w:link w:val="17"/>
    <w:qFormat/>
    <w:uiPriority w:val="0"/>
    <w:rPr>
      <w:rFonts w:ascii="等线 Light" w:hAnsi="等线 Light" w:cs="Times New Roman"/>
      <w:b/>
      <w:bCs/>
      <w:kern w:val="2"/>
      <w:sz w:val="32"/>
      <w:szCs w:val="32"/>
    </w:rPr>
  </w:style>
  <w:style w:type="character" w:customStyle="1" w:styleId="60">
    <w:name w:val="未处理的提及1"/>
    <w:semiHidden/>
    <w:unhideWhenUsed/>
    <w:qFormat/>
    <w:uiPriority w:val="99"/>
    <w:rPr>
      <w:color w:val="605E5C"/>
      <w:shd w:val="clear" w:color="auto" w:fill="E1DFDD"/>
    </w:rPr>
  </w:style>
  <w:style w:type="paragraph" w:customStyle="1" w:styleId="61">
    <w:name w:val="Revision"/>
    <w:hidden/>
    <w:semiHidden/>
    <w:qFormat/>
    <w:uiPriority w:val="99"/>
    <w:rPr>
      <w:rFonts w:ascii="Times New Roman" w:hAnsi="Times New Roman" w:eastAsia="仿宋_GB2312" w:cs="Times New Roman"/>
      <w:kern w:val="2"/>
      <w:sz w:val="32"/>
      <w:lang w:val="en-US" w:eastAsia="zh-CN" w:bidi="ar-SA"/>
    </w:rPr>
  </w:style>
  <w:style w:type="character" w:customStyle="1" w:styleId="62">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7A03A-A1B9-439D-BF23-0C1C12096374}">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113</Pages>
  <Words>9950</Words>
  <Characters>10376</Characters>
  <Lines>501</Lines>
  <Paragraphs>141</Paragraphs>
  <TotalTime>4</TotalTime>
  <ScaleCrop>false</ScaleCrop>
  <LinksUpToDate>false</LinksUpToDate>
  <CharactersWithSpaces>10867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2020-04-14T06:51:00Z</dcterms:created>
  <dc:creator>微软用户</dc:creator>
  <cp:lastModifiedBy>jh</cp:lastModifiedBy>
  <cp:lastPrinted>2018-12-04T01:52:00Z</cp:lastPrinted>
  <dcterms:modified xsi:type="dcterms:W3CDTF">2025-02-17T01:29:36Z</dcterms:modified>
  <dc:title>附件：    河北省安全文明工地评审办法</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95D72F20A4D04BA9AC631E47AA2B2F35</vt:lpwstr>
  </property>
  <property fmtid="{D5CDD505-2E9C-101B-9397-08002B2CF9AE}" pid="4" name="KSOTemplateDocerSaveRecord">
    <vt:lpwstr>eyJoZGlkIjoiMzJlMmY2MDdhMmUwYzhhMDdjOThiMjZjYjVkZDIwYzYiLCJ1c2VySWQiOiI0OTQ2NzI0NzYifQ==</vt:lpwstr>
  </property>
</Properties>
</file>