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47CD6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70" w:line="15" w:lineRule="auto"/>
        <w:textAlignment w:val="baseline"/>
        <w:rPr>
          <w:rFonts w:hint="default" w:asciiTheme="minorEastAsia" w:hAnsiTheme="minorEastAsia" w:eastAsiaTheme="minorEastAsia" w:cstheme="minorEastAsia"/>
          <w:b/>
          <w:bCs/>
          <w:spacing w:val="-1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-1"/>
          <w:sz w:val="28"/>
          <w:szCs w:val="28"/>
          <w:lang w:val="en-US" w:eastAsia="zh-CN"/>
        </w:rPr>
        <w:t>附件11</w:t>
      </w:r>
    </w:p>
    <w:p w14:paraId="5171B5D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70" w:line="15" w:lineRule="auto"/>
        <w:ind w:left="10" w:leftChars="0" w:hanging="10" w:firstLineChars="0"/>
        <w:jc w:val="center"/>
        <w:textAlignment w:val="baseline"/>
        <w:rPr>
          <w:rFonts w:hint="eastAsia" w:ascii="微软雅黑" w:hAnsi="微软雅黑" w:eastAsia="微软雅黑" w:cs="微软雅黑"/>
          <w:sz w:val="32"/>
          <w:szCs w:val="32"/>
          <w:lang w:eastAsia="zh-CN"/>
        </w:rPr>
      </w:pPr>
      <w:r>
        <w:rPr>
          <w:rFonts w:hint="eastAsia" w:ascii="微软雅黑" w:hAnsi="微软雅黑" w:eastAsia="微软雅黑" w:cs="微软雅黑"/>
          <w:sz w:val="32"/>
          <w:szCs w:val="32"/>
          <w:lang w:eastAsia="zh-CN"/>
        </w:rPr>
        <w:t>中山市市政工程</w:t>
      </w:r>
    </w:p>
    <w:p w14:paraId="46038A9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70" w:line="15" w:lineRule="auto"/>
        <w:ind w:left="10" w:leftChars="0" w:hanging="10" w:firstLineChars="0"/>
        <w:jc w:val="center"/>
        <w:textAlignment w:val="baseline"/>
        <w:rPr>
          <w:rFonts w:ascii="微软雅黑" w:hAnsi="微软雅黑" w:eastAsia="微软雅黑" w:cs="微软雅黑"/>
          <w:sz w:val="32"/>
          <w:szCs w:val="32"/>
        </w:rPr>
      </w:pPr>
      <w:r>
        <w:rPr>
          <w:rFonts w:hint="eastAsia" w:ascii="微软雅黑" w:hAnsi="微软雅黑" w:eastAsia="微软雅黑" w:cs="微软雅黑"/>
          <w:sz w:val="32"/>
          <w:szCs w:val="32"/>
          <w:lang w:eastAsia="zh-CN"/>
        </w:rPr>
        <w:t>安全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生产</w:t>
      </w:r>
      <w:r>
        <w:rPr>
          <w:rFonts w:hint="eastAsia" w:ascii="微软雅黑" w:hAnsi="微软雅黑" w:eastAsia="微软雅黑" w:cs="微软雅黑"/>
          <w:sz w:val="32"/>
          <w:szCs w:val="32"/>
          <w:lang w:eastAsia="zh-CN"/>
        </w:rPr>
        <w:t>文明施工水平评价</w:t>
      </w:r>
      <w:r>
        <w:rPr>
          <w:rFonts w:ascii="微软雅黑" w:hAnsi="微软雅黑" w:eastAsia="微软雅黑" w:cs="微软雅黑"/>
          <w:sz w:val="32"/>
          <w:szCs w:val="32"/>
        </w:rPr>
        <w:t>流程表</w:t>
      </w:r>
    </w:p>
    <w:p w14:paraId="23D30676">
      <w:pPr>
        <w:spacing w:line="76" w:lineRule="exact"/>
      </w:pPr>
    </w:p>
    <w:tbl>
      <w:tblPr>
        <w:tblStyle w:val="5"/>
        <w:tblW w:w="879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2"/>
        <w:gridCol w:w="744"/>
        <w:gridCol w:w="6104"/>
        <w:gridCol w:w="1314"/>
      </w:tblGrid>
      <w:tr w14:paraId="4D4827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1" w:hRule="atLeast"/>
        </w:trPr>
        <w:tc>
          <w:tcPr>
            <w:tcW w:w="1376" w:type="dxa"/>
            <w:gridSpan w:val="2"/>
            <w:vAlign w:val="top"/>
          </w:tcPr>
          <w:p w14:paraId="63E7BC70">
            <w:pPr>
              <w:spacing w:before="276" w:line="224" w:lineRule="auto"/>
              <w:ind w:left="489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4"/>
                <w:sz w:val="21"/>
                <w:szCs w:val="21"/>
                <w14:textOutline w14:w="2667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项</w:t>
            </w:r>
            <w:r>
              <w:rPr>
                <w:rFonts w:ascii="仿宋" w:hAnsi="仿宋" w:eastAsia="仿宋" w:cs="仿宋"/>
                <w:spacing w:val="-3"/>
                <w:sz w:val="21"/>
                <w:szCs w:val="21"/>
                <w14:textOutline w14:w="2667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目</w:t>
            </w:r>
          </w:p>
        </w:tc>
        <w:tc>
          <w:tcPr>
            <w:tcW w:w="6104" w:type="dxa"/>
            <w:vAlign w:val="top"/>
          </w:tcPr>
          <w:p w14:paraId="7A2ECAB7">
            <w:pPr>
              <w:spacing w:before="276" w:line="223" w:lineRule="auto"/>
              <w:ind w:left="264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4"/>
                <w:sz w:val="21"/>
                <w:szCs w:val="21"/>
                <w14:textOutline w14:w="2667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注</w:t>
            </w:r>
            <w:r>
              <w:rPr>
                <w:rFonts w:ascii="仿宋" w:hAnsi="仿宋" w:eastAsia="仿宋" w:cs="仿宋"/>
                <w:spacing w:val="-3"/>
                <w:sz w:val="21"/>
                <w:szCs w:val="21"/>
                <w14:textOutline w14:w="2667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意事项</w:t>
            </w:r>
          </w:p>
        </w:tc>
        <w:tc>
          <w:tcPr>
            <w:tcW w:w="1314" w:type="dxa"/>
            <w:vAlign w:val="top"/>
          </w:tcPr>
          <w:p w14:paraId="670411C6">
            <w:pPr>
              <w:spacing w:before="276" w:line="222" w:lineRule="auto"/>
              <w:ind w:left="27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9"/>
                <w:sz w:val="21"/>
                <w:szCs w:val="21"/>
                <w14:textOutline w14:w="2667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申</w:t>
            </w:r>
            <w:r>
              <w:rPr>
                <w:rFonts w:ascii="仿宋" w:hAnsi="仿宋" w:eastAsia="仿宋" w:cs="仿宋"/>
                <w:spacing w:val="-7"/>
                <w:sz w:val="21"/>
                <w:szCs w:val="21"/>
                <w14:textOutline w14:w="2667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报节点</w:t>
            </w:r>
          </w:p>
        </w:tc>
      </w:tr>
      <w:tr w14:paraId="3212A5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4" w:hRule="atLeast"/>
        </w:trPr>
        <w:tc>
          <w:tcPr>
            <w:tcW w:w="1376" w:type="dxa"/>
            <w:gridSpan w:val="2"/>
            <w:vAlign w:val="center"/>
          </w:tcPr>
          <w:p w14:paraId="29B904CE">
            <w:pPr>
              <w:spacing w:before="69" w:line="231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spacing w:val="-7"/>
                <w:kern w:val="0"/>
                <w:sz w:val="21"/>
                <w:szCs w:val="21"/>
                <w:lang w:val="en-US" w:eastAsia="zh-CN"/>
                <w14:textOutline w14:w="2793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仿宋" w:hAnsi="仿宋" w:eastAsia="仿宋" w:cs="仿宋"/>
                <w:spacing w:val="-7"/>
                <w:sz w:val="21"/>
                <w:szCs w:val="21"/>
                <w:lang w:val="en-US" w:eastAsia="zh-CN"/>
                <w14:textOutline w14:w="2793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备案</w:t>
            </w:r>
          </w:p>
        </w:tc>
        <w:tc>
          <w:tcPr>
            <w:tcW w:w="6104" w:type="dxa"/>
            <w:vAlign w:val="top"/>
          </w:tcPr>
          <w:p w14:paraId="492E8B36">
            <w:pPr>
              <w:numPr>
                <w:ilvl w:val="0"/>
                <w:numId w:val="1"/>
              </w:numPr>
              <w:spacing w:before="129" w:line="349" w:lineRule="auto"/>
              <w:ind w:left="481" w:leftChars="0" w:right="104" w:rightChars="0" w:hanging="356" w:firstLineChars="0"/>
              <w:rPr>
                <w:rFonts w:hint="eastAsia" w:ascii="仿宋" w:hAnsi="仿宋" w:eastAsia="仿宋" w:cs="仿宋"/>
                <w:snapToGrid w:val="0"/>
                <w:color w:val="000000"/>
                <w:spacing w:val="13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3"/>
                <w:sz w:val="21"/>
                <w:szCs w:val="21"/>
                <w:lang w:val="en-US" w:eastAsia="zh-CN"/>
              </w:rPr>
              <w:t>在工程进度的30%前完成备案手续。</w:t>
            </w:r>
          </w:p>
          <w:p w14:paraId="68EBEB92">
            <w:pPr>
              <w:numPr>
                <w:ilvl w:val="0"/>
                <w:numId w:val="1"/>
              </w:numPr>
              <w:spacing w:before="129" w:line="349" w:lineRule="auto"/>
              <w:ind w:left="481" w:leftChars="0" w:right="104" w:rightChars="0" w:hanging="356" w:firstLineChars="0"/>
              <w:rPr>
                <w:rFonts w:hint="eastAsia" w:ascii="仿宋" w:hAnsi="仿宋" w:eastAsia="仿宋" w:cs="仿宋"/>
                <w:snapToGrid w:val="0"/>
                <w:color w:val="000000"/>
                <w:spacing w:val="13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3"/>
                <w:sz w:val="21"/>
                <w:szCs w:val="21"/>
                <w:lang w:val="en-US" w:eastAsia="zh-CN"/>
              </w:rPr>
              <w:t>申报单位须填写并提交加盖公章的《中山市市政工程安全生产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pacing w:val="13"/>
                <w:sz w:val="21"/>
                <w:szCs w:val="21"/>
                <w:lang w:val="en-US" w:eastAsia="zh-CN"/>
              </w:rPr>
              <w:t>文明施工水平评价备案表》(见附件1)电子文档到中山市市政行业协会邮箱，纸质材料两份提交中山市市政行业协会秘书处。</w:t>
            </w:r>
          </w:p>
        </w:tc>
        <w:tc>
          <w:tcPr>
            <w:tcW w:w="1314" w:type="dxa"/>
            <w:vAlign w:val="center"/>
          </w:tcPr>
          <w:p w14:paraId="421B73BD">
            <w:pPr>
              <w:spacing w:before="68" w:line="288" w:lineRule="auto"/>
              <w:ind w:left="272" w:leftChars="0" w:right="129" w:rightChars="0" w:hanging="125" w:firstLineChars="0"/>
              <w:jc w:val="center"/>
              <w:rPr>
                <w:rFonts w:ascii="仿宋" w:hAnsi="仿宋" w:eastAsia="仿宋" w:cs="仿宋"/>
                <w:snapToGrid w:val="0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6"/>
                <w:sz w:val="21"/>
                <w:szCs w:val="21"/>
              </w:rPr>
              <w:t>工</w:t>
            </w:r>
            <w:r>
              <w:rPr>
                <w:rFonts w:hint="eastAsia" w:ascii="仿宋" w:hAnsi="仿宋" w:eastAsia="仿宋" w:cs="仿宋"/>
                <w:spacing w:val="-6"/>
                <w:sz w:val="21"/>
                <w:szCs w:val="21"/>
                <w:lang w:val="en-US" w:eastAsia="zh-CN"/>
              </w:rPr>
              <w:t>程总进度小于30%</w:t>
            </w:r>
          </w:p>
        </w:tc>
      </w:tr>
      <w:tr w14:paraId="3E625A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4" w:hRule="atLeast"/>
        </w:trPr>
        <w:tc>
          <w:tcPr>
            <w:tcW w:w="1376" w:type="dxa"/>
            <w:gridSpan w:val="2"/>
            <w:vAlign w:val="top"/>
          </w:tcPr>
          <w:p w14:paraId="040EB62F">
            <w:pPr>
              <w:spacing w:line="246" w:lineRule="auto"/>
              <w:rPr>
                <w:rFonts w:ascii="Arial"/>
                <w:sz w:val="21"/>
              </w:rPr>
            </w:pPr>
          </w:p>
          <w:p w14:paraId="552A5FDE">
            <w:pPr>
              <w:spacing w:line="246" w:lineRule="auto"/>
              <w:rPr>
                <w:rFonts w:ascii="Arial"/>
                <w:sz w:val="21"/>
              </w:rPr>
            </w:pPr>
          </w:p>
          <w:p w14:paraId="3A060328">
            <w:pPr>
              <w:spacing w:line="247" w:lineRule="auto"/>
              <w:rPr>
                <w:rFonts w:ascii="Arial"/>
                <w:sz w:val="21"/>
              </w:rPr>
            </w:pPr>
          </w:p>
          <w:p w14:paraId="0A057CCF">
            <w:pPr>
              <w:spacing w:line="247" w:lineRule="auto"/>
              <w:rPr>
                <w:rFonts w:ascii="Arial"/>
                <w:sz w:val="21"/>
              </w:rPr>
            </w:pPr>
          </w:p>
          <w:p w14:paraId="7B262531">
            <w:pPr>
              <w:spacing w:before="69" w:line="231" w:lineRule="auto"/>
              <w:ind w:left="509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7"/>
                <w:sz w:val="21"/>
                <w:szCs w:val="21"/>
                <w14:textOutline w14:w="2793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申</w:t>
            </w:r>
            <w:r>
              <w:rPr>
                <w:rFonts w:ascii="仿宋" w:hAnsi="仿宋" w:eastAsia="仿宋" w:cs="仿宋"/>
                <w:spacing w:val="-6"/>
                <w:sz w:val="21"/>
                <w:szCs w:val="21"/>
                <w14:textOutline w14:w="2793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报</w:t>
            </w:r>
          </w:p>
        </w:tc>
        <w:tc>
          <w:tcPr>
            <w:tcW w:w="6104" w:type="dxa"/>
            <w:vAlign w:val="top"/>
          </w:tcPr>
          <w:p w14:paraId="6C066826">
            <w:pPr>
              <w:numPr>
                <w:ilvl w:val="0"/>
                <w:numId w:val="2"/>
              </w:numPr>
              <w:spacing w:before="129" w:line="349" w:lineRule="auto"/>
              <w:ind w:left="481" w:right="104" w:hanging="356"/>
              <w:rPr>
                <w:rFonts w:ascii="仿宋" w:hAnsi="仿宋" w:eastAsia="仿宋" w:cs="仿宋"/>
                <w:spacing w:val="13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13"/>
                <w:sz w:val="21"/>
                <w:szCs w:val="21"/>
              </w:rPr>
              <w:t>提交纸质盖章版申</w:t>
            </w:r>
            <w:r>
              <w:rPr>
                <w:rFonts w:ascii="仿宋" w:hAnsi="仿宋" w:eastAsia="仿宋" w:cs="仿宋"/>
                <w:color w:val="auto"/>
                <w:spacing w:val="13"/>
                <w:sz w:val="21"/>
                <w:szCs w:val="21"/>
              </w:rPr>
              <w:t>报表(一式</w:t>
            </w:r>
            <w:r>
              <w:rPr>
                <w:rFonts w:hint="eastAsia" w:ascii="仿宋" w:hAnsi="仿宋" w:eastAsia="仿宋" w:cs="仿宋"/>
                <w:color w:val="auto"/>
                <w:spacing w:val="13"/>
                <w:sz w:val="21"/>
                <w:szCs w:val="21"/>
                <w:lang w:val="en-US" w:eastAsia="zh-CN"/>
              </w:rPr>
              <w:t>两</w:t>
            </w:r>
            <w:r>
              <w:rPr>
                <w:rFonts w:ascii="仿宋" w:hAnsi="仿宋" w:eastAsia="仿宋" w:cs="仿宋"/>
                <w:color w:val="auto"/>
                <w:spacing w:val="13"/>
                <w:sz w:val="21"/>
                <w:szCs w:val="21"/>
              </w:rPr>
              <w:t>份)到协会秘书处(</w:t>
            </w:r>
            <w:r>
              <w:rPr>
                <w:rFonts w:hint="eastAsia" w:ascii="仿宋" w:hAnsi="仿宋" w:eastAsia="仿宋" w:cs="仿宋"/>
                <w:color w:val="auto"/>
                <w:spacing w:val="13"/>
                <w:sz w:val="21"/>
                <w:szCs w:val="21"/>
                <w:lang w:val="en-US" w:eastAsia="zh-CN"/>
              </w:rPr>
              <w:t>蒋秘</w:t>
            </w:r>
            <w:r>
              <w:rPr>
                <w:rFonts w:hint="default" w:ascii="仿宋" w:hAnsi="仿宋" w:eastAsia="仿宋" w:cs="仿宋"/>
                <w:color w:val="auto"/>
                <w:spacing w:val="13"/>
                <w:sz w:val="21"/>
                <w:szCs w:val="21"/>
              </w:rPr>
              <w:t>，0760-88883778，中山市火炬开发区江陵西路66号创富智轩大厦A幢4楼409室</w:t>
            </w:r>
            <w:r>
              <w:rPr>
                <w:rFonts w:ascii="仿宋" w:hAnsi="仿宋" w:eastAsia="仿宋" w:cs="仿宋"/>
                <w:color w:val="auto"/>
                <w:spacing w:val="13"/>
                <w:sz w:val="21"/>
                <w:szCs w:val="21"/>
              </w:rPr>
              <w:t>)</w:t>
            </w:r>
            <w:r>
              <w:rPr>
                <w:rFonts w:hint="eastAsia" w:ascii="仿宋" w:hAnsi="仿宋" w:eastAsia="仿宋" w:cs="仿宋"/>
                <w:color w:val="auto"/>
                <w:spacing w:val="13"/>
                <w:sz w:val="21"/>
                <w:szCs w:val="21"/>
                <w:lang w:eastAsia="zh-CN"/>
              </w:rPr>
              <w:t>。</w:t>
            </w:r>
          </w:p>
          <w:p w14:paraId="376B16EE">
            <w:pPr>
              <w:numPr>
                <w:ilvl w:val="0"/>
                <w:numId w:val="2"/>
              </w:numPr>
              <w:spacing w:before="129" w:line="349" w:lineRule="auto"/>
              <w:ind w:left="481" w:right="104" w:hanging="356"/>
              <w:rPr>
                <w:rFonts w:hint="default" w:ascii="仿宋" w:hAnsi="仿宋" w:eastAsia="仿宋" w:cs="仿宋"/>
                <w:spacing w:val="13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13"/>
                <w:sz w:val="21"/>
                <w:szCs w:val="21"/>
                <w:lang w:val="en-US" w:eastAsia="zh-CN"/>
              </w:rPr>
              <w:t>请扫描备案二维码上传</w:t>
            </w:r>
            <w:r>
              <w:rPr>
                <w:rFonts w:hint="eastAsia" w:ascii="仿宋" w:hAnsi="仿宋" w:eastAsia="仿宋" w:cs="仿宋"/>
                <w:spacing w:val="13"/>
                <w:sz w:val="21"/>
                <w:szCs w:val="21"/>
              </w:rPr>
              <w:t>申报表</w:t>
            </w:r>
            <w:r>
              <w:rPr>
                <w:rFonts w:hint="eastAsia" w:ascii="仿宋" w:hAnsi="仿宋" w:eastAsia="仿宋" w:cs="仿宋"/>
                <w:spacing w:val="13"/>
                <w:sz w:val="21"/>
                <w:szCs w:val="21"/>
                <w:lang w:eastAsia="zh-CN"/>
              </w:rPr>
              <w:t>附件</w:t>
            </w:r>
            <w:r>
              <w:rPr>
                <w:rFonts w:hint="eastAsia" w:ascii="仿宋" w:hAnsi="仿宋" w:eastAsia="仿宋" w:cs="仿宋"/>
                <w:spacing w:val="13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pacing w:val="13"/>
                <w:sz w:val="21"/>
                <w:szCs w:val="21"/>
              </w:rPr>
              <w:t>（word可编辑版）</w:t>
            </w:r>
            <w:r>
              <w:rPr>
                <w:rFonts w:hint="eastAsia" w:ascii="仿宋" w:hAnsi="仿宋" w:eastAsia="仿宋" w:cs="仿宋"/>
                <w:spacing w:val="13"/>
                <w:sz w:val="21"/>
                <w:szCs w:val="21"/>
                <w:lang w:val="en-US" w:eastAsia="zh-CN"/>
              </w:rPr>
              <w:t>、附件3、4、5（</w:t>
            </w:r>
            <w:r>
              <w:rPr>
                <w:rFonts w:hint="eastAsia" w:ascii="仿宋" w:hAnsi="仿宋" w:eastAsia="仿宋" w:cs="仿宋"/>
                <w:spacing w:val="13"/>
                <w:sz w:val="21"/>
                <w:szCs w:val="21"/>
              </w:rPr>
              <w:t>PDF文档</w:t>
            </w:r>
            <w:r>
              <w:rPr>
                <w:rFonts w:hint="eastAsia" w:ascii="仿宋" w:hAnsi="仿宋" w:eastAsia="仿宋" w:cs="仿宋"/>
                <w:spacing w:val="13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pacing w:val="13"/>
                <w:sz w:val="21"/>
                <w:szCs w:val="21"/>
                <w:lang w:val="en-US" w:eastAsia="zh-CN"/>
              </w:rPr>
              <w:t>无需纸质版）。</w:t>
            </w:r>
          </w:p>
          <w:p w14:paraId="6ACD332D">
            <w:pPr>
              <w:numPr>
                <w:ilvl w:val="0"/>
                <w:numId w:val="2"/>
              </w:numPr>
              <w:spacing w:before="129" w:line="349" w:lineRule="auto"/>
              <w:ind w:left="481" w:leftChars="0" w:right="104" w:rightChars="0" w:hanging="356" w:firstLineChars="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3"/>
                <w:sz w:val="21"/>
                <w:szCs w:val="21"/>
                <w:lang w:val="en-US" w:eastAsia="zh-CN"/>
              </w:rPr>
              <w:t>工程总进度在30%前必须备案，逾期则不予受理。</w:t>
            </w:r>
          </w:p>
        </w:tc>
        <w:tc>
          <w:tcPr>
            <w:tcW w:w="1314" w:type="dxa"/>
            <w:vAlign w:val="top"/>
          </w:tcPr>
          <w:p w14:paraId="16C51903">
            <w:pPr>
              <w:spacing w:line="278" w:lineRule="auto"/>
              <w:rPr>
                <w:rFonts w:ascii="Arial"/>
                <w:sz w:val="21"/>
              </w:rPr>
            </w:pPr>
          </w:p>
          <w:p w14:paraId="29E99951">
            <w:pPr>
              <w:spacing w:line="279" w:lineRule="auto"/>
              <w:rPr>
                <w:rFonts w:ascii="Arial"/>
                <w:sz w:val="21"/>
              </w:rPr>
            </w:pPr>
          </w:p>
          <w:p w14:paraId="0E7F006D">
            <w:pPr>
              <w:spacing w:line="279" w:lineRule="auto"/>
              <w:rPr>
                <w:rFonts w:ascii="Arial"/>
                <w:sz w:val="21"/>
              </w:rPr>
            </w:pPr>
          </w:p>
          <w:p w14:paraId="1DFD680D">
            <w:pPr>
              <w:spacing w:before="68" w:line="288" w:lineRule="auto"/>
              <w:ind w:left="272" w:leftChars="0" w:right="129" w:rightChars="0" w:hanging="125" w:firstLine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6"/>
                <w:sz w:val="21"/>
                <w:szCs w:val="21"/>
              </w:rPr>
              <w:t>工</w:t>
            </w:r>
            <w:r>
              <w:rPr>
                <w:rFonts w:hint="eastAsia" w:ascii="仿宋" w:hAnsi="仿宋" w:eastAsia="仿宋" w:cs="仿宋"/>
                <w:spacing w:val="13"/>
                <w:sz w:val="21"/>
                <w:szCs w:val="21"/>
                <w:lang w:val="en-US" w:eastAsia="zh-CN"/>
              </w:rPr>
              <w:t>程总进度小于30%</w:t>
            </w:r>
          </w:p>
        </w:tc>
      </w:tr>
      <w:tr w14:paraId="0938BE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4" w:hRule="atLeast"/>
        </w:trPr>
        <w:tc>
          <w:tcPr>
            <w:tcW w:w="632" w:type="dxa"/>
            <w:vMerge w:val="restart"/>
            <w:tcBorders>
              <w:bottom w:val="nil"/>
            </w:tcBorders>
            <w:textDirection w:val="tbRlV"/>
            <w:vAlign w:val="top"/>
          </w:tcPr>
          <w:p w14:paraId="71473FC1">
            <w:pPr>
              <w:spacing w:before="205" w:line="209" w:lineRule="auto"/>
              <w:ind w:left="94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17"/>
                <w:sz w:val="21"/>
                <w:szCs w:val="21"/>
                <w14:textOutline w14:w="2793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初</w:t>
            </w:r>
            <w:r>
              <w:rPr>
                <w:rFonts w:ascii="仿宋" w:hAnsi="仿宋" w:eastAsia="仿宋" w:cs="仿宋"/>
                <w:spacing w:val="15"/>
                <w:sz w:val="21"/>
                <w:szCs w:val="21"/>
              </w:rPr>
              <w:t xml:space="preserve">  </w:t>
            </w:r>
            <w:r>
              <w:rPr>
                <w:rFonts w:ascii="仿宋" w:hAnsi="仿宋" w:eastAsia="仿宋" w:cs="仿宋"/>
                <w:spacing w:val="15"/>
                <w:sz w:val="21"/>
                <w:szCs w:val="21"/>
                <w14:textOutline w14:w="2793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评</w:t>
            </w:r>
          </w:p>
        </w:tc>
        <w:tc>
          <w:tcPr>
            <w:tcW w:w="744" w:type="dxa"/>
            <w:vAlign w:val="top"/>
          </w:tcPr>
          <w:p w14:paraId="7CA7F26D">
            <w:pPr>
              <w:spacing w:line="466" w:lineRule="auto"/>
              <w:rPr>
                <w:rFonts w:ascii="Arial"/>
                <w:sz w:val="21"/>
              </w:rPr>
            </w:pPr>
          </w:p>
          <w:p w14:paraId="36171EFB">
            <w:pPr>
              <w:spacing w:before="68" w:line="231" w:lineRule="auto"/>
              <w:ind w:left="16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3"/>
                <w:sz w:val="21"/>
                <w:szCs w:val="21"/>
                <w14:textOutline w14:w="2793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评</w:t>
            </w:r>
            <w:r>
              <w:rPr>
                <w:rFonts w:ascii="仿宋" w:hAnsi="仿宋" w:eastAsia="仿宋" w:cs="仿宋"/>
                <w:spacing w:val="2"/>
                <w:sz w:val="21"/>
                <w:szCs w:val="21"/>
                <w14:textOutline w14:w="2793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审</w:t>
            </w:r>
          </w:p>
        </w:tc>
        <w:tc>
          <w:tcPr>
            <w:tcW w:w="6104" w:type="dxa"/>
            <w:vAlign w:val="top"/>
          </w:tcPr>
          <w:p w14:paraId="5D9179E0">
            <w:pPr>
              <w:spacing w:before="307" w:line="416" w:lineRule="auto"/>
              <w:ind w:left="115" w:right="28" w:firstLine="22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当项目总进度达到30%-60%，请提前联系</w:t>
            </w:r>
            <w:r>
              <w:rPr>
                <w:rFonts w:hint="eastAsia" w:ascii="仿宋" w:hAnsi="仿宋" w:eastAsia="仿宋" w:cs="仿宋"/>
                <w:spacing w:val="-1"/>
                <w:sz w:val="21"/>
                <w:szCs w:val="21"/>
                <w:lang w:val="en-US" w:eastAsia="zh-CN"/>
              </w:rPr>
              <w:t>协会</w:t>
            </w: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确</w:t>
            </w:r>
            <w:r>
              <w:rPr>
                <w:rFonts w:ascii="仿宋" w:hAnsi="仿宋" w:eastAsia="仿宋" w:cs="仿宋"/>
                <w:sz w:val="21"/>
                <w:szCs w:val="21"/>
              </w:rPr>
              <w:t>认时间，我会将</w:t>
            </w:r>
            <w:r>
              <w:rPr>
                <w:rFonts w:ascii="仿宋" w:hAnsi="仿宋" w:eastAsia="仿宋" w:cs="仿宋"/>
                <w:spacing w:val="-8"/>
                <w:sz w:val="21"/>
                <w:szCs w:val="21"/>
              </w:rPr>
              <w:t>抽调专家到项目对资料与现场进行评审，并形成初评分数及意见。</w:t>
            </w:r>
          </w:p>
        </w:tc>
        <w:tc>
          <w:tcPr>
            <w:tcW w:w="1314" w:type="dxa"/>
            <w:vMerge w:val="restart"/>
            <w:tcBorders>
              <w:bottom w:val="nil"/>
            </w:tcBorders>
            <w:vAlign w:val="top"/>
          </w:tcPr>
          <w:p w14:paraId="317A15E8">
            <w:pPr>
              <w:spacing w:line="276" w:lineRule="auto"/>
              <w:rPr>
                <w:rFonts w:ascii="Arial"/>
                <w:sz w:val="21"/>
              </w:rPr>
            </w:pPr>
          </w:p>
          <w:p w14:paraId="5993951B">
            <w:pPr>
              <w:spacing w:line="277" w:lineRule="auto"/>
              <w:rPr>
                <w:rFonts w:ascii="Arial"/>
                <w:sz w:val="21"/>
              </w:rPr>
            </w:pPr>
          </w:p>
          <w:p w14:paraId="51A5FEF8">
            <w:pPr>
              <w:spacing w:line="277" w:lineRule="auto"/>
              <w:rPr>
                <w:rFonts w:ascii="Arial"/>
                <w:sz w:val="21"/>
              </w:rPr>
            </w:pPr>
          </w:p>
          <w:p w14:paraId="0D4A6725">
            <w:pPr>
              <w:spacing w:line="277" w:lineRule="auto"/>
              <w:rPr>
                <w:rFonts w:ascii="Arial"/>
                <w:sz w:val="21"/>
              </w:rPr>
            </w:pPr>
          </w:p>
          <w:p w14:paraId="78AFBB33">
            <w:pPr>
              <w:spacing w:before="68" w:line="209" w:lineRule="auto"/>
              <w:ind w:left="35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30~60</w:t>
            </w: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%</w:t>
            </w:r>
          </w:p>
        </w:tc>
      </w:tr>
      <w:tr w14:paraId="1B19F81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3" w:hRule="atLeast"/>
        </w:trPr>
        <w:tc>
          <w:tcPr>
            <w:tcW w:w="632" w:type="dxa"/>
            <w:vMerge w:val="continue"/>
            <w:tcBorders>
              <w:top w:val="nil"/>
            </w:tcBorders>
            <w:textDirection w:val="tbRlV"/>
            <w:vAlign w:val="top"/>
          </w:tcPr>
          <w:p w14:paraId="6661F430">
            <w:pPr>
              <w:rPr>
                <w:rFonts w:ascii="Arial"/>
                <w:sz w:val="21"/>
              </w:rPr>
            </w:pPr>
          </w:p>
        </w:tc>
        <w:tc>
          <w:tcPr>
            <w:tcW w:w="744" w:type="dxa"/>
            <w:vAlign w:val="top"/>
          </w:tcPr>
          <w:p w14:paraId="131FCE5A">
            <w:pPr>
              <w:spacing w:line="453" w:lineRule="auto"/>
              <w:rPr>
                <w:rFonts w:ascii="Arial"/>
                <w:sz w:val="21"/>
              </w:rPr>
            </w:pPr>
          </w:p>
          <w:p w14:paraId="22E7BF58">
            <w:pPr>
              <w:spacing w:before="68" w:line="232" w:lineRule="auto"/>
              <w:ind w:left="159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3"/>
                <w:sz w:val="21"/>
                <w:szCs w:val="21"/>
                <w14:textOutline w14:w="2793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整</w:t>
            </w:r>
            <w:r>
              <w:rPr>
                <w:rFonts w:ascii="仿宋" w:hAnsi="仿宋" w:eastAsia="仿宋" w:cs="仿宋"/>
                <w:spacing w:val="2"/>
                <w:sz w:val="21"/>
                <w:szCs w:val="21"/>
                <w14:textOutline w14:w="2793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改</w:t>
            </w:r>
          </w:p>
        </w:tc>
        <w:tc>
          <w:tcPr>
            <w:tcW w:w="6104" w:type="dxa"/>
            <w:vAlign w:val="top"/>
          </w:tcPr>
          <w:p w14:paraId="3CAFC4FC">
            <w:pPr>
              <w:spacing w:before="294" w:line="414" w:lineRule="auto"/>
              <w:ind w:left="119" w:right="104" w:hanging="3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评审结</w:t>
            </w:r>
            <w:r>
              <w:rPr>
                <w:rFonts w:ascii="仿宋" w:hAnsi="仿宋" w:eastAsia="仿宋" w:cs="仿宋"/>
                <w:sz w:val="21"/>
                <w:szCs w:val="21"/>
              </w:rPr>
              <w:t>束后，项目部根据专家意见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清</w:t>
            </w:r>
            <w:r>
              <w:rPr>
                <w:rFonts w:ascii="仿宋" w:hAnsi="仿宋" w:eastAsia="仿宋" w:cs="仿宋"/>
                <w:sz w:val="21"/>
                <w:szCs w:val="21"/>
              </w:rPr>
              <w:t>单进行逐条整改，</w:t>
            </w:r>
            <w:r>
              <w:rPr>
                <w:rFonts w:ascii="仿宋" w:hAnsi="仿宋" w:eastAsia="仿宋" w:cs="仿宋"/>
                <w:spacing w:val="-10"/>
                <w:sz w:val="21"/>
                <w:szCs w:val="21"/>
              </w:rPr>
              <w:t>于两周内</w:t>
            </w:r>
            <w:r>
              <w:rPr>
                <w:rFonts w:hint="eastAsia" w:ascii="仿宋" w:hAnsi="仿宋" w:eastAsia="仿宋" w:cs="仿宋"/>
                <w:spacing w:val="-5"/>
                <w:sz w:val="21"/>
                <w:szCs w:val="21"/>
                <w:lang w:val="en-US" w:eastAsia="zh-CN"/>
              </w:rPr>
              <w:t>完成整改</w:t>
            </w:r>
            <w:r>
              <w:rPr>
                <w:rFonts w:hint="eastAsia" w:ascii="仿宋" w:hAnsi="仿宋" w:eastAsia="仿宋" w:cs="仿宋"/>
                <w:spacing w:val="-5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color w:val="auto"/>
                <w:spacing w:val="-5"/>
                <w:sz w:val="21"/>
                <w:szCs w:val="21"/>
                <w:lang w:val="en-US" w:eastAsia="zh-CN"/>
              </w:rPr>
              <w:t>整改回复单（加盖公章，</w:t>
            </w:r>
            <w:r>
              <w:rPr>
                <w:rFonts w:ascii="仿宋" w:hAnsi="仿宋" w:eastAsia="仿宋" w:cs="仿宋"/>
                <w:color w:val="auto"/>
                <w:spacing w:val="-5"/>
                <w:sz w:val="21"/>
                <w:szCs w:val="21"/>
              </w:rPr>
              <w:t>PDF</w:t>
            </w:r>
            <w:r>
              <w:rPr>
                <w:rFonts w:hint="eastAsia" w:ascii="仿宋" w:hAnsi="仿宋" w:eastAsia="仿宋" w:cs="仿宋"/>
                <w:color w:val="auto"/>
                <w:spacing w:val="-5"/>
                <w:sz w:val="21"/>
                <w:szCs w:val="21"/>
                <w:lang w:val="en-US" w:eastAsia="zh-CN"/>
              </w:rPr>
              <w:t>文档）</w:t>
            </w:r>
            <w:r>
              <w:rPr>
                <w:rFonts w:ascii="仿宋" w:hAnsi="仿宋" w:eastAsia="仿宋" w:cs="仿宋"/>
                <w:color w:val="auto"/>
                <w:spacing w:val="-5"/>
                <w:sz w:val="21"/>
                <w:szCs w:val="21"/>
              </w:rPr>
              <w:t>到</w:t>
            </w:r>
            <w:r>
              <w:rPr>
                <w:rFonts w:hint="eastAsia" w:ascii="仿宋" w:hAnsi="仿宋" w:eastAsia="仿宋" w:cs="仿宋"/>
                <w:color w:val="auto"/>
                <w:spacing w:val="-5"/>
                <w:sz w:val="21"/>
                <w:szCs w:val="21"/>
                <w:lang w:val="en-US" w:eastAsia="zh-CN"/>
              </w:rPr>
              <w:t>协会邮箱：zsszxh@126.com</w:t>
            </w:r>
            <w:r>
              <w:rPr>
                <w:rFonts w:ascii="仿宋" w:hAnsi="仿宋" w:eastAsia="仿宋" w:cs="仿宋"/>
                <w:color w:val="auto"/>
                <w:spacing w:val="-5"/>
                <w:sz w:val="21"/>
                <w:szCs w:val="21"/>
              </w:rPr>
              <w:t>。</w:t>
            </w:r>
          </w:p>
        </w:tc>
        <w:tc>
          <w:tcPr>
            <w:tcW w:w="1314" w:type="dxa"/>
            <w:vMerge w:val="continue"/>
            <w:tcBorders>
              <w:top w:val="nil"/>
            </w:tcBorders>
            <w:vAlign w:val="top"/>
          </w:tcPr>
          <w:p w14:paraId="632B1973">
            <w:pPr>
              <w:rPr>
                <w:rFonts w:ascii="Arial"/>
                <w:sz w:val="21"/>
              </w:rPr>
            </w:pPr>
          </w:p>
        </w:tc>
      </w:tr>
      <w:tr w14:paraId="3B096C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4" w:hRule="atLeast"/>
        </w:trPr>
        <w:tc>
          <w:tcPr>
            <w:tcW w:w="632" w:type="dxa"/>
            <w:vMerge w:val="restart"/>
            <w:tcBorders>
              <w:bottom w:val="nil"/>
            </w:tcBorders>
            <w:textDirection w:val="tbRlV"/>
            <w:vAlign w:val="top"/>
          </w:tcPr>
          <w:p w14:paraId="653A5683">
            <w:pPr>
              <w:spacing w:before="205" w:line="208" w:lineRule="auto"/>
              <w:ind w:left="947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17"/>
                <w:sz w:val="21"/>
                <w:szCs w:val="21"/>
                <w14:textOutline w14:w="2793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复</w:t>
            </w:r>
            <w:r>
              <w:rPr>
                <w:rFonts w:ascii="仿宋" w:hAnsi="仿宋" w:eastAsia="仿宋" w:cs="仿宋"/>
                <w:spacing w:val="15"/>
                <w:sz w:val="21"/>
                <w:szCs w:val="21"/>
              </w:rPr>
              <w:t xml:space="preserve">  </w:t>
            </w:r>
            <w:r>
              <w:rPr>
                <w:rFonts w:ascii="仿宋" w:hAnsi="仿宋" w:eastAsia="仿宋" w:cs="仿宋"/>
                <w:spacing w:val="15"/>
                <w:sz w:val="21"/>
                <w:szCs w:val="21"/>
                <w14:textOutline w14:w="2793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评</w:t>
            </w:r>
          </w:p>
        </w:tc>
        <w:tc>
          <w:tcPr>
            <w:tcW w:w="744" w:type="dxa"/>
            <w:vAlign w:val="top"/>
          </w:tcPr>
          <w:p w14:paraId="4C0C5249">
            <w:pPr>
              <w:spacing w:line="463" w:lineRule="auto"/>
              <w:rPr>
                <w:rFonts w:ascii="Arial"/>
                <w:sz w:val="21"/>
              </w:rPr>
            </w:pPr>
          </w:p>
          <w:p w14:paraId="1C40596C">
            <w:pPr>
              <w:spacing w:before="68" w:line="231" w:lineRule="auto"/>
              <w:ind w:left="16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3"/>
                <w:sz w:val="21"/>
                <w:szCs w:val="21"/>
                <w14:textOutline w14:w="2793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评</w:t>
            </w:r>
            <w:r>
              <w:rPr>
                <w:rFonts w:ascii="仿宋" w:hAnsi="仿宋" w:eastAsia="仿宋" w:cs="仿宋"/>
                <w:spacing w:val="2"/>
                <w:sz w:val="21"/>
                <w:szCs w:val="21"/>
                <w14:textOutline w14:w="2793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审</w:t>
            </w:r>
          </w:p>
        </w:tc>
        <w:tc>
          <w:tcPr>
            <w:tcW w:w="6104" w:type="dxa"/>
            <w:vAlign w:val="top"/>
          </w:tcPr>
          <w:p w14:paraId="160159C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05" w:line="416" w:lineRule="auto"/>
              <w:ind w:left="119" w:right="108" w:firstLine="0"/>
              <w:textAlignment w:val="baseline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当项目总进度达到80%-90%，请提前联系</w:t>
            </w:r>
            <w:r>
              <w:rPr>
                <w:rFonts w:hint="eastAsia" w:ascii="仿宋" w:hAnsi="仿宋" w:eastAsia="仿宋" w:cs="仿宋"/>
                <w:spacing w:val="-1"/>
                <w:sz w:val="21"/>
                <w:szCs w:val="21"/>
                <w:lang w:val="en-US" w:eastAsia="zh-CN"/>
              </w:rPr>
              <w:t>协会确认时间</w:t>
            </w: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，</w:t>
            </w:r>
            <w:r>
              <w:rPr>
                <w:rFonts w:ascii="仿宋" w:hAnsi="仿宋" w:eastAsia="仿宋" w:cs="仿宋"/>
                <w:sz w:val="21"/>
                <w:szCs w:val="21"/>
              </w:rPr>
              <w:t>我会将抽调专家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到项目对资料与现场进行评审，并形成复评分数及意</w:t>
            </w: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见</w:t>
            </w:r>
            <w:r>
              <w:rPr>
                <w:rFonts w:ascii="仿宋" w:hAnsi="仿宋" w:eastAsia="仿宋" w:cs="仿宋"/>
                <w:sz w:val="21"/>
                <w:szCs w:val="21"/>
              </w:rPr>
              <w:t>。</w:t>
            </w:r>
          </w:p>
        </w:tc>
        <w:tc>
          <w:tcPr>
            <w:tcW w:w="1314" w:type="dxa"/>
            <w:vMerge w:val="restart"/>
            <w:tcBorders>
              <w:bottom w:val="nil"/>
            </w:tcBorders>
            <w:vAlign w:val="top"/>
          </w:tcPr>
          <w:p w14:paraId="4879514F">
            <w:pPr>
              <w:spacing w:line="278" w:lineRule="auto"/>
              <w:rPr>
                <w:rFonts w:ascii="Arial"/>
                <w:sz w:val="21"/>
              </w:rPr>
            </w:pPr>
          </w:p>
          <w:p w14:paraId="15672C21">
            <w:pPr>
              <w:spacing w:line="278" w:lineRule="auto"/>
              <w:rPr>
                <w:rFonts w:ascii="Arial"/>
                <w:sz w:val="21"/>
              </w:rPr>
            </w:pPr>
          </w:p>
          <w:p w14:paraId="7BF9DA4D">
            <w:pPr>
              <w:spacing w:line="279" w:lineRule="auto"/>
              <w:rPr>
                <w:rFonts w:ascii="Arial"/>
                <w:sz w:val="21"/>
              </w:rPr>
            </w:pPr>
          </w:p>
          <w:p w14:paraId="05B9FAF7">
            <w:pPr>
              <w:spacing w:line="279" w:lineRule="auto"/>
              <w:rPr>
                <w:rFonts w:ascii="Arial"/>
                <w:sz w:val="21"/>
              </w:rPr>
            </w:pPr>
          </w:p>
          <w:p w14:paraId="2DECC00A">
            <w:pPr>
              <w:spacing w:before="68" w:line="209" w:lineRule="auto"/>
              <w:ind w:left="347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80</w:t>
            </w:r>
            <w:r>
              <w:rPr>
                <w:rFonts w:ascii="仿宋" w:hAnsi="仿宋" w:eastAsia="仿宋" w:cs="仿宋"/>
                <w:spacing w:val="-1"/>
                <w:sz w:val="21"/>
                <w:szCs w:val="21"/>
              </w:rPr>
              <w:t>~90%</w:t>
            </w:r>
          </w:p>
        </w:tc>
      </w:tr>
      <w:tr w14:paraId="17E78A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8" w:hRule="atLeast"/>
        </w:trPr>
        <w:tc>
          <w:tcPr>
            <w:tcW w:w="632" w:type="dxa"/>
            <w:vMerge w:val="continue"/>
            <w:tcBorders>
              <w:top w:val="nil"/>
            </w:tcBorders>
            <w:textDirection w:val="tbRlV"/>
            <w:vAlign w:val="top"/>
          </w:tcPr>
          <w:p w14:paraId="7A25C3D2">
            <w:pPr>
              <w:rPr>
                <w:rFonts w:ascii="Arial"/>
                <w:sz w:val="21"/>
              </w:rPr>
            </w:pPr>
          </w:p>
        </w:tc>
        <w:tc>
          <w:tcPr>
            <w:tcW w:w="744" w:type="dxa"/>
            <w:vAlign w:val="top"/>
          </w:tcPr>
          <w:p w14:paraId="575E0EE9">
            <w:pPr>
              <w:spacing w:line="463" w:lineRule="auto"/>
              <w:rPr>
                <w:rFonts w:ascii="Arial"/>
                <w:sz w:val="21"/>
              </w:rPr>
            </w:pPr>
          </w:p>
          <w:p w14:paraId="119A9F42">
            <w:pPr>
              <w:spacing w:before="69" w:line="232" w:lineRule="auto"/>
              <w:ind w:left="159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3"/>
                <w:sz w:val="21"/>
                <w:szCs w:val="21"/>
                <w14:textOutline w14:w="2793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整</w:t>
            </w:r>
            <w:r>
              <w:rPr>
                <w:rFonts w:ascii="仿宋" w:hAnsi="仿宋" w:eastAsia="仿宋" w:cs="仿宋"/>
                <w:spacing w:val="2"/>
                <w:sz w:val="21"/>
                <w:szCs w:val="21"/>
                <w14:textOutline w14:w="2793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改</w:t>
            </w:r>
          </w:p>
        </w:tc>
        <w:tc>
          <w:tcPr>
            <w:tcW w:w="6104" w:type="dxa"/>
            <w:vAlign w:val="top"/>
          </w:tcPr>
          <w:p w14:paraId="6A0A2EDD">
            <w:pPr>
              <w:spacing w:before="306" w:line="415" w:lineRule="auto"/>
              <w:ind w:left="119" w:right="104" w:hanging="3"/>
              <w:rPr>
                <w:rFonts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ascii="仿宋" w:hAnsi="仿宋" w:eastAsia="仿宋" w:cs="仿宋"/>
                <w:color w:val="auto"/>
                <w:spacing w:val="-1"/>
                <w:sz w:val="21"/>
                <w:szCs w:val="21"/>
              </w:rPr>
              <w:t>评审结</w:t>
            </w:r>
            <w:r>
              <w:rPr>
                <w:rFonts w:ascii="仿宋" w:hAnsi="仿宋" w:eastAsia="仿宋" w:cs="仿宋"/>
                <w:color w:val="auto"/>
                <w:sz w:val="21"/>
                <w:szCs w:val="21"/>
              </w:rPr>
              <w:t>束后，项目部根据专家意见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清</w:t>
            </w:r>
            <w:r>
              <w:rPr>
                <w:rFonts w:ascii="仿宋" w:hAnsi="仿宋" w:eastAsia="仿宋" w:cs="仿宋"/>
                <w:color w:val="auto"/>
                <w:sz w:val="21"/>
                <w:szCs w:val="21"/>
              </w:rPr>
              <w:t>单进行逐条整改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eastAsia="zh-CN"/>
              </w:rPr>
              <w:t>，</w:t>
            </w:r>
            <w:r>
              <w:rPr>
                <w:rFonts w:ascii="仿宋" w:hAnsi="仿宋" w:eastAsia="仿宋" w:cs="仿宋"/>
                <w:color w:val="auto"/>
                <w:spacing w:val="-10"/>
                <w:sz w:val="21"/>
                <w:szCs w:val="21"/>
              </w:rPr>
              <w:t>于两周内</w:t>
            </w:r>
            <w:r>
              <w:rPr>
                <w:rFonts w:hint="eastAsia" w:ascii="仿宋" w:hAnsi="仿宋" w:eastAsia="仿宋" w:cs="仿宋"/>
                <w:color w:val="auto"/>
                <w:spacing w:val="-5"/>
                <w:sz w:val="21"/>
                <w:szCs w:val="21"/>
                <w:lang w:val="en-US" w:eastAsia="zh-CN"/>
              </w:rPr>
              <w:t>完成整改</w:t>
            </w:r>
            <w:r>
              <w:rPr>
                <w:rFonts w:hint="eastAsia" w:ascii="仿宋" w:hAnsi="仿宋" w:eastAsia="仿宋" w:cs="仿宋"/>
                <w:color w:val="auto"/>
                <w:spacing w:val="-5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color w:val="auto"/>
                <w:spacing w:val="-5"/>
                <w:sz w:val="21"/>
                <w:szCs w:val="21"/>
                <w:lang w:val="en-US" w:eastAsia="zh-CN"/>
              </w:rPr>
              <w:t>整改回复单（加盖公章，</w:t>
            </w:r>
            <w:r>
              <w:rPr>
                <w:rFonts w:ascii="仿宋" w:hAnsi="仿宋" w:eastAsia="仿宋" w:cs="仿宋"/>
                <w:color w:val="auto"/>
                <w:spacing w:val="-5"/>
                <w:sz w:val="21"/>
                <w:szCs w:val="21"/>
              </w:rPr>
              <w:t>PDF</w:t>
            </w:r>
            <w:r>
              <w:rPr>
                <w:rFonts w:hint="eastAsia" w:ascii="仿宋" w:hAnsi="仿宋" w:eastAsia="仿宋" w:cs="仿宋"/>
                <w:color w:val="auto"/>
                <w:spacing w:val="-5"/>
                <w:sz w:val="21"/>
                <w:szCs w:val="21"/>
                <w:lang w:val="en-US" w:eastAsia="zh-CN"/>
              </w:rPr>
              <w:t>文档）</w:t>
            </w:r>
            <w:r>
              <w:rPr>
                <w:rFonts w:ascii="仿宋" w:hAnsi="仿宋" w:eastAsia="仿宋" w:cs="仿宋"/>
                <w:color w:val="auto"/>
                <w:spacing w:val="-5"/>
                <w:sz w:val="21"/>
                <w:szCs w:val="21"/>
              </w:rPr>
              <w:t>到</w:t>
            </w:r>
            <w:r>
              <w:rPr>
                <w:rFonts w:hint="eastAsia" w:ascii="仿宋" w:hAnsi="仿宋" w:eastAsia="仿宋" w:cs="仿宋"/>
                <w:color w:val="auto"/>
                <w:spacing w:val="-5"/>
                <w:sz w:val="21"/>
                <w:szCs w:val="21"/>
                <w:lang w:val="en-US" w:eastAsia="zh-CN"/>
              </w:rPr>
              <w:t>协会邮箱：zsszxh@126.com</w:t>
            </w:r>
            <w:r>
              <w:rPr>
                <w:rFonts w:ascii="仿宋" w:hAnsi="仿宋" w:eastAsia="仿宋" w:cs="仿宋"/>
                <w:color w:val="auto"/>
                <w:spacing w:val="-5"/>
                <w:sz w:val="21"/>
                <w:szCs w:val="21"/>
              </w:rPr>
              <w:t>。</w:t>
            </w:r>
          </w:p>
        </w:tc>
        <w:tc>
          <w:tcPr>
            <w:tcW w:w="1314" w:type="dxa"/>
            <w:vMerge w:val="continue"/>
            <w:tcBorders>
              <w:top w:val="nil"/>
            </w:tcBorders>
            <w:vAlign w:val="top"/>
          </w:tcPr>
          <w:p w14:paraId="38788E1F">
            <w:pPr>
              <w:rPr>
                <w:rFonts w:ascii="Arial"/>
                <w:sz w:val="21"/>
              </w:rPr>
            </w:pPr>
          </w:p>
        </w:tc>
      </w:tr>
      <w:tr w14:paraId="24DCFF7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9" w:hRule="atLeast"/>
        </w:trPr>
        <w:tc>
          <w:tcPr>
            <w:tcW w:w="1376" w:type="dxa"/>
            <w:gridSpan w:val="2"/>
            <w:vAlign w:val="top"/>
          </w:tcPr>
          <w:p w14:paraId="708F05DF">
            <w:pPr>
              <w:spacing w:line="262" w:lineRule="auto"/>
              <w:rPr>
                <w:rFonts w:ascii="Arial"/>
                <w:sz w:val="21"/>
              </w:rPr>
            </w:pPr>
          </w:p>
          <w:p w14:paraId="0909F631">
            <w:pPr>
              <w:spacing w:line="263" w:lineRule="auto"/>
              <w:rPr>
                <w:rFonts w:ascii="Arial"/>
                <w:sz w:val="21"/>
              </w:rPr>
            </w:pPr>
          </w:p>
          <w:p w14:paraId="20458907">
            <w:pPr>
              <w:spacing w:before="68" w:line="231" w:lineRule="auto"/>
              <w:ind w:left="268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5"/>
                <w:sz w:val="21"/>
                <w:szCs w:val="21"/>
                <w14:textOutline w14:w="2793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复</w:t>
            </w:r>
            <w:r>
              <w:rPr>
                <w:rFonts w:ascii="仿宋" w:hAnsi="仿宋" w:eastAsia="仿宋" w:cs="仿宋"/>
                <w:spacing w:val="4"/>
                <w:sz w:val="21"/>
                <w:szCs w:val="21"/>
                <w14:textOutline w14:w="2793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评公示</w:t>
            </w:r>
          </w:p>
        </w:tc>
        <w:tc>
          <w:tcPr>
            <w:tcW w:w="7418" w:type="dxa"/>
            <w:gridSpan w:val="2"/>
            <w:vAlign w:val="top"/>
          </w:tcPr>
          <w:p w14:paraId="20206C22">
            <w:pPr>
              <w:spacing w:before="133" w:line="221" w:lineRule="auto"/>
              <w:ind w:left="116"/>
              <w:rPr>
                <w:rFonts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ascii="仿宋" w:hAnsi="仿宋" w:eastAsia="仿宋" w:cs="仿宋"/>
                <w:color w:val="auto"/>
                <w:spacing w:val="-3"/>
                <w:sz w:val="21"/>
                <w:szCs w:val="21"/>
              </w:rPr>
              <w:t>协会每半年会对</w:t>
            </w:r>
            <w:r>
              <w:rPr>
                <w:rFonts w:ascii="仿宋" w:hAnsi="仿宋" w:eastAsia="仿宋" w:cs="仿宋"/>
                <w:color w:val="auto"/>
                <w:spacing w:val="-3"/>
                <w:sz w:val="21"/>
                <w:szCs w:val="21"/>
                <w14:textOutline w14:w="2667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复评</w:t>
            </w:r>
            <w:r>
              <w:rPr>
                <w:rFonts w:ascii="仿宋" w:hAnsi="仿宋" w:eastAsia="仿宋" w:cs="仿宋"/>
                <w:color w:val="auto"/>
                <w:spacing w:val="-3"/>
                <w:sz w:val="21"/>
                <w:szCs w:val="21"/>
              </w:rPr>
              <w:t>通过的项目进行公示</w:t>
            </w:r>
            <w:r>
              <w:rPr>
                <w:rFonts w:ascii="仿宋" w:hAnsi="仿宋" w:eastAsia="仿宋" w:cs="仿宋"/>
                <w:color w:val="auto"/>
                <w:spacing w:val="-1"/>
                <w:sz w:val="21"/>
                <w:szCs w:val="21"/>
              </w:rPr>
              <w:t>：</w:t>
            </w:r>
          </w:p>
          <w:p w14:paraId="4E79EA00">
            <w:pPr>
              <w:spacing w:before="217" w:line="411" w:lineRule="auto"/>
              <w:ind w:left="117"/>
              <w:rPr>
                <w:rFonts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ascii="仿宋" w:hAnsi="仿宋" w:eastAsia="仿宋" w:cs="仿宋"/>
                <w:color w:val="auto"/>
                <w:spacing w:val="-26"/>
                <w:sz w:val="21"/>
                <w:szCs w:val="21"/>
              </w:rPr>
              <w:t>上</w:t>
            </w:r>
            <w:r>
              <w:rPr>
                <w:rFonts w:ascii="仿宋" w:hAnsi="仿宋" w:eastAsia="仿宋" w:cs="仿宋"/>
                <w:color w:val="auto"/>
                <w:spacing w:val="-16"/>
                <w:sz w:val="21"/>
                <w:szCs w:val="21"/>
              </w:rPr>
              <w:t>半</w:t>
            </w:r>
            <w:r>
              <w:rPr>
                <w:rFonts w:ascii="仿宋" w:hAnsi="仿宋" w:eastAsia="仿宋" w:cs="仿宋"/>
                <w:color w:val="auto"/>
                <w:spacing w:val="-13"/>
                <w:sz w:val="21"/>
                <w:szCs w:val="21"/>
              </w:rPr>
              <w:t xml:space="preserve">年公示： </w:t>
            </w:r>
            <w:r>
              <w:rPr>
                <w:rFonts w:ascii="仿宋" w:hAnsi="仿宋" w:eastAsia="仿宋" w:cs="仿宋"/>
                <w:color w:val="auto"/>
                <w:spacing w:val="-13"/>
                <w:sz w:val="21"/>
                <w:szCs w:val="21"/>
                <w:u w:val="single" w:color="auto"/>
                <w14:textOutline w14:w="2667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通过复评</w:t>
            </w:r>
            <w:r>
              <w:rPr>
                <w:rFonts w:ascii="仿宋" w:hAnsi="仿宋" w:eastAsia="仿宋" w:cs="仿宋"/>
                <w:color w:val="auto"/>
                <w:spacing w:val="-13"/>
                <w:sz w:val="21"/>
                <w:szCs w:val="21"/>
              </w:rPr>
              <w:t>时间段为自然年 1 月 1 日-6 月 30 日；</w:t>
            </w:r>
          </w:p>
          <w:p w14:paraId="63855621">
            <w:pPr>
              <w:spacing w:before="1" w:line="220" w:lineRule="auto"/>
              <w:ind w:left="120"/>
              <w:rPr>
                <w:rFonts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ascii="仿宋" w:hAnsi="仿宋" w:eastAsia="仿宋" w:cs="仿宋"/>
                <w:color w:val="auto"/>
                <w:spacing w:val="-24"/>
                <w:sz w:val="21"/>
                <w:szCs w:val="21"/>
              </w:rPr>
              <w:t>下半</w:t>
            </w:r>
            <w:r>
              <w:rPr>
                <w:rFonts w:ascii="仿宋" w:hAnsi="仿宋" w:eastAsia="仿宋" w:cs="仿宋"/>
                <w:color w:val="auto"/>
                <w:spacing w:val="-16"/>
                <w:sz w:val="21"/>
                <w:szCs w:val="21"/>
              </w:rPr>
              <w:t>年</w:t>
            </w:r>
            <w:r>
              <w:rPr>
                <w:rFonts w:ascii="仿宋" w:hAnsi="仿宋" w:eastAsia="仿宋" w:cs="仿宋"/>
                <w:color w:val="auto"/>
                <w:spacing w:val="-12"/>
                <w:sz w:val="21"/>
                <w:szCs w:val="21"/>
              </w:rPr>
              <w:t xml:space="preserve">公示： </w:t>
            </w:r>
            <w:r>
              <w:rPr>
                <w:rFonts w:ascii="仿宋" w:hAnsi="仿宋" w:eastAsia="仿宋" w:cs="仿宋"/>
                <w:color w:val="auto"/>
                <w:spacing w:val="-12"/>
                <w:sz w:val="21"/>
                <w:szCs w:val="21"/>
                <w:u w:val="single" w:color="auto"/>
                <w14:textOutline w14:w="2667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通过复评</w:t>
            </w:r>
            <w:r>
              <w:rPr>
                <w:rFonts w:ascii="仿宋" w:hAnsi="仿宋" w:eastAsia="仿宋" w:cs="仿宋"/>
                <w:color w:val="auto"/>
                <w:spacing w:val="-12"/>
                <w:sz w:val="21"/>
                <w:szCs w:val="21"/>
              </w:rPr>
              <w:t>时间段为自然年 7 月 1 日-12 月 31 日。</w:t>
            </w:r>
          </w:p>
        </w:tc>
      </w:tr>
      <w:tr w14:paraId="6F3620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8" w:hRule="atLeast"/>
        </w:trPr>
        <w:tc>
          <w:tcPr>
            <w:tcW w:w="1376" w:type="dxa"/>
            <w:gridSpan w:val="2"/>
            <w:vAlign w:val="top"/>
          </w:tcPr>
          <w:p w14:paraId="19157121">
            <w:pPr>
              <w:spacing w:line="264" w:lineRule="auto"/>
              <w:rPr>
                <w:rFonts w:ascii="Arial"/>
                <w:sz w:val="21"/>
              </w:rPr>
            </w:pPr>
          </w:p>
          <w:p w14:paraId="2CD950BA">
            <w:pPr>
              <w:spacing w:line="265" w:lineRule="auto"/>
              <w:rPr>
                <w:rFonts w:ascii="Arial"/>
                <w:sz w:val="21"/>
              </w:rPr>
            </w:pPr>
          </w:p>
          <w:p w14:paraId="3B6265A5">
            <w:pPr>
              <w:spacing w:before="68" w:line="223" w:lineRule="auto"/>
              <w:ind w:left="174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4"/>
                <w:sz w:val="21"/>
                <w:szCs w:val="21"/>
                <w14:textOutline w14:w="2667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安</w:t>
            </w:r>
            <w:r>
              <w:rPr>
                <w:rFonts w:ascii="仿宋" w:hAnsi="仿宋" w:eastAsia="仿宋" w:cs="仿宋"/>
                <w:spacing w:val="-3"/>
                <w:sz w:val="21"/>
                <w:szCs w:val="21"/>
                <w14:textOutline w14:w="2667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全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  <w14:textOutline w14:w="2667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告知书</w:t>
            </w:r>
          </w:p>
        </w:tc>
        <w:tc>
          <w:tcPr>
            <w:tcW w:w="6104" w:type="dxa"/>
            <w:vAlign w:val="top"/>
          </w:tcPr>
          <w:p w14:paraId="7385C47E">
            <w:pPr>
              <w:spacing w:before="132" w:line="402" w:lineRule="auto"/>
              <w:ind w:left="121" w:right="103" w:firstLine="22"/>
              <w:rPr>
                <w:rFonts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ascii="仿宋" w:hAnsi="仿宋" w:eastAsia="仿宋" w:cs="仿宋"/>
                <w:color w:val="auto"/>
                <w:spacing w:val="-2"/>
                <w:sz w:val="21"/>
                <w:szCs w:val="21"/>
              </w:rPr>
              <w:t>已</w:t>
            </w:r>
            <w:r>
              <w:rPr>
                <w:rFonts w:ascii="仿宋" w:hAnsi="仿宋" w:eastAsia="仿宋" w:cs="仿宋"/>
                <w:color w:val="auto"/>
                <w:spacing w:val="-1"/>
                <w:sz w:val="21"/>
                <w:szCs w:val="21"/>
              </w:rPr>
              <w:t>通过复评的工程项目在完工后，提交安监部门发放的《建筑施</w:t>
            </w:r>
            <w:r>
              <w:rPr>
                <w:rFonts w:ascii="仿宋" w:hAnsi="仿宋" w:eastAsia="仿宋" w:cs="仿宋"/>
                <w:color w:val="auto"/>
                <w:sz w:val="21"/>
                <w:szCs w:val="21"/>
              </w:rPr>
              <w:t xml:space="preserve"> </w:t>
            </w:r>
            <w:r>
              <w:rPr>
                <w:rFonts w:ascii="仿宋" w:hAnsi="仿宋" w:eastAsia="仿宋" w:cs="仿宋"/>
                <w:color w:val="auto"/>
                <w:spacing w:val="-6"/>
                <w:sz w:val="21"/>
                <w:szCs w:val="21"/>
              </w:rPr>
              <w:t>工项目安全生</w:t>
            </w:r>
            <w:r>
              <w:rPr>
                <w:rFonts w:ascii="仿宋" w:hAnsi="仿宋" w:eastAsia="仿宋" w:cs="仿宋"/>
                <w:color w:val="auto"/>
                <w:spacing w:val="-3"/>
                <w:sz w:val="21"/>
                <w:szCs w:val="21"/>
              </w:rPr>
              <w:t>产标准化评定结果告知书》或同类证明文件PDF版</w:t>
            </w:r>
          </w:p>
          <w:p w14:paraId="24DD10E0">
            <w:pPr>
              <w:spacing w:line="290" w:lineRule="exact"/>
              <w:ind w:left="122"/>
              <w:rPr>
                <w:rFonts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ascii="仿宋" w:hAnsi="仿宋" w:eastAsia="仿宋" w:cs="仿宋"/>
                <w:color w:val="auto"/>
                <w:spacing w:val="-8"/>
                <w:position w:val="2"/>
                <w:sz w:val="21"/>
                <w:szCs w:val="21"/>
              </w:rPr>
              <w:t>到</w:t>
            </w:r>
            <w:r>
              <w:rPr>
                <w:rFonts w:hint="eastAsia" w:ascii="仿宋" w:hAnsi="仿宋" w:eastAsia="仿宋" w:cs="仿宋"/>
                <w:color w:val="auto"/>
                <w:spacing w:val="-8"/>
                <w:position w:val="2"/>
                <w:sz w:val="21"/>
                <w:szCs w:val="21"/>
                <w:lang w:val="en-US" w:eastAsia="zh-CN"/>
              </w:rPr>
              <w:t>协会</w:t>
            </w:r>
            <w:r>
              <w:rPr>
                <w:rFonts w:ascii="仿宋" w:hAnsi="仿宋" w:eastAsia="仿宋" w:cs="仿宋"/>
                <w:color w:val="auto"/>
                <w:spacing w:val="-5"/>
                <w:position w:val="2"/>
                <w:sz w:val="21"/>
                <w:szCs w:val="21"/>
              </w:rPr>
              <w:t>邮箱</w:t>
            </w:r>
            <w:r>
              <w:rPr>
                <w:rFonts w:hint="eastAsia" w:ascii="仿宋" w:hAnsi="仿宋" w:eastAsia="仿宋" w:cs="仿宋"/>
                <w:color w:val="auto"/>
                <w:spacing w:val="-5"/>
                <w:position w:val="2"/>
                <w:sz w:val="21"/>
                <w:szCs w:val="21"/>
                <w:lang w:eastAsia="zh-CN"/>
              </w:rPr>
              <w:t>：zsszxh@126.com</w:t>
            </w:r>
            <w:r>
              <w:rPr>
                <w:rFonts w:ascii="仿宋" w:hAnsi="仿宋" w:eastAsia="仿宋" w:cs="仿宋"/>
                <w:color w:val="auto"/>
                <w:spacing w:val="-5"/>
                <w:position w:val="2"/>
                <w:sz w:val="21"/>
                <w:szCs w:val="21"/>
              </w:rPr>
              <w:t>。</w:t>
            </w:r>
          </w:p>
        </w:tc>
        <w:tc>
          <w:tcPr>
            <w:tcW w:w="1314" w:type="dxa"/>
            <w:vAlign w:val="top"/>
          </w:tcPr>
          <w:p w14:paraId="64F901F2">
            <w:pPr>
              <w:spacing w:line="264" w:lineRule="auto"/>
              <w:rPr>
                <w:rFonts w:ascii="Arial"/>
                <w:sz w:val="21"/>
              </w:rPr>
            </w:pPr>
          </w:p>
          <w:p w14:paraId="6886F747">
            <w:pPr>
              <w:spacing w:line="265" w:lineRule="auto"/>
              <w:rPr>
                <w:rFonts w:ascii="Arial"/>
                <w:sz w:val="21"/>
              </w:rPr>
            </w:pPr>
          </w:p>
          <w:p w14:paraId="56F16ECE">
            <w:pPr>
              <w:spacing w:before="68" w:line="223" w:lineRule="auto"/>
              <w:ind w:left="461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6"/>
                <w:sz w:val="21"/>
                <w:szCs w:val="21"/>
              </w:rPr>
              <w:t>完</w:t>
            </w:r>
            <w:r>
              <w:rPr>
                <w:rFonts w:ascii="仿宋" w:hAnsi="仿宋" w:eastAsia="仿宋" w:cs="仿宋"/>
                <w:spacing w:val="-4"/>
                <w:sz w:val="21"/>
                <w:szCs w:val="21"/>
              </w:rPr>
              <w:t>工</w:t>
            </w:r>
          </w:p>
        </w:tc>
      </w:tr>
      <w:tr w14:paraId="67DCEF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4" w:hRule="atLeast"/>
        </w:trPr>
        <w:tc>
          <w:tcPr>
            <w:tcW w:w="1376" w:type="dxa"/>
            <w:gridSpan w:val="2"/>
            <w:vAlign w:val="top"/>
          </w:tcPr>
          <w:p w14:paraId="5247578D">
            <w:pPr>
              <w:spacing w:line="265" w:lineRule="auto"/>
              <w:rPr>
                <w:rFonts w:ascii="Arial"/>
                <w:sz w:val="21"/>
                <w:highlight w:val="none"/>
              </w:rPr>
            </w:pPr>
          </w:p>
          <w:p w14:paraId="39902AC8">
            <w:pPr>
              <w:spacing w:line="265" w:lineRule="auto"/>
              <w:rPr>
                <w:rFonts w:ascii="Arial"/>
                <w:sz w:val="21"/>
                <w:highlight w:val="none"/>
              </w:rPr>
            </w:pPr>
          </w:p>
          <w:p w14:paraId="14681104">
            <w:pPr>
              <w:spacing w:before="68" w:line="222" w:lineRule="auto"/>
              <w:ind w:left="488"/>
              <w:rPr>
                <w:rFonts w:hint="default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4"/>
                <w:sz w:val="21"/>
                <w:szCs w:val="21"/>
                <w:highlight w:val="none"/>
                <w:lang w:val="en-US" w:eastAsia="zh-CN"/>
                <w14:textOutline w14:w="2667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证书</w:t>
            </w:r>
          </w:p>
        </w:tc>
        <w:tc>
          <w:tcPr>
            <w:tcW w:w="7418" w:type="dxa"/>
            <w:gridSpan w:val="2"/>
            <w:vAlign w:val="top"/>
          </w:tcPr>
          <w:p w14:paraId="1D84418E">
            <w:pPr>
              <w:spacing w:before="134" w:line="411" w:lineRule="auto"/>
              <w:ind w:left="117" w:right="636" w:firstLine="20"/>
              <w:rPr>
                <w:rFonts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4"/>
                <w:sz w:val="21"/>
                <w:szCs w:val="21"/>
                <w:highlight w:val="none"/>
              </w:rPr>
              <w:t>工程项目通过复评，通过专家评委会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  <w:highlight w:val="none"/>
              </w:rPr>
              <w:t>、提交安全告知书后，我会会对</w:t>
            </w:r>
            <w:r>
              <w:rPr>
                <w:rFonts w:hint="eastAsia" w:ascii="仿宋" w:hAnsi="仿宋" w:eastAsia="仿宋" w:cs="仿宋"/>
                <w:spacing w:val="-2"/>
                <w:sz w:val="21"/>
                <w:szCs w:val="21"/>
                <w:highlight w:val="none"/>
                <w:lang w:val="en-US" w:eastAsia="zh-CN"/>
                <w14:textOutline w14:w="2667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获得评价等级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  <w:highlight w:val="none"/>
              </w:rPr>
              <w:t>项目予以公示：</w:t>
            </w:r>
            <w:r>
              <w:rPr>
                <w:rFonts w:ascii="仿宋" w:hAnsi="仿宋" w:eastAsia="仿宋" w:cs="仿宋"/>
                <w:sz w:val="21"/>
                <w:szCs w:val="21"/>
                <w:highlight w:val="none"/>
              </w:rPr>
              <w:t xml:space="preserve"> </w:t>
            </w:r>
            <w:r>
              <w:rPr>
                <w:rFonts w:ascii="仿宋" w:hAnsi="仿宋" w:eastAsia="仿宋" w:cs="仿宋"/>
                <w:spacing w:val="-13"/>
                <w:sz w:val="21"/>
                <w:szCs w:val="21"/>
                <w:highlight w:val="none"/>
              </w:rPr>
              <w:t xml:space="preserve">上半年公示： </w:t>
            </w:r>
            <w:r>
              <w:rPr>
                <w:rFonts w:ascii="仿宋" w:hAnsi="仿宋" w:eastAsia="仿宋" w:cs="仿宋"/>
                <w:spacing w:val="-13"/>
                <w:sz w:val="21"/>
                <w:szCs w:val="21"/>
                <w:highlight w:val="none"/>
                <w:u w:val="single" w:color="auto"/>
                <w14:textOutline w14:w="2667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提交告知书</w:t>
            </w:r>
            <w:r>
              <w:rPr>
                <w:rFonts w:ascii="仿宋" w:hAnsi="仿宋" w:eastAsia="仿宋" w:cs="仿宋"/>
                <w:spacing w:val="-13"/>
                <w:sz w:val="21"/>
                <w:szCs w:val="21"/>
                <w:highlight w:val="none"/>
              </w:rPr>
              <w:t>时间段为自然年 1 月 1 日-6 月 30 日</w:t>
            </w:r>
            <w:r>
              <w:rPr>
                <w:rFonts w:ascii="仿宋" w:hAnsi="仿宋" w:eastAsia="仿宋" w:cs="仿宋"/>
                <w:spacing w:val="-10"/>
                <w:sz w:val="21"/>
                <w:szCs w:val="21"/>
                <w:highlight w:val="none"/>
              </w:rPr>
              <w:t>；</w:t>
            </w:r>
          </w:p>
          <w:p w14:paraId="0BEB6E10">
            <w:pPr>
              <w:spacing w:before="1" w:line="220" w:lineRule="auto"/>
              <w:ind w:left="120"/>
              <w:rPr>
                <w:rFonts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ascii="仿宋" w:hAnsi="仿宋" w:eastAsia="仿宋" w:cs="仿宋"/>
                <w:spacing w:val="-24"/>
                <w:sz w:val="21"/>
                <w:szCs w:val="21"/>
                <w:highlight w:val="none"/>
              </w:rPr>
              <w:t>下半</w:t>
            </w:r>
            <w:r>
              <w:rPr>
                <w:rFonts w:ascii="仿宋" w:hAnsi="仿宋" w:eastAsia="仿宋" w:cs="仿宋"/>
                <w:spacing w:val="-17"/>
                <w:sz w:val="21"/>
                <w:szCs w:val="21"/>
                <w:highlight w:val="none"/>
              </w:rPr>
              <w:t>年</w:t>
            </w:r>
            <w:r>
              <w:rPr>
                <w:rFonts w:ascii="仿宋" w:hAnsi="仿宋" w:eastAsia="仿宋" w:cs="仿宋"/>
                <w:spacing w:val="-12"/>
                <w:sz w:val="21"/>
                <w:szCs w:val="21"/>
                <w:highlight w:val="none"/>
              </w:rPr>
              <w:t xml:space="preserve">公示： </w:t>
            </w:r>
            <w:r>
              <w:rPr>
                <w:rFonts w:ascii="仿宋" w:hAnsi="仿宋" w:eastAsia="仿宋" w:cs="仿宋"/>
                <w:spacing w:val="-12"/>
                <w:sz w:val="21"/>
                <w:szCs w:val="21"/>
                <w:highlight w:val="none"/>
                <w:u w:val="single" w:color="auto"/>
                <w14:textOutline w14:w="2667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提交告知书</w:t>
            </w:r>
            <w:r>
              <w:rPr>
                <w:rFonts w:ascii="仿宋" w:hAnsi="仿宋" w:eastAsia="仿宋" w:cs="仿宋"/>
                <w:spacing w:val="-12"/>
                <w:sz w:val="21"/>
                <w:szCs w:val="21"/>
                <w:highlight w:val="none"/>
              </w:rPr>
              <w:t>时间段为自然年 7 月 1 日-12 月 31 日。</w:t>
            </w:r>
          </w:p>
        </w:tc>
      </w:tr>
    </w:tbl>
    <w:p w14:paraId="42DDBB6F">
      <w:pPr>
        <w:rPr>
          <w:rFonts w:ascii="Arial"/>
          <w:sz w:val="21"/>
        </w:rPr>
      </w:pPr>
    </w:p>
    <w:sectPr>
      <w:pgSz w:w="11905" w:h="16840"/>
      <w:pgMar w:top="1431" w:right="1417" w:bottom="0" w:left="1687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9BEA2B8"/>
    <w:multiLevelType w:val="singleLevel"/>
    <w:tmpl w:val="99BEA2B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E8D0D3F4"/>
    <w:multiLevelType w:val="singleLevel"/>
    <w:tmpl w:val="E8D0D3F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MzEwNTM5NzYwMDRjMzkwZTVkZjY2ODkwMGIxNGU0OTUifQ=="/>
  </w:docVars>
  <w:rsids>
    <w:rsidRoot w:val="00000000"/>
    <w:rsid w:val="0383325B"/>
    <w:rsid w:val="048B7990"/>
    <w:rsid w:val="07577FFE"/>
    <w:rsid w:val="12885985"/>
    <w:rsid w:val="12A0377E"/>
    <w:rsid w:val="15D06EAB"/>
    <w:rsid w:val="194924B3"/>
    <w:rsid w:val="19E12055"/>
    <w:rsid w:val="1C672639"/>
    <w:rsid w:val="226851B4"/>
    <w:rsid w:val="230B3B98"/>
    <w:rsid w:val="2443573A"/>
    <w:rsid w:val="28221B0A"/>
    <w:rsid w:val="2C3168BD"/>
    <w:rsid w:val="2D3F0904"/>
    <w:rsid w:val="311A5A74"/>
    <w:rsid w:val="38F5326E"/>
    <w:rsid w:val="3A5C70FE"/>
    <w:rsid w:val="3BDD6B69"/>
    <w:rsid w:val="3C756489"/>
    <w:rsid w:val="40584EE9"/>
    <w:rsid w:val="45FE35B8"/>
    <w:rsid w:val="461943F8"/>
    <w:rsid w:val="47A70BCE"/>
    <w:rsid w:val="47CF14F8"/>
    <w:rsid w:val="4A547DC4"/>
    <w:rsid w:val="5302453F"/>
    <w:rsid w:val="59723DF0"/>
    <w:rsid w:val="5A6D0509"/>
    <w:rsid w:val="5B3059C9"/>
    <w:rsid w:val="5BEA111B"/>
    <w:rsid w:val="5E6D4B86"/>
    <w:rsid w:val="5F925966"/>
    <w:rsid w:val="62555998"/>
    <w:rsid w:val="640E7EBD"/>
    <w:rsid w:val="69CC5599"/>
    <w:rsid w:val="6A6F2627"/>
    <w:rsid w:val="6DA15082"/>
    <w:rsid w:val="7192030D"/>
    <w:rsid w:val="78450895"/>
    <w:rsid w:val="7BD52290"/>
    <w:rsid w:val="7D1961AD"/>
    <w:rsid w:val="7D9046C1"/>
    <w:rsid w:val="7EE25EA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746</Words>
  <Characters>853</Characters>
  <TotalTime>8</TotalTime>
  <ScaleCrop>false</ScaleCrop>
  <LinksUpToDate>false</LinksUpToDate>
  <CharactersWithSpaces>891</CharactersWithSpaces>
  <Application>WPS Office_12.1.0.19770_F1E327BC-269C-435d-A152-05C5408002CA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2022-05-16T10:19:00Z</dcterms:created>
  <dc:creator>Administrator</dc:creator>
  <cp:lastModifiedBy>jh</cp:lastModifiedBy>
  <dcterms:modified xsi:type="dcterms:W3CDTF">2025-02-17T01:34:25Z</dcterms:modified>
  <dc:title>&lt;4D6963726F736F667420576F7264202D20CAA1CBABD3C5C6C0C9F3CDA8D6AAB5A52E646F6378&gt;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2023-03-20T11:05:05Z</vt:filetime>
  </property>
  <property fmtid="{D5CDD505-2E9C-101B-9397-08002B2CF9AE}" pid="4" name="KSOProductBuildVer">
    <vt:lpwstr>2052-12.1.0.19770</vt:lpwstr>
  </property>
  <property fmtid="{D5CDD505-2E9C-101B-9397-08002B2CF9AE}" pid="5" name="ICV">
    <vt:lpwstr>92BAA7713C984969B6AE650346ED76C2</vt:lpwstr>
  </property>
  <property fmtid="{D5CDD505-2E9C-101B-9397-08002B2CF9AE}" pid="6" name="KSOTemplateDocerSaveRecord">
    <vt:lpwstr>eyJoZGlkIjoiMzJlMmY2MDdhMmUwYzhhMDdjOThiMjZjYjVkZDIwYzYiLCJ1c2VySWQiOiI0OTQ2NzI0NzYifQ==</vt:lpwstr>
  </property>
</Properties>
</file>