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B1049">
      <w:pPr>
        <w:pStyle w:val="10"/>
        <w:spacing w:before="44"/>
        <w:ind w:right="1275"/>
        <w:rPr>
          <w:rFonts w:ascii="PMingLiU" w:eastAsia="PMingLiU"/>
          <w:sz w:val="44"/>
        </w:rPr>
      </w:pPr>
      <w:r>
        <w:rPr>
          <w:rFonts w:hint="eastAsia" w:asciiTheme="minorEastAsia" w:hAnsiTheme="minorEastAsia" w:eastAsiaTheme="minorEastAsia"/>
          <w:color w:val="auto"/>
        </w:rPr>
        <w:t>中山</w:t>
      </w:r>
      <w:r>
        <w:rPr>
          <w:color w:val="auto"/>
        </w:rPr>
        <w:t>市</w:t>
      </w:r>
      <w:r>
        <w:rPr>
          <w:rFonts w:hint="eastAsia"/>
          <w:color w:val="auto"/>
        </w:rPr>
        <w:t>市政行业协会</w:t>
      </w:r>
      <w:r>
        <w:t>市政工程质量水平评价办法</w:t>
      </w:r>
      <w:r>
        <w:rPr>
          <w:rFonts w:hint="eastAsia" w:ascii="PMingLiU" w:eastAsia="PMingLiU"/>
          <w:sz w:val="44"/>
        </w:rPr>
        <w:t>（试行）</w:t>
      </w:r>
    </w:p>
    <w:p w14:paraId="1C4906D0">
      <w:pPr>
        <w:pStyle w:val="2"/>
        <w:spacing w:before="8"/>
        <w:ind w:left="0" w:right="0" w:firstLine="0"/>
        <w:rPr>
          <w:rFonts w:ascii="PMingLiU"/>
          <w:sz w:val="47"/>
        </w:rPr>
      </w:pPr>
    </w:p>
    <w:p w14:paraId="3CE489C4">
      <w:pPr>
        <w:pStyle w:val="11"/>
        <w:spacing w:before="1"/>
        <w:ind w:left="3228"/>
        <w:jc w:val="both"/>
      </w:pPr>
      <w:r>
        <w:t>第一章 总 则</w:t>
      </w:r>
    </w:p>
    <w:p w14:paraId="04725B6D">
      <w:pPr>
        <w:pStyle w:val="2"/>
        <w:spacing w:before="170" w:line="338" w:lineRule="auto"/>
        <w:jc w:val="both"/>
        <w:rPr>
          <w:color w:val="auto"/>
        </w:rPr>
      </w:pPr>
      <w:r>
        <w:rPr>
          <w:b/>
          <w:spacing w:val="1"/>
        </w:rPr>
        <w:t xml:space="preserve">第一条 </w:t>
      </w:r>
      <w:r>
        <w:rPr>
          <w:spacing w:val="6"/>
        </w:rPr>
        <w:t>为深入贯彻习近平新时代中国特色社会主义思</w:t>
      </w:r>
      <w:r>
        <w:rPr>
          <w:spacing w:val="-1"/>
          <w:w w:val="95"/>
        </w:rPr>
        <w:t>想，落实党中央关于高质量发展的决策部署，践行发展新质</w:t>
      </w:r>
      <w:r>
        <w:rPr>
          <w:spacing w:val="-3"/>
        </w:rPr>
        <w:t>生产力，增强市政工程参建各方主体的质量意识，树立工程</w:t>
      </w:r>
      <w:r>
        <w:rPr>
          <w:spacing w:val="-5"/>
        </w:rPr>
        <w:t>质量标杆项目，不断提升工程质</w:t>
      </w:r>
      <w:r>
        <w:rPr>
          <w:color w:val="auto"/>
          <w:spacing w:val="-5"/>
        </w:rPr>
        <w:t>量水平，规范</w:t>
      </w:r>
      <w:r>
        <w:rPr>
          <w:rFonts w:hint="eastAsia"/>
          <w:color w:val="auto"/>
          <w:spacing w:val="-5"/>
        </w:rPr>
        <w:t>中山</w:t>
      </w:r>
      <w:r>
        <w:rPr>
          <w:color w:val="auto"/>
          <w:spacing w:val="-5"/>
        </w:rPr>
        <w:t>市市政工程项目水平评价活动，根据《中华人民共和国建筑法》《建</w:t>
      </w:r>
      <w:r>
        <w:rPr>
          <w:color w:val="auto"/>
          <w:spacing w:val="-6"/>
        </w:rPr>
        <w:t>设工程质量管理条例》及相关标准规定，</w:t>
      </w:r>
      <w:r>
        <w:rPr>
          <w:rFonts w:hint="eastAsia"/>
          <w:color w:val="auto"/>
          <w:spacing w:val="-6"/>
        </w:rPr>
        <w:t>中山</w:t>
      </w:r>
      <w:r>
        <w:rPr>
          <w:color w:val="auto"/>
          <w:spacing w:val="-6"/>
        </w:rPr>
        <w:t>市市政行业协会（以下简称“市市政协会”）制定本办法。</w:t>
      </w:r>
    </w:p>
    <w:p w14:paraId="3B28CB3B">
      <w:pPr>
        <w:pStyle w:val="2"/>
        <w:spacing w:before="14" w:line="338" w:lineRule="auto"/>
        <w:ind w:right="278"/>
        <w:rPr>
          <w:color w:val="auto"/>
        </w:rPr>
      </w:pPr>
      <w:r>
        <w:rPr>
          <w:b/>
          <w:color w:val="auto"/>
          <w:spacing w:val="3"/>
        </w:rPr>
        <w:t xml:space="preserve">第二条 </w:t>
      </w:r>
      <w:r>
        <w:rPr>
          <w:rFonts w:hint="eastAsia"/>
          <w:color w:val="auto"/>
          <w:spacing w:val="-6"/>
        </w:rPr>
        <w:t>中山</w:t>
      </w:r>
      <w:r>
        <w:rPr>
          <w:color w:val="auto"/>
          <w:spacing w:val="-6"/>
        </w:rPr>
        <w:t>市</w:t>
      </w:r>
      <w:r>
        <w:rPr>
          <w:rFonts w:hint="eastAsia"/>
          <w:color w:val="auto"/>
          <w:spacing w:val="-6"/>
        </w:rPr>
        <w:t>市政行业协会</w:t>
      </w:r>
      <w:r>
        <w:rPr>
          <w:color w:val="auto"/>
          <w:spacing w:val="7"/>
        </w:rPr>
        <w:t>市政工程质量水平评价（</w:t>
      </w:r>
      <w:r>
        <w:rPr>
          <w:color w:val="auto"/>
          <w:spacing w:val="5"/>
        </w:rPr>
        <w:t>以下简称“质量水平评价</w:t>
      </w:r>
      <w:r>
        <w:rPr>
          <w:color w:val="auto"/>
          <w:spacing w:val="-55"/>
        </w:rPr>
        <w:t>”）</w:t>
      </w:r>
      <w:r>
        <w:rPr>
          <w:color w:val="auto"/>
          <w:spacing w:val="-5"/>
        </w:rPr>
        <w:t xml:space="preserve">是指已经竣工验收并经过一个冬、雨季使用， </w:t>
      </w:r>
      <w:r>
        <w:rPr>
          <w:color w:val="auto"/>
          <w:spacing w:val="-2"/>
        </w:rPr>
        <w:t>质量优良，工艺、技术先进，具有专业代表性和示范作用的工程，代表</w:t>
      </w:r>
      <w:r>
        <w:rPr>
          <w:rFonts w:hint="eastAsia"/>
          <w:color w:val="auto"/>
          <w:spacing w:val="-2"/>
        </w:rPr>
        <w:t>中山</w:t>
      </w:r>
      <w:r>
        <w:rPr>
          <w:color w:val="auto"/>
          <w:spacing w:val="-2"/>
        </w:rPr>
        <w:t>市市政工程质量先进水平。</w:t>
      </w:r>
    </w:p>
    <w:p w14:paraId="586CFEEE">
      <w:pPr>
        <w:pStyle w:val="2"/>
        <w:spacing w:before="6" w:line="340" w:lineRule="auto"/>
        <w:jc w:val="both"/>
        <w:rPr>
          <w:color w:val="auto"/>
        </w:rPr>
      </w:pPr>
      <w:r>
        <w:rPr>
          <w:b/>
          <w:color w:val="auto"/>
          <w:spacing w:val="1"/>
        </w:rPr>
        <w:t xml:space="preserve">第三条 </w:t>
      </w:r>
      <w:r>
        <w:rPr>
          <w:color w:val="auto"/>
          <w:spacing w:val="6"/>
        </w:rPr>
        <w:t>质量水平评价按照客观、公平、公正、择优的</w:t>
      </w:r>
      <w:r>
        <w:rPr>
          <w:color w:val="auto"/>
          <w:w w:val="95"/>
        </w:rPr>
        <w:t xml:space="preserve">原则，从质量跟踪、过程检查、实物验评、工程技术资料审 </w:t>
      </w:r>
      <w:r>
        <w:rPr>
          <w:color w:val="auto"/>
        </w:rPr>
        <w:t>查等四个方面进行评价。</w:t>
      </w:r>
    </w:p>
    <w:p w14:paraId="4BBC69A8">
      <w:pPr>
        <w:pStyle w:val="2"/>
        <w:spacing w:line="340" w:lineRule="auto"/>
        <w:ind w:right="437"/>
        <w:jc w:val="both"/>
        <w:rPr>
          <w:color w:val="auto"/>
        </w:rPr>
      </w:pPr>
      <w:r>
        <w:rPr>
          <w:b/>
          <w:color w:val="auto"/>
        </w:rPr>
        <w:t xml:space="preserve">第四条 </w:t>
      </w:r>
      <w:r>
        <w:rPr>
          <w:color w:val="auto"/>
        </w:rPr>
        <w:t>质量水平评价项目可由建设五方主体的任何一方组织申报，申报项目应符合法定建设程序。</w:t>
      </w:r>
    </w:p>
    <w:p w14:paraId="7CA3B323">
      <w:pPr>
        <w:pStyle w:val="2"/>
        <w:spacing w:line="340" w:lineRule="auto"/>
        <w:ind w:right="437"/>
        <w:jc w:val="both"/>
        <w:rPr>
          <w:color w:val="auto"/>
        </w:rPr>
      </w:pPr>
      <w:r>
        <w:rPr>
          <w:b/>
          <w:color w:val="auto"/>
        </w:rPr>
        <w:t>第五条</w:t>
      </w:r>
      <w:r>
        <w:rPr>
          <w:rFonts w:hint="eastAsia"/>
          <w:b/>
          <w:color w:val="auto"/>
        </w:rPr>
        <w:t xml:space="preserve"> </w:t>
      </w:r>
      <w:r>
        <w:rPr>
          <w:color w:val="auto"/>
        </w:rPr>
        <w:t>质量</w:t>
      </w:r>
      <w:r>
        <w:rPr>
          <w:rFonts w:hint="eastAsia"/>
          <w:color w:val="auto"/>
        </w:rPr>
        <w:t>水平</w:t>
      </w:r>
      <w:r>
        <w:rPr>
          <w:color w:val="auto"/>
        </w:rPr>
        <w:t>评价结果</w:t>
      </w:r>
      <w:r>
        <w:rPr>
          <w:rFonts w:hint="eastAsia"/>
          <w:color w:val="auto"/>
        </w:rPr>
        <w:t>分为AA、A两个等级和“不获等级”三个档次。本会根据评价结果向相应企业核发“中山市市政行业协会工程质量水平评价结果证书或相关证明”</w:t>
      </w:r>
      <w:r>
        <w:rPr>
          <w:color w:val="auto"/>
        </w:rPr>
        <w:t>。</w:t>
      </w:r>
    </w:p>
    <w:p w14:paraId="5E5CCF8A">
      <w:pPr>
        <w:pStyle w:val="2"/>
        <w:spacing w:line="340" w:lineRule="auto"/>
        <w:ind w:right="437"/>
        <w:jc w:val="both"/>
        <w:rPr>
          <w:color w:val="auto"/>
        </w:rPr>
      </w:pPr>
      <w:r>
        <w:rPr>
          <w:b/>
          <w:color w:val="auto"/>
        </w:rPr>
        <w:t>第六条</w:t>
      </w:r>
      <w:r>
        <w:rPr>
          <w:rFonts w:hint="eastAsia"/>
          <w:b/>
          <w:color w:val="auto"/>
        </w:rPr>
        <w:t xml:space="preserve"> </w:t>
      </w:r>
      <w:r>
        <w:rPr>
          <w:color w:val="auto"/>
        </w:rPr>
        <w:t>质量</w:t>
      </w:r>
      <w:r>
        <w:rPr>
          <w:rFonts w:hint="eastAsia"/>
          <w:color w:val="auto"/>
        </w:rPr>
        <w:t>水平</w:t>
      </w:r>
      <w:r>
        <w:rPr>
          <w:color w:val="auto"/>
        </w:rPr>
        <w:t>评价活动接受市住房</w:t>
      </w:r>
      <w:r>
        <w:rPr>
          <w:rFonts w:hint="eastAsia"/>
          <w:color w:val="auto"/>
        </w:rPr>
        <w:t>和</w:t>
      </w:r>
      <w:r>
        <w:rPr>
          <w:color w:val="auto"/>
        </w:rPr>
        <w:t>城乡建设</w:t>
      </w:r>
      <w:r>
        <w:rPr>
          <w:rFonts w:hint="eastAsia"/>
          <w:color w:val="auto"/>
        </w:rPr>
        <w:t>局的</w:t>
      </w:r>
      <w:r>
        <w:rPr>
          <w:color w:val="auto"/>
        </w:rPr>
        <w:t>指导。</w:t>
      </w:r>
    </w:p>
    <w:p w14:paraId="145CD480">
      <w:pPr>
        <w:pStyle w:val="2"/>
        <w:spacing w:before="5"/>
        <w:ind w:left="0" w:right="0" w:firstLine="0"/>
        <w:rPr>
          <w:color w:val="auto"/>
          <w:sz w:val="44"/>
        </w:rPr>
      </w:pPr>
    </w:p>
    <w:p w14:paraId="4097C271">
      <w:pPr>
        <w:pStyle w:val="11"/>
        <w:spacing w:before="1"/>
        <w:rPr>
          <w:color w:val="auto"/>
        </w:rPr>
      </w:pPr>
      <w:r>
        <w:rPr>
          <w:color w:val="auto"/>
        </w:rPr>
        <w:t>第二章 评价机构</w:t>
      </w:r>
    </w:p>
    <w:p w14:paraId="29E8DC48">
      <w:pPr>
        <w:pStyle w:val="2"/>
        <w:spacing w:before="170" w:line="340" w:lineRule="auto"/>
        <w:rPr>
          <w:color w:val="auto"/>
        </w:rPr>
      </w:pPr>
      <w:r>
        <w:rPr>
          <w:b/>
          <w:color w:val="auto"/>
        </w:rPr>
        <w:t xml:space="preserve">第七条 </w:t>
      </w:r>
      <w:r>
        <w:rPr>
          <w:color w:val="auto"/>
        </w:rPr>
        <w:t>市市政协会秘书处负责申报质量水平评价项目全过程评价工作的组织和实施。</w:t>
      </w:r>
    </w:p>
    <w:p w14:paraId="4CFC224E">
      <w:pPr>
        <w:pStyle w:val="2"/>
        <w:spacing w:before="26" w:line="338" w:lineRule="auto"/>
        <w:ind w:right="428"/>
        <w:jc w:val="right"/>
        <w:rPr>
          <w:color w:val="auto"/>
        </w:rPr>
      </w:pPr>
      <w:r>
        <w:rPr>
          <w:b/>
          <w:color w:val="auto"/>
        </w:rPr>
        <w:t xml:space="preserve">第八条 </w:t>
      </w:r>
      <w:r>
        <w:rPr>
          <w:rFonts w:hint="eastAsia"/>
          <w:color w:val="auto"/>
        </w:rPr>
        <w:t>市</w:t>
      </w:r>
      <w:r>
        <w:rPr>
          <w:color w:val="auto"/>
        </w:rPr>
        <w:t>市政协会根据申报项目在质量跟踪、过程检查、实物验评、工程技术资料审查等方面存在的疑难问题， 组织由行业资深专家组成的“专家委员会”进行研判处理。</w:t>
      </w:r>
    </w:p>
    <w:p w14:paraId="326E0C8C">
      <w:pPr>
        <w:pStyle w:val="2"/>
        <w:spacing w:before="26" w:line="338" w:lineRule="auto"/>
        <w:ind w:right="428"/>
        <w:jc w:val="right"/>
        <w:rPr>
          <w:color w:val="auto"/>
        </w:rPr>
      </w:pPr>
      <w:r>
        <w:rPr>
          <w:b/>
          <w:bCs/>
          <w:color w:val="auto"/>
        </w:rPr>
        <w:t xml:space="preserve"> 第</w:t>
      </w:r>
      <w:r>
        <w:rPr>
          <w:rFonts w:hint="eastAsia"/>
          <w:b/>
          <w:bCs/>
          <w:color w:val="auto"/>
        </w:rPr>
        <w:t>九</w:t>
      </w:r>
      <w:r>
        <w:rPr>
          <w:b/>
          <w:bCs/>
          <w:color w:val="auto"/>
        </w:rPr>
        <w:t>条</w:t>
      </w:r>
      <w:r>
        <w:rPr>
          <w:color w:val="auto"/>
        </w:rPr>
        <w:t xml:space="preserve"> </w:t>
      </w:r>
      <w:r>
        <w:rPr>
          <w:rFonts w:hint="eastAsia"/>
          <w:color w:val="auto"/>
        </w:rPr>
        <w:t>市</w:t>
      </w:r>
      <w:r>
        <w:rPr>
          <w:color w:val="auto"/>
        </w:rPr>
        <w:t>市政协会每年召开质量水平评价复评评定会</w:t>
      </w:r>
    </w:p>
    <w:p w14:paraId="7F95A789">
      <w:pPr>
        <w:pStyle w:val="2"/>
        <w:spacing w:before="8" w:line="340" w:lineRule="auto"/>
        <w:ind w:right="437" w:firstLine="0"/>
        <w:rPr>
          <w:color w:val="auto"/>
        </w:rPr>
      </w:pPr>
      <w:r>
        <w:rPr>
          <w:color w:val="auto"/>
        </w:rPr>
        <w:t>议，会议成员由会长、副会长、秘书长、各复评专家组组长等组成。</w:t>
      </w:r>
    </w:p>
    <w:p w14:paraId="48D3A5D8">
      <w:pPr>
        <w:pStyle w:val="2"/>
        <w:spacing w:before="170" w:line="340" w:lineRule="auto"/>
        <w:rPr>
          <w:color w:val="auto"/>
        </w:rPr>
      </w:pPr>
      <w:r>
        <w:rPr>
          <w:b/>
          <w:bCs/>
          <w:color w:val="auto"/>
        </w:rPr>
        <w:t>第</w:t>
      </w:r>
      <w:r>
        <w:rPr>
          <w:rFonts w:hint="eastAsia"/>
          <w:b/>
          <w:bCs/>
          <w:color w:val="auto"/>
        </w:rPr>
        <w:t>十</w:t>
      </w:r>
      <w:r>
        <w:rPr>
          <w:b/>
          <w:bCs/>
          <w:color w:val="auto"/>
        </w:rPr>
        <w:t>条</w:t>
      </w:r>
      <w:r>
        <w:rPr>
          <w:color w:val="auto"/>
        </w:rPr>
        <w:t xml:space="preserve"> 参与质量水平评价活动的专家从协会专家库中按评价项目所含的专业类别进行遴选。</w:t>
      </w:r>
    </w:p>
    <w:p w14:paraId="1DF89398">
      <w:pPr>
        <w:pStyle w:val="2"/>
        <w:spacing w:before="170" w:line="340" w:lineRule="auto"/>
        <w:rPr>
          <w:color w:val="auto"/>
        </w:rPr>
      </w:pPr>
    </w:p>
    <w:p w14:paraId="31F8E8EE">
      <w:pPr>
        <w:pStyle w:val="11"/>
        <w:rPr>
          <w:color w:val="auto"/>
        </w:rPr>
      </w:pPr>
      <w:r>
        <w:rPr>
          <w:color w:val="auto"/>
        </w:rPr>
        <w:t>第三章 评价范围</w:t>
      </w:r>
    </w:p>
    <w:p w14:paraId="543ED065">
      <w:pPr>
        <w:pStyle w:val="11"/>
        <w:rPr>
          <w:color w:val="auto"/>
        </w:rPr>
      </w:pPr>
    </w:p>
    <w:p w14:paraId="394C4639">
      <w:pPr>
        <w:keepNext w:val="0"/>
        <w:keepLines w:val="0"/>
        <w:widowControl/>
        <w:suppressLineNumbers w:val="0"/>
        <w:ind w:firstLine="643" w:firstLineChars="200"/>
        <w:jc w:val="left"/>
        <w:rPr>
          <w:color w:val="auto"/>
        </w:rPr>
      </w:pPr>
      <w:r>
        <w:rPr>
          <w:rFonts w:ascii="仿宋" w:hAnsi="仿宋" w:eastAsia="仿宋" w:cs="仿宋"/>
          <w:b/>
          <w:color w:val="auto"/>
          <w:sz w:val="32"/>
          <w:szCs w:val="32"/>
          <w:lang w:val="zh-CN" w:eastAsia="zh-CN" w:bidi="zh-CN"/>
        </w:rPr>
        <w:t>第</w:t>
      </w:r>
      <w:r>
        <w:rPr>
          <w:rFonts w:hint="eastAsia" w:ascii="仿宋" w:hAnsi="仿宋" w:eastAsia="仿宋" w:cs="仿宋"/>
          <w:b/>
          <w:color w:val="auto"/>
          <w:sz w:val="32"/>
          <w:szCs w:val="32"/>
          <w:lang w:val="zh-CN" w:eastAsia="zh-CN" w:bidi="zh-CN"/>
        </w:rPr>
        <w:t>十</w:t>
      </w:r>
      <w:r>
        <w:rPr>
          <w:rFonts w:ascii="仿宋" w:hAnsi="仿宋" w:eastAsia="仿宋" w:cs="仿宋"/>
          <w:b/>
          <w:color w:val="auto"/>
          <w:sz w:val="32"/>
          <w:szCs w:val="32"/>
          <w:lang w:val="zh-CN" w:eastAsia="zh-CN" w:bidi="zh-CN"/>
        </w:rPr>
        <w:t xml:space="preserve">一条 </w:t>
      </w:r>
      <w:r>
        <w:rPr>
          <w:rFonts w:ascii="仿宋" w:hAnsi="仿宋" w:eastAsia="仿宋" w:cs="仿宋"/>
          <w:color w:val="000000"/>
          <w:kern w:val="0"/>
          <w:sz w:val="31"/>
          <w:szCs w:val="31"/>
          <w:highlight w:val="none"/>
          <w:lang w:val="en-US" w:eastAsia="zh-CN" w:bidi="ar"/>
        </w:rPr>
        <w:t>申报项目符合下列分类的均可纳入评价范围：</w:t>
      </w:r>
    </w:p>
    <w:p w14:paraId="5AC43D96">
      <w:pPr>
        <w:pStyle w:val="2"/>
        <w:spacing w:before="170" w:line="340" w:lineRule="auto"/>
        <w:rPr>
          <w:color w:val="auto"/>
        </w:rPr>
      </w:pPr>
      <w:r>
        <w:rPr>
          <w:color w:val="auto"/>
          <w:spacing w:val="-19"/>
        </w:rPr>
        <w:t xml:space="preserve">一、合同金额在 </w:t>
      </w:r>
      <w:r>
        <w:rPr>
          <w:color w:val="auto"/>
        </w:rPr>
        <w:t>1000</w:t>
      </w:r>
      <w:r>
        <w:rPr>
          <w:color w:val="auto"/>
          <w:spacing w:val="-16"/>
        </w:rPr>
        <w:t xml:space="preserve"> 万元及以上的城市道路、天桥</w:t>
      </w:r>
      <w:r>
        <w:rPr>
          <w:color w:val="auto"/>
        </w:rPr>
        <w:t>（廊</w:t>
      </w:r>
      <w:r>
        <w:rPr>
          <w:color w:val="auto"/>
          <w:w w:val="95"/>
        </w:rPr>
        <w:t>桥）</w:t>
      </w:r>
      <w:r>
        <w:rPr>
          <w:color w:val="auto"/>
          <w:spacing w:val="-3"/>
          <w:w w:val="95"/>
        </w:rPr>
        <w:t>、地下通道、给水管网和泵站、排水管网和泵站、防洪 排涝设施、园林绿化</w:t>
      </w:r>
      <w:r>
        <w:rPr>
          <w:color w:val="auto"/>
          <w:w w:val="95"/>
        </w:rPr>
        <w:t>（含公园、广场、湿地）、停车场、历</w:t>
      </w:r>
      <w:r>
        <w:rPr>
          <w:color w:val="auto"/>
        </w:rPr>
        <w:t>史文化街区及传统古村落保护等市政工程。</w:t>
      </w:r>
    </w:p>
    <w:p w14:paraId="3FEC1132">
      <w:pPr>
        <w:pStyle w:val="2"/>
        <w:spacing w:before="170" w:line="340" w:lineRule="auto"/>
        <w:rPr>
          <w:color w:val="auto"/>
          <w:spacing w:val="-12"/>
        </w:rPr>
      </w:pPr>
      <w:r>
        <w:rPr>
          <w:color w:val="auto"/>
          <w:spacing w:val="-5"/>
        </w:rPr>
        <w:t xml:space="preserve">二、合同金额在 </w:t>
      </w:r>
      <w:r>
        <w:rPr>
          <w:color w:val="auto"/>
        </w:rPr>
        <w:t>5000</w:t>
      </w:r>
      <w:r>
        <w:rPr>
          <w:color w:val="auto"/>
          <w:spacing w:val="-2"/>
        </w:rPr>
        <w:t xml:space="preserve"> 万元及以上的隧道、桥梁、综合管廊、水厂、污水处理厂、生活垃圾处理厂、风景名胜区</w:t>
      </w:r>
      <w:r>
        <w:rPr>
          <w:color w:val="auto"/>
          <w:spacing w:val="-12"/>
        </w:rPr>
        <w:t>、快速公交等市政工程。</w:t>
      </w:r>
    </w:p>
    <w:p w14:paraId="1EF36352">
      <w:pPr>
        <w:pStyle w:val="2"/>
        <w:spacing w:before="170" w:line="340" w:lineRule="auto"/>
        <w:rPr>
          <w:color w:val="auto"/>
        </w:rPr>
      </w:pPr>
      <w:r>
        <w:rPr>
          <w:color w:val="auto"/>
        </w:rPr>
        <w:t>三、合同金额在 5000 万元及以上的河涌水环境治理</w:t>
      </w:r>
      <w:r>
        <w:rPr>
          <w:rFonts w:hint="eastAsia"/>
          <w:color w:val="auto"/>
        </w:rPr>
        <w:t>、</w:t>
      </w:r>
    </w:p>
    <w:p w14:paraId="4A25A10F">
      <w:pPr>
        <w:pStyle w:val="2"/>
        <w:spacing w:before="26" w:line="340" w:lineRule="auto"/>
        <w:ind w:right="278" w:firstLine="0"/>
        <w:rPr>
          <w:color w:val="auto"/>
        </w:rPr>
      </w:pPr>
      <w:r>
        <w:rPr>
          <w:color w:val="auto"/>
          <w:spacing w:val="-10"/>
        </w:rPr>
        <w:t>生态修复工程</w:t>
      </w:r>
      <w:r>
        <w:rPr>
          <w:color w:val="auto"/>
        </w:rPr>
        <w:t>（</w:t>
      </w:r>
      <w:r>
        <w:rPr>
          <w:color w:val="auto"/>
          <w:spacing w:val="-12"/>
        </w:rPr>
        <w:t>含滩涂改造、废旧矿山修复、城市更新改造、</w:t>
      </w:r>
      <w:r>
        <w:rPr>
          <w:color w:val="auto"/>
        </w:rPr>
        <w:t>老旧工业厂房修复改造等）、历史文化名城保护工程。</w:t>
      </w:r>
    </w:p>
    <w:p w14:paraId="76043534">
      <w:pPr>
        <w:pStyle w:val="2"/>
        <w:keepNext w:val="0"/>
        <w:keepLines w:val="0"/>
        <w:pageBreakBefore w:val="0"/>
        <w:widowControl w:val="0"/>
        <w:kinsoku/>
        <w:wordWrap/>
        <w:overflowPunct/>
        <w:topLinePunct w:val="0"/>
        <w:autoSpaceDE w:val="0"/>
        <w:autoSpaceDN w:val="0"/>
        <w:bidi w:val="0"/>
        <w:adjustRightInd/>
        <w:snapToGrid/>
        <w:spacing w:line="360" w:lineRule="auto"/>
        <w:ind w:left="756" w:right="0" w:firstLine="0"/>
        <w:textAlignment w:val="auto"/>
        <w:rPr>
          <w:color w:val="auto"/>
        </w:rPr>
      </w:pPr>
      <w:r>
        <w:rPr>
          <w:color w:val="auto"/>
        </w:rPr>
        <w:t>四、合同金额在 600 万元以上的城市照明工程。</w:t>
      </w:r>
    </w:p>
    <w:p w14:paraId="15B0433F">
      <w:pPr>
        <w:pStyle w:val="2"/>
        <w:keepNext w:val="0"/>
        <w:keepLines w:val="0"/>
        <w:pageBreakBefore w:val="0"/>
        <w:widowControl w:val="0"/>
        <w:kinsoku/>
        <w:wordWrap/>
        <w:overflowPunct/>
        <w:topLinePunct w:val="0"/>
        <w:autoSpaceDE w:val="0"/>
        <w:autoSpaceDN w:val="0"/>
        <w:bidi w:val="0"/>
        <w:adjustRightInd/>
        <w:snapToGrid/>
        <w:spacing w:before="9" w:line="360" w:lineRule="auto"/>
        <w:textAlignment w:val="auto"/>
        <w:rPr>
          <w:rFonts w:ascii="宋体" w:eastAsia="宋体"/>
          <w:color w:val="auto"/>
        </w:rPr>
      </w:pPr>
      <w:r>
        <w:rPr>
          <w:color w:val="auto"/>
        </w:rPr>
        <w:t>五</w:t>
      </w:r>
      <w:r>
        <w:rPr>
          <w:color w:val="auto"/>
          <w:highlight w:val="none"/>
        </w:rPr>
        <w:t>、</w:t>
      </w:r>
      <w:r>
        <w:rPr>
          <w:rFonts w:hint="eastAsia"/>
          <w:color w:val="auto"/>
          <w:highlight w:val="none"/>
        </w:rPr>
        <w:t>专业分包单位参评的原则上不超过三家，合同工程量应不少于工程总承包合同金额的10%且合同金额超过500万元，且合计总造价之和不高于总承包合同造价的30%。</w:t>
      </w:r>
    </w:p>
    <w:p w14:paraId="314E55F5">
      <w:pPr>
        <w:pStyle w:val="2"/>
        <w:spacing w:before="164" w:line="340" w:lineRule="auto"/>
        <w:ind w:right="437"/>
        <w:rPr>
          <w:color w:val="auto"/>
        </w:rPr>
      </w:pPr>
      <w:r>
        <w:rPr>
          <w:b/>
          <w:color w:val="auto"/>
        </w:rPr>
        <w:t xml:space="preserve">第十二条 </w:t>
      </w:r>
      <w:r>
        <w:rPr>
          <w:color w:val="auto"/>
        </w:rPr>
        <w:t>有以下情况的项目经“专家委员会”研判认定后可纳入评价范围：</w:t>
      </w:r>
    </w:p>
    <w:p w14:paraId="5D012758">
      <w:pPr>
        <w:pStyle w:val="2"/>
        <w:spacing w:line="338" w:lineRule="auto"/>
        <w:rPr>
          <w:color w:val="auto"/>
        </w:rPr>
      </w:pPr>
      <w:r>
        <w:rPr>
          <w:color w:val="auto"/>
        </w:rPr>
        <w:t>一、规模较小，具有显著社会效益、环境效益、经济效益和纪念意义，且工程质量优异的市政基础设施工程；</w:t>
      </w:r>
    </w:p>
    <w:p w14:paraId="4618892E">
      <w:pPr>
        <w:pStyle w:val="2"/>
        <w:spacing w:line="338" w:lineRule="auto"/>
        <w:jc w:val="both"/>
        <w:rPr>
          <w:color w:val="auto"/>
        </w:rPr>
      </w:pPr>
      <w:r>
        <w:rPr>
          <w:color w:val="auto"/>
          <w:spacing w:val="-3"/>
        </w:rPr>
        <w:t>二、对于项目实施内容不具备完整功能，但具备局部使</w:t>
      </w:r>
      <w:r>
        <w:rPr>
          <w:color w:val="auto"/>
          <w:spacing w:val="-5"/>
        </w:rPr>
        <w:t>用功能的专业或专项项目如海绵城市改造、品质提升、人行道改造、旧路铺装等。</w:t>
      </w:r>
    </w:p>
    <w:p w14:paraId="12D45724">
      <w:pPr>
        <w:pStyle w:val="2"/>
        <w:spacing w:before="6" w:line="338" w:lineRule="auto"/>
        <w:jc w:val="both"/>
        <w:rPr>
          <w:color w:val="auto"/>
        </w:rPr>
      </w:pPr>
      <w:r>
        <w:rPr>
          <w:b/>
          <w:color w:val="auto"/>
          <w:spacing w:val="1"/>
        </w:rPr>
        <w:t xml:space="preserve">第十三条 </w:t>
      </w:r>
      <w:r>
        <w:rPr>
          <w:color w:val="auto"/>
          <w:spacing w:val="6"/>
        </w:rPr>
        <w:t>市政基础设施的运营、维修、养护项目，各</w:t>
      </w:r>
      <w:r>
        <w:rPr>
          <w:color w:val="auto"/>
          <w:spacing w:val="-1"/>
        </w:rPr>
        <w:t>项指标具有先进性和示范性，外观质量好，经相关专业委员会推荐后，可申报质量水平评价。</w:t>
      </w:r>
    </w:p>
    <w:p w14:paraId="511A163D">
      <w:pPr>
        <w:pStyle w:val="11"/>
        <w:ind w:left="1783"/>
        <w:rPr>
          <w:color w:val="auto"/>
        </w:rPr>
      </w:pPr>
      <w:r>
        <w:rPr>
          <w:color w:val="auto"/>
        </w:rPr>
        <w:t>第四章 不纳入水平评价范围的工程</w:t>
      </w:r>
    </w:p>
    <w:p w14:paraId="54347EC7">
      <w:pPr>
        <w:pStyle w:val="11"/>
        <w:ind w:left="1783"/>
        <w:rPr>
          <w:color w:val="auto"/>
        </w:rPr>
      </w:pPr>
    </w:p>
    <w:p w14:paraId="7A1BAE67">
      <w:pPr>
        <w:pStyle w:val="2"/>
        <w:spacing w:before="5" w:line="338" w:lineRule="auto"/>
        <w:ind w:right="278"/>
        <w:rPr>
          <w:color w:val="auto"/>
        </w:rPr>
      </w:pPr>
      <w:r>
        <w:rPr>
          <w:b/>
          <w:color w:val="auto"/>
        </w:rPr>
        <w:t xml:space="preserve">第十四条 </w:t>
      </w:r>
      <w:r>
        <w:rPr>
          <w:color w:val="auto"/>
        </w:rPr>
        <w:t>申报质量水平评价的项目发生下列情形时， 不纳入评价范围。</w:t>
      </w:r>
    </w:p>
    <w:p w14:paraId="3C64F717">
      <w:pPr>
        <w:pStyle w:val="2"/>
        <w:spacing w:before="26" w:line="340" w:lineRule="auto"/>
        <w:jc w:val="both"/>
        <w:rPr>
          <w:color w:val="auto"/>
        </w:rPr>
      </w:pPr>
      <w:r>
        <w:rPr>
          <w:color w:val="auto"/>
          <w:spacing w:val="-3"/>
        </w:rPr>
        <w:t>一、违反基本建设程序，不能提供施工许可证或相关主</w:t>
      </w:r>
      <w:r>
        <w:rPr>
          <w:color w:val="auto"/>
          <w:spacing w:val="11"/>
          <w:w w:val="95"/>
        </w:rPr>
        <w:t xml:space="preserve">管部门批准的开工证明文件或未纳入建设工程质量安全监 </w:t>
      </w:r>
      <w:r>
        <w:rPr>
          <w:color w:val="auto"/>
          <w:spacing w:val="11"/>
        </w:rPr>
        <w:t>督管理的工程。</w:t>
      </w:r>
    </w:p>
    <w:p w14:paraId="072231DB">
      <w:pPr>
        <w:pStyle w:val="2"/>
        <w:spacing w:line="340" w:lineRule="auto"/>
        <w:ind w:right="393"/>
        <w:rPr>
          <w:color w:val="auto"/>
        </w:rPr>
      </w:pPr>
      <w:r>
        <w:rPr>
          <w:b/>
          <w:color w:val="auto"/>
        </w:rPr>
        <w:t>二、</w:t>
      </w:r>
      <w:r>
        <w:rPr>
          <w:color w:val="auto"/>
        </w:rPr>
        <w:t>工程外观质量存在明显缺陷，主体结构或使用功能存在质量缺陷或隐患，出现影响安全和使用寿命缺陷的。</w:t>
      </w:r>
    </w:p>
    <w:p w14:paraId="461293E2">
      <w:pPr>
        <w:pStyle w:val="2"/>
        <w:spacing w:line="338" w:lineRule="auto"/>
        <w:rPr>
          <w:color w:val="auto"/>
        </w:rPr>
      </w:pPr>
      <w:r>
        <w:rPr>
          <w:b/>
          <w:color w:val="auto"/>
          <w:spacing w:val="-4"/>
          <w:w w:val="95"/>
        </w:rPr>
        <w:t>三、</w:t>
      </w:r>
      <w:r>
        <w:rPr>
          <w:color w:val="auto"/>
          <w:w w:val="95"/>
        </w:rPr>
        <w:t xml:space="preserve">不按有关规定进行施工安全生产标准化评定或评定 </w:t>
      </w:r>
      <w:r>
        <w:rPr>
          <w:color w:val="auto"/>
        </w:rPr>
        <w:t>为不合格的。</w:t>
      </w:r>
    </w:p>
    <w:p w14:paraId="0ADC7D18">
      <w:pPr>
        <w:pStyle w:val="2"/>
        <w:spacing w:line="340" w:lineRule="auto"/>
        <w:rPr>
          <w:color w:val="auto"/>
        </w:rPr>
      </w:pPr>
      <w:r>
        <w:rPr>
          <w:color w:val="auto"/>
        </w:rPr>
        <w:t>四、没有执行国家强制性技术标准的或超越资质范围施工的。</w:t>
      </w:r>
    </w:p>
    <w:p w14:paraId="00BB66E3">
      <w:pPr>
        <w:pStyle w:val="2"/>
        <w:spacing w:line="340" w:lineRule="auto"/>
        <w:ind w:right="428"/>
        <w:rPr>
          <w:color w:val="auto"/>
        </w:rPr>
      </w:pPr>
      <w:r>
        <w:rPr>
          <w:color w:val="auto"/>
        </w:rPr>
        <w:t>五、工程施工中发生一般及以上质量事故或安全事故、环境污染事故、劳资纠纷等重大不良社会影响事件的。</w:t>
      </w:r>
    </w:p>
    <w:p w14:paraId="5B00FF3F">
      <w:pPr>
        <w:spacing w:line="338" w:lineRule="auto"/>
        <w:ind w:left="117" w:right="589" w:firstLine="638"/>
        <w:jc w:val="both"/>
        <w:rPr>
          <w:color w:val="auto"/>
          <w:sz w:val="32"/>
        </w:rPr>
      </w:pPr>
      <w:r>
        <w:rPr>
          <w:color w:val="auto"/>
          <w:sz w:val="32"/>
        </w:rPr>
        <w:t>六、</w:t>
      </w:r>
      <w:r>
        <w:rPr>
          <w:color w:val="auto"/>
          <w:sz w:val="31"/>
        </w:rPr>
        <w:t>申报单位在申报年度内发生较大及以上安全生产事</w:t>
      </w:r>
      <w:r>
        <w:rPr>
          <w:color w:val="auto"/>
          <w:w w:val="95"/>
          <w:sz w:val="31"/>
        </w:rPr>
        <w:t>故，或两起及以上一般安全生产事故</w:t>
      </w:r>
      <w:r>
        <w:rPr>
          <w:color w:val="auto"/>
          <w:w w:val="95"/>
          <w:sz w:val="32"/>
        </w:rPr>
        <w:t xml:space="preserve">的单位所建设的工程项 </w:t>
      </w:r>
      <w:r>
        <w:rPr>
          <w:color w:val="auto"/>
          <w:sz w:val="32"/>
        </w:rPr>
        <w:t>目。</w:t>
      </w:r>
    </w:p>
    <w:p w14:paraId="10E1F6A2">
      <w:pPr>
        <w:pStyle w:val="2"/>
        <w:spacing w:line="338" w:lineRule="auto"/>
        <w:rPr>
          <w:color w:val="auto"/>
        </w:rPr>
      </w:pPr>
      <w:r>
        <w:rPr>
          <w:color w:val="auto"/>
        </w:rPr>
        <w:t>七、未按设计图纸、合同约定完成全部工程量，不具备该项目工程设计的全部使用功能的。</w:t>
      </w:r>
    </w:p>
    <w:p w14:paraId="07FBDD60">
      <w:pPr>
        <w:pStyle w:val="2"/>
        <w:spacing w:line="338" w:lineRule="auto"/>
        <w:jc w:val="both"/>
        <w:rPr>
          <w:color w:val="auto"/>
        </w:rPr>
      </w:pPr>
      <w:r>
        <w:rPr>
          <w:color w:val="auto"/>
          <w:spacing w:val="-3"/>
        </w:rPr>
        <w:t>八、没有进行工程安全和功能性试验检验或检验结果不合格的</w:t>
      </w:r>
      <w:r>
        <w:rPr>
          <w:color w:val="auto"/>
        </w:rPr>
        <w:t>（</w:t>
      </w:r>
      <w:r>
        <w:rPr>
          <w:color w:val="auto"/>
          <w:spacing w:val="-2"/>
        </w:rPr>
        <w:t>道路结构层厚度抽芯、给排水管道严密性试验、排</w:t>
      </w:r>
      <w:r>
        <w:rPr>
          <w:color w:val="auto"/>
          <w:spacing w:val="-19"/>
        </w:rPr>
        <w:t xml:space="preserve">水管道 </w:t>
      </w:r>
      <w:r>
        <w:rPr>
          <w:color w:val="auto"/>
        </w:rPr>
        <w:t>CCTV</w:t>
      </w:r>
      <w:r>
        <w:rPr>
          <w:color w:val="auto"/>
          <w:spacing w:val="-4"/>
        </w:rPr>
        <w:t xml:space="preserve"> 检测、桥梁动静载试验、水池满水试验等检测项目出现否决性结果</w:t>
      </w:r>
      <w:r>
        <w:rPr>
          <w:color w:val="auto"/>
          <w:spacing w:val="-3"/>
        </w:rPr>
        <w:t>），</w:t>
      </w:r>
      <w:r>
        <w:rPr>
          <w:color w:val="auto"/>
          <w:spacing w:val="-1"/>
        </w:rPr>
        <w:t>以及基础桩检测类别、频率不符合</w:t>
      </w:r>
      <w:r>
        <w:rPr>
          <w:color w:val="auto"/>
          <w:spacing w:val="-6"/>
        </w:rPr>
        <w:t xml:space="preserve">相关要求的、一类桩占比率低于 </w:t>
      </w:r>
      <w:r>
        <w:rPr>
          <w:color w:val="auto"/>
        </w:rPr>
        <w:t>85%、无障碍设施建设不符合要求的。</w:t>
      </w:r>
    </w:p>
    <w:p w14:paraId="017A9B89">
      <w:pPr>
        <w:pStyle w:val="2"/>
        <w:spacing w:before="5" w:line="338" w:lineRule="auto"/>
        <w:ind w:right="278"/>
        <w:rPr>
          <w:color w:val="auto"/>
        </w:rPr>
      </w:pPr>
      <w:r>
        <w:rPr>
          <w:color w:val="auto"/>
        </w:rPr>
        <w:t>九、竣工后被完全隐蔽，不能够组织现场外观和结构实体质量检查的。</w:t>
      </w:r>
    </w:p>
    <w:p w14:paraId="1E4C5E22">
      <w:pPr>
        <w:pStyle w:val="2"/>
        <w:spacing w:before="26" w:line="340" w:lineRule="auto"/>
        <w:ind w:right="396"/>
        <w:rPr>
          <w:color w:val="auto"/>
        </w:rPr>
      </w:pPr>
      <w:r>
        <w:rPr>
          <w:color w:val="auto"/>
        </w:rPr>
        <w:t>十、未按本办法要求完成水平评价项目备案手续，未进行中间过程检查</w:t>
      </w:r>
      <w:r>
        <w:rPr>
          <w:rFonts w:hint="eastAsia"/>
          <w:color w:val="auto"/>
        </w:rPr>
        <w:t>（主要或重点结构的隐蔽工程）</w:t>
      </w:r>
      <w:r>
        <w:rPr>
          <w:color w:val="auto"/>
        </w:rPr>
        <w:t>或未完成中间过程检查整改的。</w:t>
      </w:r>
    </w:p>
    <w:p w14:paraId="4895CE61">
      <w:pPr>
        <w:pStyle w:val="2"/>
        <w:spacing w:line="338" w:lineRule="auto"/>
        <w:jc w:val="both"/>
        <w:rPr>
          <w:color w:val="auto"/>
        </w:rPr>
      </w:pPr>
      <w:r>
        <w:rPr>
          <w:color w:val="auto"/>
          <w:spacing w:val="-2"/>
        </w:rPr>
        <w:t>十一、侵犯知识产权，使用盗版《广东省市政基础设施</w:t>
      </w:r>
      <w:r>
        <w:rPr>
          <w:color w:val="auto"/>
          <w:spacing w:val="-3"/>
          <w:w w:val="95"/>
        </w:rPr>
        <w:t>工程竣工验收技术资料统一用表》</w:t>
      </w:r>
      <w:r>
        <w:rPr>
          <w:color w:val="auto"/>
          <w:w w:val="95"/>
        </w:rPr>
        <w:t>（含软件</w:t>
      </w:r>
      <w:r>
        <w:rPr>
          <w:color w:val="auto"/>
          <w:spacing w:val="-3"/>
          <w:w w:val="95"/>
        </w:rPr>
        <w:t>）</w:t>
      </w:r>
      <w:r>
        <w:rPr>
          <w:color w:val="auto"/>
          <w:w w:val="95"/>
        </w:rPr>
        <w:t xml:space="preserve">生成和编制工 </w:t>
      </w:r>
      <w:r>
        <w:rPr>
          <w:color w:val="auto"/>
        </w:rPr>
        <w:t>程资料的。</w:t>
      </w:r>
    </w:p>
    <w:p w14:paraId="01A50439">
      <w:pPr>
        <w:pStyle w:val="2"/>
        <w:spacing w:before="3" w:line="338" w:lineRule="auto"/>
        <w:ind w:right="396"/>
        <w:rPr>
          <w:color w:val="auto"/>
        </w:rPr>
      </w:pPr>
      <w:r>
        <w:rPr>
          <w:color w:val="auto"/>
        </w:rPr>
        <w:t>十二、复评过程中，未能提供工程资料原件核查，工程资料组卷混乱或未编制案卷目录、卷内目录的。</w:t>
      </w:r>
    </w:p>
    <w:p w14:paraId="0268BA37">
      <w:pPr>
        <w:pStyle w:val="2"/>
        <w:spacing w:before="3" w:line="340" w:lineRule="auto"/>
        <w:ind w:right="396"/>
        <w:rPr>
          <w:color w:val="auto"/>
        </w:rPr>
      </w:pPr>
      <w:r>
        <w:rPr>
          <w:color w:val="auto"/>
        </w:rPr>
        <w:t>十三、在项目申报、中间过程检查、现场复评中存在弄虚作假行为以及“专家委员会”研判不宜参评的。</w:t>
      </w:r>
    </w:p>
    <w:p w14:paraId="08F27AED">
      <w:pPr>
        <w:pStyle w:val="2"/>
        <w:spacing w:before="5" w:line="338" w:lineRule="auto"/>
        <w:ind w:right="278"/>
        <w:rPr>
          <w:color w:val="auto"/>
        </w:rPr>
      </w:pPr>
      <w:r>
        <w:rPr>
          <w:color w:val="auto"/>
        </w:rPr>
        <w:t>十四、保密工程。</w:t>
      </w:r>
    </w:p>
    <w:p w14:paraId="31056673">
      <w:pPr>
        <w:pStyle w:val="2"/>
        <w:spacing w:before="5" w:line="338" w:lineRule="auto"/>
        <w:ind w:right="278"/>
        <w:rPr>
          <w:color w:val="auto"/>
        </w:rPr>
      </w:pPr>
    </w:p>
    <w:p w14:paraId="0A6A9229">
      <w:pPr>
        <w:pStyle w:val="11"/>
        <w:rPr>
          <w:color w:val="auto"/>
        </w:rPr>
      </w:pPr>
      <w:r>
        <w:rPr>
          <w:color w:val="auto"/>
        </w:rPr>
        <w:t>第五章 申报条件</w:t>
      </w:r>
    </w:p>
    <w:p w14:paraId="4FD3F5B4">
      <w:pPr>
        <w:pStyle w:val="11"/>
        <w:rPr>
          <w:color w:val="auto"/>
        </w:rPr>
      </w:pPr>
    </w:p>
    <w:p w14:paraId="30009120">
      <w:pPr>
        <w:pStyle w:val="2"/>
        <w:spacing w:before="169" w:line="340" w:lineRule="auto"/>
        <w:ind w:right="437"/>
        <w:rPr>
          <w:color w:val="auto"/>
        </w:rPr>
      </w:pPr>
      <w:r>
        <w:rPr>
          <w:b/>
          <w:color w:val="auto"/>
        </w:rPr>
        <w:t xml:space="preserve">第十五条 </w:t>
      </w:r>
      <w:r>
        <w:rPr>
          <w:color w:val="auto"/>
        </w:rPr>
        <w:t>申报项目必须符合以下条件，才能申报质量水平评价。</w:t>
      </w:r>
    </w:p>
    <w:p w14:paraId="61507002">
      <w:pPr>
        <w:pStyle w:val="2"/>
        <w:spacing w:line="338" w:lineRule="auto"/>
        <w:ind w:right="75"/>
        <w:rPr>
          <w:color w:val="auto"/>
        </w:rPr>
      </w:pPr>
      <w:r>
        <w:rPr>
          <w:color w:val="auto"/>
        </w:rPr>
        <w:t>一、申报主体为具备独立法人资格的参建五方主体之一； 申报项目的全部参建单位应具备现行法律法规及招标文件规定的资质。</w:t>
      </w:r>
    </w:p>
    <w:p w14:paraId="11448837">
      <w:pPr>
        <w:pStyle w:val="2"/>
        <w:spacing w:before="3" w:line="338" w:lineRule="auto"/>
        <w:jc w:val="both"/>
        <w:rPr>
          <w:color w:val="auto"/>
        </w:rPr>
      </w:pPr>
      <w:r>
        <w:rPr>
          <w:b/>
          <w:color w:val="auto"/>
          <w:spacing w:val="-2"/>
        </w:rPr>
        <w:t>二、</w:t>
      </w:r>
      <w:r>
        <w:rPr>
          <w:color w:val="auto"/>
          <w:spacing w:val="-2"/>
        </w:rPr>
        <w:t>项目已竣工验收，并提供竣工验收报告、勘察和设</w:t>
      </w:r>
      <w:r>
        <w:rPr>
          <w:color w:val="auto"/>
          <w:spacing w:val="-3"/>
          <w:w w:val="95"/>
        </w:rPr>
        <w:t xml:space="preserve">计单位的质量检查报告、监理单位的质量评估报告、监督机 </w:t>
      </w:r>
      <w:r>
        <w:rPr>
          <w:color w:val="auto"/>
          <w:spacing w:val="-3"/>
        </w:rPr>
        <w:t>构的工程质量监督报告。</w:t>
      </w:r>
    </w:p>
    <w:p w14:paraId="09BA4098">
      <w:pPr>
        <w:pStyle w:val="2"/>
        <w:spacing w:before="5" w:line="338" w:lineRule="auto"/>
        <w:ind w:right="278"/>
        <w:rPr>
          <w:color w:val="auto"/>
          <w:spacing w:val="-2"/>
        </w:rPr>
      </w:pPr>
      <w:r>
        <w:rPr>
          <w:b/>
          <w:color w:val="auto"/>
          <w:spacing w:val="-2"/>
        </w:rPr>
        <w:t>三、</w:t>
      </w:r>
      <w:r>
        <w:rPr>
          <w:color w:val="auto"/>
          <w:spacing w:val="-1"/>
        </w:rPr>
        <w:t>项目达到质量水平评价标</w:t>
      </w:r>
      <w:r>
        <w:rPr>
          <w:color w:val="auto"/>
          <w:spacing w:val="-2"/>
          <w:w w:val="95"/>
        </w:rPr>
        <w:t>准的，经市市政协会相关专业委员会同意推荐申报</w:t>
      </w:r>
      <w:r>
        <w:rPr>
          <w:color w:val="auto"/>
          <w:spacing w:val="-2"/>
        </w:rPr>
        <w:t>的。</w:t>
      </w:r>
    </w:p>
    <w:p w14:paraId="5D5D3EC3">
      <w:pPr>
        <w:pStyle w:val="2"/>
        <w:spacing w:before="26" w:line="340" w:lineRule="auto"/>
        <w:jc w:val="both"/>
        <w:rPr>
          <w:color w:val="auto"/>
        </w:rPr>
      </w:pPr>
      <w:r>
        <w:rPr>
          <w:color w:val="auto"/>
          <w:spacing w:val="-10"/>
        </w:rPr>
        <w:t xml:space="preserve">四、工程在上一年度 </w:t>
      </w:r>
      <w:r>
        <w:rPr>
          <w:color w:val="auto"/>
        </w:rPr>
        <w:t>12</w:t>
      </w:r>
      <w:r>
        <w:rPr>
          <w:color w:val="auto"/>
          <w:spacing w:val="-55"/>
        </w:rPr>
        <w:t xml:space="preserve"> 月 </w:t>
      </w:r>
      <w:r>
        <w:rPr>
          <w:color w:val="auto"/>
        </w:rPr>
        <w:t>31</w:t>
      </w:r>
      <w:r>
        <w:rPr>
          <w:color w:val="auto"/>
          <w:spacing w:val="-10"/>
        </w:rPr>
        <w:t xml:space="preserve"> 日前竣工验收，且年限不超过三年的均可申报。往年质量水平评价不通过的项目，不予受理。</w:t>
      </w:r>
    </w:p>
    <w:p w14:paraId="788D0276">
      <w:pPr>
        <w:pStyle w:val="2"/>
        <w:spacing w:line="338" w:lineRule="auto"/>
        <w:jc w:val="both"/>
        <w:rPr>
          <w:color w:val="auto"/>
        </w:rPr>
      </w:pPr>
      <w:r>
        <w:rPr>
          <w:color w:val="auto"/>
          <w:spacing w:val="-3"/>
        </w:rPr>
        <w:t>五、申报项目应依据中标通知书或合同确定为一个独立</w:t>
      </w:r>
      <w:r>
        <w:rPr>
          <w:color w:val="auto"/>
          <w:spacing w:val="-4"/>
        </w:rPr>
        <w:t>且具有完整使用功能的项目，已办理施工许可手续或政府行</w:t>
      </w:r>
      <w:r>
        <w:rPr>
          <w:color w:val="auto"/>
          <w:spacing w:val="-5"/>
          <w:w w:val="95"/>
        </w:rPr>
        <w:t>业主管部门同意开工的相关文件，且具有独立监督备案的项</w:t>
      </w:r>
      <w:r>
        <w:rPr>
          <w:color w:val="auto"/>
          <w:spacing w:val="-5"/>
        </w:rPr>
        <w:t>目。</w:t>
      </w:r>
    </w:p>
    <w:p w14:paraId="5BFA8352">
      <w:pPr>
        <w:pStyle w:val="2"/>
        <w:spacing w:before="2" w:line="338" w:lineRule="auto"/>
        <w:ind w:right="278"/>
        <w:jc w:val="both"/>
        <w:rPr>
          <w:color w:val="auto"/>
        </w:rPr>
      </w:pPr>
      <w:r>
        <w:rPr>
          <w:color w:val="auto"/>
          <w:spacing w:val="-3"/>
        </w:rPr>
        <w:t>六、申报单位应制定达到</w:t>
      </w:r>
      <w:r>
        <w:rPr>
          <w:rFonts w:hint="eastAsia"/>
          <w:color w:val="auto"/>
          <w:spacing w:val="-3"/>
          <w:lang w:val="en-US" w:eastAsia="zh-CN"/>
        </w:rPr>
        <w:t>市</w:t>
      </w:r>
      <w:r>
        <w:rPr>
          <w:color w:val="auto"/>
          <w:spacing w:val="-3"/>
        </w:rPr>
        <w:t>市政质量水平实施方案。项</w:t>
      </w:r>
      <w:r>
        <w:rPr>
          <w:color w:val="auto"/>
          <w:spacing w:val="4"/>
        </w:rPr>
        <w:t>目应积极采用“四新”技术，践行绿色建造理念，开展 QC 小组、</w:t>
      </w:r>
      <w:r>
        <w:rPr>
          <w:rFonts w:hint="eastAsia"/>
          <w:color w:val="auto"/>
          <w:spacing w:val="4"/>
        </w:rPr>
        <w:t>质量信得过班组、</w:t>
      </w:r>
      <w:r>
        <w:rPr>
          <w:color w:val="auto"/>
          <w:spacing w:val="4"/>
        </w:rPr>
        <w:t>工法、新技术成果应用示范等活动。</w:t>
      </w:r>
    </w:p>
    <w:p w14:paraId="7905ACDE">
      <w:pPr>
        <w:pStyle w:val="2"/>
        <w:spacing w:before="5" w:line="338" w:lineRule="auto"/>
        <w:ind w:right="278"/>
        <w:rPr>
          <w:color w:val="auto"/>
        </w:rPr>
      </w:pPr>
      <w:r>
        <w:rPr>
          <w:color w:val="auto"/>
          <w:spacing w:val="-13"/>
        </w:rPr>
        <w:t>七、交通枢纽、公路、水利、电力、</w:t>
      </w:r>
      <w:r>
        <w:rPr>
          <w:color w:val="auto"/>
          <w:spacing w:val="-1"/>
        </w:rPr>
        <w:t>通讯等其他基础设施建设行业项目的施工技术资料，可按相</w:t>
      </w:r>
      <w:r>
        <w:rPr>
          <w:color w:val="auto"/>
          <w:spacing w:val="-2"/>
        </w:rPr>
        <w:t>关行业要求编写，但所有申报材料必须按照质量水平评价的申报要求提交。</w:t>
      </w:r>
    </w:p>
    <w:p w14:paraId="28AE7167">
      <w:pPr>
        <w:pStyle w:val="2"/>
        <w:spacing w:before="9" w:line="338" w:lineRule="auto"/>
        <w:rPr>
          <w:color w:val="auto"/>
          <w:highlight w:val="none"/>
        </w:rPr>
      </w:pPr>
      <w:r>
        <w:rPr>
          <w:color w:val="auto"/>
          <w:highlight w:val="none"/>
        </w:rPr>
        <w:t>八、</w:t>
      </w:r>
      <w:r>
        <w:rPr>
          <w:rFonts w:hint="eastAsia"/>
          <w:color w:val="auto"/>
          <w:highlight w:val="none"/>
        </w:rPr>
        <w:t>专业分包单位参评的原则上不超过三家，合同工程量应不少于工程总承包合同金额的10%且合同金额超过500万元，且合计总造价之和不高于总承包合同造价的30%。</w:t>
      </w:r>
    </w:p>
    <w:p w14:paraId="01AFE74C">
      <w:pPr>
        <w:pStyle w:val="2"/>
        <w:spacing w:before="3" w:line="340" w:lineRule="auto"/>
        <w:ind w:right="396"/>
        <w:rPr>
          <w:color w:val="auto"/>
        </w:rPr>
      </w:pPr>
      <w:r>
        <w:rPr>
          <w:color w:val="auto"/>
        </w:rPr>
        <w:t>九、市政基础设施管养项目的申报，应符合相应的通用</w:t>
      </w:r>
      <w:bookmarkStart w:id="0" w:name="_GoBack"/>
      <w:bookmarkEnd w:id="0"/>
      <w:r>
        <w:rPr>
          <w:color w:val="auto"/>
        </w:rPr>
        <w:t>和专项条件。</w:t>
      </w:r>
    </w:p>
    <w:p w14:paraId="4F0BD289">
      <w:pPr>
        <w:pStyle w:val="2"/>
        <w:spacing w:before="11"/>
        <w:ind w:left="0" w:right="0" w:firstLine="0"/>
        <w:rPr>
          <w:color w:val="auto"/>
          <w:sz w:val="44"/>
        </w:rPr>
      </w:pPr>
    </w:p>
    <w:p w14:paraId="5EE8F754">
      <w:pPr>
        <w:pStyle w:val="11"/>
        <w:spacing w:before="1"/>
        <w:jc w:val="both"/>
        <w:rPr>
          <w:color w:val="auto"/>
        </w:rPr>
      </w:pPr>
      <w:r>
        <w:rPr>
          <w:color w:val="auto"/>
        </w:rPr>
        <w:t>第六章 评价程序</w:t>
      </w:r>
    </w:p>
    <w:p w14:paraId="40F99CA7">
      <w:pPr>
        <w:pStyle w:val="11"/>
        <w:spacing w:before="1"/>
        <w:jc w:val="both"/>
        <w:rPr>
          <w:color w:val="auto"/>
        </w:rPr>
      </w:pPr>
    </w:p>
    <w:p w14:paraId="207873C7">
      <w:pPr>
        <w:pStyle w:val="2"/>
        <w:spacing w:before="5" w:line="338" w:lineRule="auto"/>
        <w:ind w:right="278"/>
        <w:rPr>
          <w:color w:val="auto"/>
          <w:spacing w:val="-1"/>
        </w:rPr>
      </w:pPr>
      <w:r>
        <w:rPr>
          <w:b/>
          <w:color w:val="auto"/>
          <w:spacing w:val="2"/>
        </w:rPr>
        <w:t>第十</w:t>
      </w:r>
      <w:r>
        <w:rPr>
          <w:rFonts w:hint="eastAsia"/>
          <w:b/>
          <w:color w:val="auto"/>
          <w:spacing w:val="2"/>
        </w:rPr>
        <w:t>六</w:t>
      </w:r>
      <w:r>
        <w:rPr>
          <w:b/>
          <w:color w:val="auto"/>
          <w:spacing w:val="2"/>
        </w:rPr>
        <w:t xml:space="preserve">条 </w:t>
      </w:r>
      <w:r>
        <w:rPr>
          <w:color w:val="auto"/>
          <w:spacing w:val="7"/>
        </w:rPr>
        <w:t>项目备案。申报单位须在项目实施前期（</w:t>
      </w:r>
      <w:r>
        <w:rPr>
          <w:color w:val="auto"/>
        </w:rPr>
        <w:t>形</w:t>
      </w:r>
      <w:r>
        <w:rPr>
          <w:color w:val="auto"/>
          <w:spacing w:val="-20"/>
        </w:rPr>
        <w:t xml:space="preserve">象进度 </w:t>
      </w:r>
      <w:r>
        <w:rPr>
          <w:color w:val="auto"/>
        </w:rPr>
        <w:t>30%</w:t>
      </w:r>
      <w:r>
        <w:rPr>
          <w:color w:val="auto"/>
          <w:spacing w:val="2"/>
        </w:rPr>
        <w:t>以前</w:t>
      </w:r>
      <w:r>
        <w:rPr>
          <w:color w:val="auto"/>
          <w:spacing w:val="5"/>
        </w:rPr>
        <w:t>）</w:t>
      </w:r>
      <w:r>
        <w:rPr>
          <w:color w:val="auto"/>
          <w:spacing w:val="-1"/>
        </w:rPr>
        <w:t>完成备案手续，并提交一份加盖公章的纸质备案表。</w:t>
      </w:r>
    </w:p>
    <w:p w14:paraId="6B45F912">
      <w:pPr>
        <w:pStyle w:val="2"/>
        <w:spacing w:before="26" w:line="340" w:lineRule="auto"/>
        <w:ind w:right="234"/>
        <w:rPr>
          <w:color w:val="auto"/>
        </w:rPr>
      </w:pPr>
      <w:r>
        <w:rPr>
          <w:b/>
          <w:color w:val="auto"/>
        </w:rPr>
        <w:t>第十</w:t>
      </w:r>
      <w:r>
        <w:rPr>
          <w:rFonts w:hint="eastAsia"/>
          <w:b/>
          <w:color w:val="auto"/>
        </w:rPr>
        <w:t>七</w:t>
      </w:r>
      <w:r>
        <w:rPr>
          <w:b/>
          <w:color w:val="auto"/>
        </w:rPr>
        <w:t xml:space="preserve">条 </w:t>
      </w:r>
      <w:r>
        <w:rPr>
          <w:color w:val="auto"/>
        </w:rPr>
        <w:t xml:space="preserve">中间过程检查。项目实行质量动态过程跟踪， </w:t>
      </w:r>
      <w:r>
        <w:rPr>
          <w:rFonts w:hint="eastAsia"/>
          <w:color w:val="auto"/>
          <w:highlight w:val="none"/>
          <w:lang w:val="en-US" w:eastAsia="zh-CN"/>
        </w:rPr>
        <w:t>市</w:t>
      </w:r>
      <w:r>
        <w:rPr>
          <w:color w:val="auto"/>
        </w:rPr>
        <w:t>市政协会根据申报单位在系统上报备的主要施工内容和实施进度，在工程进度 40%-</w:t>
      </w:r>
      <w:r>
        <w:rPr>
          <w:rFonts w:hint="eastAsia"/>
          <w:color w:val="auto"/>
        </w:rPr>
        <w:t>7</w:t>
      </w:r>
      <w:r>
        <w:rPr>
          <w:color w:val="auto"/>
        </w:rPr>
        <w:t>0%期间，适时组织专家组对项目外观和实体质量（含内业资料）进行中间过程检查，对项目的施工质量管控和资料编制等予以指导评价，同时对参建各方及专业分包单位进行质量履职评价。</w:t>
      </w:r>
    </w:p>
    <w:p w14:paraId="1FAE3D2B">
      <w:pPr>
        <w:spacing w:line="397" w:lineRule="exact"/>
        <w:ind w:left="756"/>
        <w:rPr>
          <w:color w:val="auto"/>
          <w:sz w:val="32"/>
        </w:rPr>
      </w:pPr>
      <w:r>
        <w:rPr>
          <w:b/>
          <w:color w:val="auto"/>
          <w:sz w:val="32"/>
        </w:rPr>
        <w:t>第十</w:t>
      </w:r>
      <w:r>
        <w:rPr>
          <w:rFonts w:hint="eastAsia"/>
          <w:b/>
          <w:color w:val="auto"/>
          <w:sz w:val="32"/>
        </w:rPr>
        <w:t>八</w:t>
      </w:r>
      <w:r>
        <w:rPr>
          <w:b/>
          <w:color w:val="auto"/>
          <w:sz w:val="32"/>
        </w:rPr>
        <w:t xml:space="preserve">条 </w:t>
      </w:r>
      <w:r>
        <w:rPr>
          <w:color w:val="auto"/>
          <w:sz w:val="32"/>
        </w:rPr>
        <w:t>项目复评的步骤。</w:t>
      </w:r>
    </w:p>
    <w:p w14:paraId="5D6A979A">
      <w:pPr>
        <w:pStyle w:val="2"/>
        <w:spacing w:before="171" w:line="338" w:lineRule="auto"/>
        <w:ind w:right="278"/>
        <w:rPr>
          <w:color w:val="auto"/>
        </w:rPr>
      </w:pPr>
      <w:r>
        <w:rPr>
          <w:color w:val="auto"/>
          <w:spacing w:val="-14"/>
        </w:rPr>
        <w:t>一、申报。</w:t>
      </w:r>
      <w:r>
        <w:rPr>
          <w:rFonts w:hint="eastAsia"/>
          <w:color w:val="auto"/>
          <w:spacing w:val="-14"/>
        </w:rPr>
        <w:t>市</w:t>
      </w:r>
      <w:r>
        <w:rPr>
          <w:color w:val="auto"/>
          <w:spacing w:val="-14"/>
        </w:rPr>
        <w:t xml:space="preserve">市政协会每年定期开展质量水平评价活动， </w:t>
      </w:r>
      <w:r>
        <w:rPr>
          <w:color w:val="auto"/>
          <w:spacing w:val="-1"/>
        </w:rPr>
        <w:t>受理申报工作，</w:t>
      </w:r>
      <w:r>
        <w:rPr>
          <w:color w:val="auto"/>
          <w:spacing w:val="-1"/>
          <w:highlight w:val="none"/>
        </w:rPr>
        <w:t>申报单位须按照要求提交</w:t>
      </w:r>
      <w:r>
        <w:rPr>
          <w:color w:val="auto"/>
          <w:spacing w:val="-1"/>
        </w:rPr>
        <w:t>资料（以申报当年的通知要求为准）。</w:t>
      </w:r>
    </w:p>
    <w:p w14:paraId="3ADF3414">
      <w:pPr>
        <w:pStyle w:val="2"/>
        <w:spacing w:before="5" w:line="338" w:lineRule="auto"/>
        <w:ind w:right="436"/>
        <w:jc w:val="both"/>
        <w:rPr>
          <w:color w:val="auto"/>
          <w:highlight w:val="none"/>
        </w:rPr>
      </w:pPr>
      <w:r>
        <w:rPr>
          <w:color w:val="auto"/>
          <w:spacing w:val="-3"/>
        </w:rPr>
        <w:t>二、初步评价。</w:t>
      </w:r>
      <w:r>
        <w:rPr>
          <w:rFonts w:hint="eastAsia"/>
          <w:color w:val="auto"/>
          <w:spacing w:val="-3"/>
        </w:rPr>
        <w:t>市</w:t>
      </w:r>
      <w:r>
        <w:rPr>
          <w:color w:val="auto"/>
          <w:spacing w:val="-3"/>
        </w:rPr>
        <w:t>市政协会秘书处组织专家对申报资料</w:t>
      </w:r>
      <w:r>
        <w:rPr>
          <w:color w:val="auto"/>
          <w:spacing w:val="-15"/>
        </w:rPr>
        <w:t>进行符合性审查，</w:t>
      </w:r>
      <w:r>
        <w:rPr>
          <w:color w:val="auto"/>
          <w:spacing w:val="-15"/>
          <w:highlight w:val="none"/>
        </w:rPr>
        <w:t>并将符合条件的项目</w:t>
      </w:r>
      <w:r>
        <w:rPr>
          <w:color w:val="auto"/>
          <w:highlight w:val="none"/>
        </w:rPr>
        <w:t>列入现场复评名单。</w:t>
      </w:r>
    </w:p>
    <w:p w14:paraId="558DAFC1">
      <w:pPr>
        <w:pStyle w:val="2"/>
        <w:spacing w:before="6" w:line="338" w:lineRule="auto"/>
        <w:ind w:right="116"/>
        <w:rPr>
          <w:color w:val="auto"/>
        </w:rPr>
      </w:pPr>
      <w:r>
        <w:rPr>
          <w:color w:val="auto"/>
          <w:spacing w:val="-3"/>
        </w:rPr>
        <w:t>三、现场复评。</w:t>
      </w:r>
      <w:r>
        <w:rPr>
          <w:rFonts w:hint="eastAsia"/>
          <w:color w:val="auto"/>
          <w:spacing w:val="-3"/>
        </w:rPr>
        <w:t>市</w:t>
      </w:r>
      <w:r>
        <w:rPr>
          <w:color w:val="auto"/>
          <w:spacing w:val="-3"/>
        </w:rPr>
        <w:t xml:space="preserve">市政协会组织专家组对通过初评的项 </w:t>
      </w:r>
      <w:r>
        <w:rPr>
          <w:color w:val="auto"/>
          <w:spacing w:val="-4"/>
          <w:w w:val="95"/>
        </w:rPr>
        <w:t xml:space="preserve">目进行现场复评，专家组复评后向协会秘书处提交复评报告， </w:t>
      </w:r>
      <w:r>
        <w:rPr>
          <w:color w:val="auto"/>
          <w:spacing w:val="-4"/>
        </w:rPr>
        <w:t>并汇报复评情况。</w:t>
      </w:r>
    </w:p>
    <w:p w14:paraId="46356D51">
      <w:pPr>
        <w:pStyle w:val="2"/>
        <w:spacing w:before="6" w:line="338" w:lineRule="auto"/>
        <w:jc w:val="both"/>
        <w:rPr>
          <w:color w:val="auto"/>
          <w:spacing w:val="-27"/>
        </w:rPr>
      </w:pPr>
      <w:r>
        <w:rPr>
          <w:color w:val="auto"/>
          <w:spacing w:val="-3"/>
        </w:rPr>
        <w:t>四、评定会议。现场复评工作结束后，</w:t>
      </w:r>
      <w:r>
        <w:rPr>
          <w:rFonts w:hint="eastAsia"/>
          <w:color w:val="auto"/>
          <w:spacing w:val="-3"/>
        </w:rPr>
        <w:t>市</w:t>
      </w:r>
      <w:r>
        <w:rPr>
          <w:color w:val="auto"/>
          <w:spacing w:val="-3"/>
        </w:rPr>
        <w:t>市政协会召开</w:t>
      </w:r>
      <w:r>
        <w:rPr>
          <w:color w:val="auto"/>
          <w:spacing w:val="-4"/>
        </w:rPr>
        <w:t>质量水平评价评定会议，在各专家组组长汇报各组复评情况后，</w:t>
      </w:r>
      <w:r>
        <w:rPr>
          <w:color w:val="auto"/>
          <w:spacing w:val="-4"/>
          <w:highlight w:val="none"/>
        </w:rPr>
        <w:t>由</w:t>
      </w:r>
      <w:r>
        <w:rPr>
          <w:rFonts w:hint="eastAsia"/>
          <w:color w:val="auto"/>
          <w:spacing w:val="-4"/>
          <w:highlight w:val="none"/>
          <w:lang w:val="en-US" w:eastAsia="zh-CN"/>
        </w:rPr>
        <w:t>专家委员会以投</w:t>
      </w:r>
      <w:r>
        <w:rPr>
          <w:color w:val="auto"/>
          <w:spacing w:val="-4"/>
          <w:highlight w:val="none"/>
        </w:rPr>
        <w:t>票</w:t>
      </w:r>
      <w:r>
        <w:rPr>
          <w:rFonts w:hint="eastAsia"/>
          <w:color w:val="auto"/>
          <w:spacing w:val="-4"/>
          <w:highlight w:val="none"/>
          <w:lang w:val="en-US" w:eastAsia="zh-CN"/>
        </w:rPr>
        <w:t>表决</w:t>
      </w:r>
      <w:r>
        <w:rPr>
          <w:rFonts w:hint="eastAsia" w:ascii="仿宋" w:hAnsi="仿宋" w:eastAsia="仿宋" w:cs="仿宋"/>
          <w:sz w:val="31"/>
          <w:szCs w:val="31"/>
          <w:highlight w:val="none"/>
        </w:rPr>
        <w:t>方式确定通过评审的项目（得票需达到总票数的三分之二及以上）</w:t>
      </w:r>
      <w:r>
        <w:rPr>
          <w:rFonts w:hint="eastAsia"/>
          <w:color w:val="auto"/>
          <w:spacing w:val="-4"/>
          <w:highlight w:val="none"/>
          <w:lang w:val="en-US" w:eastAsia="zh-CN"/>
        </w:rPr>
        <w:t>入选项目将在市住房城乡建设局网站、本协会网站</w:t>
      </w:r>
      <w:r>
        <w:rPr>
          <w:color w:val="auto"/>
          <w:spacing w:val="-20"/>
          <w:highlight w:val="none"/>
        </w:rPr>
        <w:t xml:space="preserve">上公示 </w:t>
      </w:r>
      <w:r>
        <w:rPr>
          <w:rFonts w:hint="eastAsia"/>
          <w:color w:val="auto"/>
          <w:highlight w:val="none"/>
          <w:lang w:val="en-US" w:eastAsia="zh-CN"/>
        </w:rPr>
        <w:t>5个工作</w:t>
      </w:r>
      <w:r>
        <w:rPr>
          <w:color w:val="auto"/>
          <w:spacing w:val="-27"/>
          <w:highlight w:val="none"/>
        </w:rPr>
        <w:t>日。</w:t>
      </w:r>
    </w:p>
    <w:p w14:paraId="4B5C8294">
      <w:pPr>
        <w:pStyle w:val="2"/>
        <w:spacing w:before="6" w:line="338" w:lineRule="auto"/>
        <w:jc w:val="both"/>
        <w:rPr>
          <w:color w:val="auto"/>
        </w:rPr>
      </w:pPr>
      <w:r>
        <w:rPr>
          <w:b/>
          <w:color w:val="auto"/>
        </w:rPr>
        <w:t>第十</w:t>
      </w:r>
      <w:r>
        <w:rPr>
          <w:rFonts w:hint="eastAsia"/>
          <w:b/>
          <w:color w:val="auto"/>
        </w:rPr>
        <w:t>九</w:t>
      </w:r>
      <w:r>
        <w:rPr>
          <w:b/>
          <w:color w:val="auto"/>
        </w:rPr>
        <w:t>条</w:t>
      </w:r>
      <w:r>
        <w:rPr>
          <w:rFonts w:hint="eastAsia"/>
          <w:b/>
          <w:color w:val="auto"/>
        </w:rPr>
        <w:t xml:space="preserve"> </w:t>
      </w:r>
      <w:r>
        <w:rPr>
          <w:rFonts w:hint="eastAsia"/>
          <w:color w:val="auto"/>
          <w:spacing w:val="-3"/>
        </w:rPr>
        <w:t>质量水平评价等级。</w:t>
      </w:r>
      <w:r>
        <w:rPr>
          <w:color w:val="auto"/>
          <w:spacing w:val="-3"/>
        </w:rPr>
        <w:t>对工程质量</w:t>
      </w:r>
      <w:r>
        <w:rPr>
          <w:rFonts w:hint="eastAsia"/>
          <w:color w:val="auto"/>
          <w:spacing w:val="-3"/>
        </w:rPr>
        <w:t>水平</w:t>
      </w:r>
      <w:r>
        <w:rPr>
          <w:color w:val="auto"/>
          <w:spacing w:val="-3"/>
        </w:rPr>
        <w:t>进行公开、公平、公正的评</w:t>
      </w:r>
      <w:r>
        <w:rPr>
          <w:rFonts w:hint="eastAsia"/>
          <w:color w:val="auto"/>
          <w:spacing w:val="-3"/>
        </w:rPr>
        <w:t>价</w:t>
      </w:r>
      <w:r>
        <w:rPr>
          <w:color w:val="auto"/>
          <w:spacing w:val="-3"/>
        </w:rPr>
        <w:t>。质量</w:t>
      </w:r>
      <w:r>
        <w:rPr>
          <w:rFonts w:hint="eastAsia"/>
          <w:color w:val="auto"/>
          <w:spacing w:val="-3"/>
        </w:rPr>
        <w:t>水平</w:t>
      </w:r>
      <w:r>
        <w:rPr>
          <w:color w:val="auto"/>
          <w:spacing w:val="-3"/>
        </w:rPr>
        <w:t>评</w:t>
      </w:r>
      <w:r>
        <w:rPr>
          <w:rFonts w:hint="eastAsia"/>
          <w:color w:val="auto"/>
          <w:spacing w:val="-3"/>
        </w:rPr>
        <w:t>价</w:t>
      </w:r>
      <w:r>
        <w:rPr>
          <w:color w:val="auto"/>
          <w:spacing w:val="-3"/>
        </w:rPr>
        <w:t>结果可评为</w:t>
      </w:r>
      <w:r>
        <w:rPr>
          <w:rFonts w:hint="eastAsia"/>
          <w:color w:val="auto"/>
          <w:spacing w:val="-3"/>
        </w:rPr>
        <w:t>“</w:t>
      </w:r>
      <w:r>
        <w:rPr>
          <w:color w:val="auto"/>
          <w:spacing w:val="-3"/>
        </w:rPr>
        <w:t>AA</w:t>
      </w:r>
      <w:r>
        <w:rPr>
          <w:rFonts w:hint="eastAsia"/>
          <w:color w:val="auto"/>
          <w:spacing w:val="-3"/>
        </w:rPr>
        <w:t>”</w:t>
      </w:r>
      <w:r>
        <w:rPr>
          <w:color w:val="auto"/>
          <w:spacing w:val="-3"/>
        </w:rPr>
        <w:t>、</w:t>
      </w:r>
      <w:r>
        <w:rPr>
          <w:rFonts w:hint="eastAsia"/>
          <w:color w:val="auto"/>
          <w:spacing w:val="-3"/>
        </w:rPr>
        <w:t>“</w:t>
      </w:r>
      <w:r>
        <w:rPr>
          <w:color w:val="auto"/>
          <w:spacing w:val="-3"/>
        </w:rPr>
        <w:t>A</w:t>
      </w:r>
      <w:r>
        <w:rPr>
          <w:rFonts w:hint="eastAsia"/>
          <w:color w:val="auto"/>
          <w:spacing w:val="-3"/>
        </w:rPr>
        <w:t>”</w:t>
      </w:r>
      <w:r>
        <w:rPr>
          <w:rFonts w:hint="eastAsia"/>
          <w:color w:val="auto"/>
          <w:spacing w:val="-3"/>
          <w:lang w:val="en-US" w:eastAsia="zh-CN"/>
        </w:rPr>
        <w:t>两</w:t>
      </w:r>
      <w:r>
        <w:rPr>
          <w:color w:val="auto"/>
          <w:spacing w:val="-3"/>
        </w:rPr>
        <w:t>个等级</w:t>
      </w:r>
      <w:r>
        <w:rPr>
          <w:rFonts w:hint="eastAsia"/>
          <w:color w:val="auto"/>
          <w:spacing w:val="-3"/>
        </w:rPr>
        <w:t>和“不获等级”三个档次</w:t>
      </w:r>
      <w:r>
        <w:rPr>
          <w:color w:val="auto"/>
          <w:spacing w:val="-3"/>
        </w:rPr>
        <w:t>。综合</w:t>
      </w:r>
      <w:r>
        <w:rPr>
          <w:rFonts w:hint="eastAsia"/>
          <w:color w:val="auto"/>
          <w:spacing w:val="-3"/>
        </w:rPr>
        <w:t>得</w:t>
      </w:r>
      <w:r>
        <w:rPr>
          <w:color w:val="auto"/>
          <w:spacing w:val="-3"/>
        </w:rPr>
        <w:t>分</w:t>
      </w:r>
      <w:r>
        <w:rPr>
          <w:rFonts w:hint="eastAsia"/>
          <w:color w:val="auto"/>
          <w:spacing w:val="-3"/>
        </w:rPr>
        <w:t>率</w:t>
      </w:r>
      <w:r>
        <w:rPr>
          <w:color w:val="auto"/>
          <w:spacing w:val="-3"/>
        </w:rPr>
        <w:t>达到85</w:t>
      </w:r>
      <w:r>
        <w:rPr>
          <w:rFonts w:hint="eastAsia"/>
          <w:color w:val="auto"/>
          <w:spacing w:val="-3"/>
        </w:rPr>
        <w:t>%</w:t>
      </w:r>
      <w:r>
        <w:rPr>
          <w:color w:val="auto"/>
          <w:spacing w:val="-3"/>
        </w:rPr>
        <w:t>分以上（含</w:t>
      </w:r>
      <w:r>
        <w:rPr>
          <w:rFonts w:hint="eastAsia"/>
          <w:color w:val="auto"/>
          <w:spacing w:val="-3"/>
        </w:rPr>
        <w:t>85%</w:t>
      </w:r>
      <w:r>
        <w:rPr>
          <w:color w:val="auto"/>
          <w:spacing w:val="-3"/>
        </w:rPr>
        <w:t>）的为AA级，并择优推荐申报省级</w:t>
      </w:r>
      <w:r>
        <w:rPr>
          <w:rFonts w:hint="eastAsia"/>
          <w:color w:val="auto"/>
          <w:spacing w:val="-3"/>
        </w:rPr>
        <w:t>及以上</w:t>
      </w:r>
      <w:r>
        <w:rPr>
          <w:color w:val="auto"/>
          <w:spacing w:val="-3"/>
        </w:rPr>
        <w:t>奖项，</w:t>
      </w:r>
      <w:r>
        <w:rPr>
          <w:rFonts w:hint="eastAsia"/>
          <w:color w:val="auto"/>
          <w:spacing w:val="-3"/>
        </w:rPr>
        <w:t>得分率</w:t>
      </w:r>
      <w:r>
        <w:rPr>
          <w:color w:val="auto"/>
          <w:spacing w:val="-3"/>
        </w:rPr>
        <w:t>80</w:t>
      </w:r>
      <w:r>
        <w:rPr>
          <w:rFonts w:hint="eastAsia"/>
          <w:color w:val="auto"/>
          <w:spacing w:val="-3"/>
        </w:rPr>
        <w:t>%</w:t>
      </w:r>
      <w:r>
        <w:rPr>
          <w:color w:val="auto"/>
          <w:spacing w:val="-3"/>
        </w:rPr>
        <w:t>-85</w:t>
      </w:r>
      <w:r>
        <w:rPr>
          <w:rFonts w:hint="eastAsia"/>
          <w:color w:val="auto"/>
          <w:spacing w:val="-3"/>
        </w:rPr>
        <w:t>%</w:t>
      </w:r>
      <w:r>
        <w:rPr>
          <w:color w:val="auto"/>
          <w:spacing w:val="-3"/>
        </w:rPr>
        <w:t>分</w:t>
      </w:r>
      <w:r>
        <w:rPr>
          <w:rFonts w:hint="eastAsia"/>
          <w:color w:val="auto"/>
          <w:spacing w:val="-3"/>
        </w:rPr>
        <w:t>（</w:t>
      </w:r>
      <w:r>
        <w:rPr>
          <w:color w:val="auto"/>
          <w:spacing w:val="-3"/>
        </w:rPr>
        <w:t>含8</w:t>
      </w:r>
      <w:r>
        <w:rPr>
          <w:rFonts w:hint="eastAsia"/>
          <w:color w:val="auto"/>
          <w:spacing w:val="-3"/>
        </w:rPr>
        <w:t>0%</w:t>
      </w:r>
      <w:r>
        <w:rPr>
          <w:color w:val="auto"/>
          <w:spacing w:val="-3"/>
        </w:rPr>
        <w:t>）为A级，</w:t>
      </w:r>
      <w:r>
        <w:rPr>
          <w:rFonts w:hint="eastAsia"/>
          <w:color w:val="auto"/>
          <w:spacing w:val="-3"/>
        </w:rPr>
        <w:t>得分率</w:t>
      </w:r>
      <w:r>
        <w:rPr>
          <w:color w:val="auto"/>
          <w:spacing w:val="-3"/>
        </w:rPr>
        <w:t>80</w:t>
      </w:r>
      <w:r>
        <w:rPr>
          <w:rFonts w:hint="eastAsia"/>
          <w:color w:val="auto"/>
          <w:spacing w:val="-3"/>
        </w:rPr>
        <w:t>%分</w:t>
      </w:r>
      <w:r>
        <w:rPr>
          <w:color w:val="auto"/>
          <w:spacing w:val="-3"/>
        </w:rPr>
        <w:t>以下</w:t>
      </w:r>
      <w:r>
        <w:rPr>
          <w:rFonts w:hint="eastAsia"/>
          <w:color w:val="auto"/>
          <w:spacing w:val="-3"/>
        </w:rPr>
        <w:t>为“不获</w:t>
      </w:r>
      <w:r>
        <w:rPr>
          <w:color w:val="auto"/>
          <w:spacing w:val="-3"/>
        </w:rPr>
        <w:t>等级</w:t>
      </w:r>
      <w:r>
        <w:rPr>
          <w:rFonts w:hint="eastAsia"/>
          <w:color w:val="auto"/>
          <w:spacing w:val="-3"/>
        </w:rPr>
        <w:t>”</w:t>
      </w:r>
      <w:r>
        <w:rPr>
          <w:color w:val="auto"/>
          <w:spacing w:val="-3"/>
        </w:rPr>
        <w:t>。评价过程中出现档次不同时</w:t>
      </w:r>
      <w:r>
        <w:rPr>
          <w:rFonts w:hint="eastAsia"/>
          <w:color w:val="auto"/>
          <w:spacing w:val="-3"/>
        </w:rPr>
        <w:t>，</w:t>
      </w:r>
      <w:r>
        <w:rPr>
          <w:color w:val="auto"/>
          <w:spacing w:val="-3"/>
        </w:rPr>
        <w:t>取低档次为最终档次</w:t>
      </w:r>
      <w:r>
        <w:rPr>
          <w:rFonts w:hint="eastAsia"/>
          <w:color w:val="auto"/>
          <w:spacing w:val="-3"/>
        </w:rPr>
        <w:t>。</w:t>
      </w:r>
    </w:p>
    <w:p w14:paraId="3AFC4512">
      <w:pPr>
        <w:pStyle w:val="2"/>
        <w:spacing w:before="8" w:line="338" w:lineRule="auto"/>
        <w:ind w:right="428"/>
        <w:jc w:val="both"/>
        <w:rPr>
          <w:color w:val="auto"/>
        </w:rPr>
      </w:pPr>
      <w:r>
        <w:rPr>
          <w:b/>
          <w:color w:val="auto"/>
        </w:rPr>
        <w:t>第</w:t>
      </w:r>
      <w:r>
        <w:rPr>
          <w:rFonts w:hint="eastAsia"/>
          <w:b/>
          <w:color w:val="auto"/>
        </w:rPr>
        <w:t>二十</w:t>
      </w:r>
      <w:r>
        <w:rPr>
          <w:b/>
          <w:color w:val="auto"/>
        </w:rPr>
        <w:t xml:space="preserve">条 </w:t>
      </w:r>
      <w:r>
        <w:rPr>
          <w:color w:val="auto"/>
        </w:rPr>
        <w:t>公布结果。</w:t>
      </w:r>
      <w:r>
        <w:rPr>
          <w:rFonts w:hint="eastAsia"/>
          <w:color w:val="auto"/>
        </w:rPr>
        <w:t>市</w:t>
      </w:r>
      <w:r>
        <w:rPr>
          <w:color w:val="auto"/>
        </w:rPr>
        <w:t>市政协会将公示后无异议，通过质量水平评价的项目名单予以公布，并向通过质量水平评价的单位和个人颁发“</w:t>
      </w:r>
      <w:r>
        <w:rPr>
          <w:rFonts w:hint="eastAsia"/>
          <w:color w:val="auto"/>
        </w:rPr>
        <w:t>中山</w:t>
      </w:r>
      <w:r>
        <w:rPr>
          <w:color w:val="auto"/>
        </w:rPr>
        <w:t xml:space="preserve">市市政工程质量水平评价项目” </w:t>
      </w:r>
      <w:r>
        <w:rPr>
          <w:rFonts w:hint="eastAsia"/>
          <w:color w:val="auto"/>
        </w:rPr>
        <w:t>等级</w:t>
      </w:r>
      <w:r>
        <w:rPr>
          <w:color w:val="auto"/>
        </w:rPr>
        <w:t>荣誉证书。</w:t>
      </w:r>
    </w:p>
    <w:p w14:paraId="23BE6158">
      <w:pPr>
        <w:spacing w:line="338" w:lineRule="auto"/>
        <w:jc w:val="both"/>
        <w:rPr>
          <w:color w:val="auto"/>
        </w:rPr>
        <w:sectPr>
          <w:type w:val="continuous"/>
          <w:pgSz w:w="11910" w:h="16840"/>
          <w:pgMar w:top="1540" w:right="1360" w:bottom="1300" w:left="1680" w:header="0" w:footer="1115" w:gutter="0"/>
          <w:cols w:space="720" w:num="1"/>
        </w:sectPr>
      </w:pPr>
    </w:p>
    <w:p w14:paraId="52D80D82">
      <w:pPr>
        <w:pStyle w:val="2"/>
        <w:ind w:left="0" w:right="0" w:firstLine="0"/>
        <w:rPr>
          <w:color w:val="auto"/>
          <w:sz w:val="20"/>
        </w:rPr>
      </w:pPr>
    </w:p>
    <w:p w14:paraId="12CA4513">
      <w:pPr>
        <w:pStyle w:val="2"/>
        <w:ind w:left="0" w:right="0" w:firstLine="0"/>
        <w:rPr>
          <w:color w:val="auto"/>
          <w:sz w:val="20"/>
        </w:rPr>
      </w:pPr>
    </w:p>
    <w:p w14:paraId="20848FAF">
      <w:pPr>
        <w:pStyle w:val="11"/>
        <w:spacing w:before="54"/>
        <w:jc w:val="both"/>
        <w:rPr>
          <w:color w:val="auto"/>
        </w:rPr>
      </w:pPr>
      <w:r>
        <w:rPr>
          <w:color w:val="auto"/>
        </w:rPr>
        <w:t>第七章 行为准则</w:t>
      </w:r>
    </w:p>
    <w:p w14:paraId="488FB5A2">
      <w:pPr>
        <w:pStyle w:val="2"/>
        <w:spacing w:before="171" w:line="338" w:lineRule="auto"/>
        <w:jc w:val="both"/>
        <w:rPr>
          <w:color w:val="auto"/>
        </w:rPr>
      </w:pPr>
      <w:r>
        <w:rPr>
          <w:b/>
          <w:color w:val="auto"/>
          <w:spacing w:val="1"/>
        </w:rPr>
        <w:t>第</w:t>
      </w:r>
      <w:r>
        <w:rPr>
          <w:rFonts w:hint="eastAsia"/>
          <w:b/>
          <w:color w:val="auto"/>
          <w:spacing w:val="1"/>
        </w:rPr>
        <w:t>二十一</w:t>
      </w:r>
      <w:r>
        <w:rPr>
          <w:b/>
          <w:color w:val="auto"/>
          <w:spacing w:val="1"/>
        </w:rPr>
        <w:t xml:space="preserve">条 </w:t>
      </w:r>
      <w:r>
        <w:rPr>
          <w:color w:val="auto"/>
          <w:spacing w:val="6"/>
        </w:rPr>
        <w:t>参加质量水平评价活动的专家应当熟悉掌握</w:t>
      </w:r>
      <w:r>
        <w:rPr>
          <w:color w:val="auto"/>
          <w:spacing w:val="-1"/>
          <w:w w:val="95"/>
        </w:rPr>
        <w:t xml:space="preserve">质量水平评价办法、细则及评价标准，准确把握相关规定和 </w:t>
      </w:r>
      <w:r>
        <w:rPr>
          <w:color w:val="auto"/>
          <w:spacing w:val="-3"/>
          <w:w w:val="95"/>
        </w:rPr>
        <w:t>评价工作要求，认真、完整地阅读评价材料，公平公正地开</w:t>
      </w:r>
      <w:r>
        <w:rPr>
          <w:color w:val="auto"/>
          <w:spacing w:val="-3"/>
        </w:rPr>
        <w:t>展评价工作。</w:t>
      </w:r>
    </w:p>
    <w:p w14:paraId="238C6EDB">
      <w:pPr>
        <w:pStyle w:val="2"/>
        <w:spacing w:before="6" w:line="340" w:lineRule="auto"/>
        <w:ind w:right="278"/>
        <w:rPr>
          <w:color w:val="auto"/>
        </w:rPr>
      </w:pPr>
      <w:r>
        <w:rPr>
          <w:b/>
          <w:color w:val="auto"/>
          <w:spacing w:val="4"/>
        </w:rPr>
        <w:t xml:space="preserve">第二十二条 </w:t>
      </w:r>
      <w:r>
        <w:rPr>
          <w:color w:val="auto"/>
          <w:spacing w:val="6"/>
        </w:rPr>
        <w:t xml:space="preserve">质量水平评价专家须具备良好的职业操守， </w:t>
      </w:r>
      <w:r>
        <w:rPr>
          <w:color w:val="auto"/>
          <w:spacing w:val="-11"/>
        </w:rPr>
        <w:t xml:space="preserve">做到实事求是，公平公正，廉洁自律，仪表端庄，语言规范， </w:t>
      </w:r>
      <w:r>
        <w:rPr>
          <w:color w:val="auto"/>
        </w:rPr>
        <w:t>举止得体。</w:t>
      </w:r>
    </w:p>
    <w:p w14:paraId="09418544">
      <w:pPr>
        <w:pStyle w:val="2"/>
        <w:spacing w:line="340" w:lineRule="auto"/>
        <w:jc w:val="both"/>
        <w:rPr>
          <w:color w:val="auto"/>
        </w:rPr>
      </w:pPr>
      <w:r>
        <w:rPr>
          <w:b/>
          <w:color w:val="auto"/>
          <w:spacing w:val="2"/>
        </w:rPr>
        <w:t xml:space="preserve">第二十三条 </w:t>
      </w:r>
      <w:r>
        <w:rPr>
          <w:color w:val="auto"/>
          <w:spacing w:val="6"/>
        </w:rPr>
        <w:t>质量水平评价专家及秘书处工作人员，要</w:t>
      </w:r>
      <w:r>
        <w:rPr>
          <w:color w:val="auto"/>
          <w:spacing w:val="-1"/>
          <w:w w:val="95"/>
        </w:rPr>
        <w:t xml:space="preserve">秉公办事，认真工作，严守秘密，不得对外透露任何与评价 </w:t>
      </w:r>
      <w:r>
        <w:rPr>
          <w:color w:val="auto"/>
          <w:spacing w:val="-1"/>
        </w:rPr>
        <w:t>相关的信息。</w:t>
      </w:r>
    </w:p>
    <w:p w14:paraId="15DB1EB2">
      <w:pPr>
        <w:pStyle w:val="2"/>
        <w:spacing w:line="338" w:lineRule="auto"/>
        <w:ind w:right="428"/>
        <w:jc w:val="both"/>
        <w:rPr>
          <w:color w:val="auto"/>
        </w:rPr>
      </w:pPr>
      <w:r>
        <w:rPr>
          <w:b/>
          <w:color w:val="auto"/>
        </w:rPr>
        <w:t>第二十</w:t>
      </w:r>
      <w:r>
        <w:rPr>
          <w:rFonts w:hint="eastAsia"/>
          <w:b/>
          <w:color w:val="auto"/>
        </w:rPr>
        <w:t>四</w:t>
      </w:r>
      <w:r>
        <w:rPr>
          <w:b/>
          <w:color w:val="auto"/>
        </w:rPr>
        <w:t xml:space="preserve">条 </w:t>
      </w:r>
      <w:r>
        <w:rPr>
          <w:color w:val="auto"/>
        </w:rPr>
        <w:t>申报单位应积极配合专家组的评价工作， 严格执行中央八项规定，不得超规格接待。若有违规行为， 视其情节严重程度给予批评警告，或者取消质量水平评价资格。</w:t>
      </w:r>
    </w:p>
    <w:p w14:paraId="05478321">
      <w:pPr>
        <w:pStyle w:val="2"/>
        <w:spacing w:line="338" w:lineRule="auto"/>
        <w:ind w:right="428"/>
        <w:jc w:val="both"/>
        <w:rPr>
          <w:color w:val="auto"/>
        </w:rPr>
      </w:pPr>
      <w:r>
        <w:rPr>
          <w:b/>
          <w:color w:val="auto"/>
          <w:spacing w:val="2"/>
        </w:rPr>
        <w:t xml:space="preserve">第二十五条 </w:t>
      </w:r>
      <w:r>
        <w:rPr>
          <w:color w:val="auto"/>
          <w:spacing w:val="6"/>
        </w:rPr>
        <w:t>申报单位在项目申报、中间过程检查和现</w:t>
      </w:r>
      <w:r>
        <w:rPr>
          <w:color w:val="auto"/>
          <w:spacing w:val="5"/>
        </w:rPr>
        <w:t>场复评中不得弄虚作假。</w:t>
      </w:r>
      <w:r>
        <w:rPr>
          <w:color w:val="auto"/>
          <w:sz w:val="31"/>
        </w:rPr>
        <w:t>一</w:t>
      </w:r>
      <w:r>
        <w:rPr>
          <w:color w:val="auto"/>
        </w:rPr>
        <w:t>经核实，视其情节严重程度给予</w:t>
      </w:r>
      <w:r>
        <w:rPr>
          <w:color w:val="auto"/>
          <w:spacing w:val="-2"/>
          <w:w w:val="95"/>
        </w:rPr>
        <w:t>批评警告，或者取消项目质量水平评价参评资格。已通过评</w:t>
      </w:r>
      <w:r>
        <w:rPr>
          <w:color w:val="auto"/>
          <w:spacing w:val="-3"/>
          <w:w w:val="95"/>
        </w:rPr>
        <w:t xml:space="preserve">价的，将撤销获得的质量水平评价荣誉并取消该单位一年的 </w:t>
      </w:r>
      <w:r>
        <w:rPr>
          <w:color w:val="auto"/>
          <w:spacing w:val="-3"/>
        </w:rPr>
        <w:t>质量水平评价参评资格。</w:t>
      </w:r>
    </w:p>
    <w:p w14:paraId="14047FE7">
      <w:pPr>
        <w:pStyle w:val="11"/>
        <w:spacing w:before="26"/>
        <w:ind w:left="3228"/>
        <w:jc w:val="both"/>
        <w:rPr>
          <w:color w:val="auto"/>
        </w:rPr>
      </w:pPr>
    </w:p>
    <w:p w14:paraId="2E277A5B">
      <w:pPr>
        <w:pStyle w:val="11"/>
        <w:spacing w:before="26"/>
        <w:ind w:left="3228"/>
        <w:jc w:val="both"/>
        <w:rPr>
          <w:color w:val="auto"/>
        </w:rPr>
      </w:pPr>
      <w:r>
        <w:rPr>
          <w:color w:val="auto"/>
        </w:rPr>
        <w:t>第八章 附 则</w:t>
      </w:r>
    </w:p>
    <w:p w14:paraId="0EE03AB2">
      <w:pPr>
        <w:pStyle w:val="11"/>
        <w:spacing w:before="26"/>
        <w:ind w:left="3228"/>
        <w:jc w:val="both"/>
        <w:rPr>
          <w:color w:val="auto"/>
        </w:rPr>
      </w:pPr>
    </w:p>
    <w:p w14:paraId="243A47EC">
      <w:pPr>
        <w:pStyle w:val="11"/>
        <w:spacing w:before="26" w:line="360" w:lineRule="auto"/>
        <w:ind w:left="0" w:firstLine="615" w:firstLineChars="196"/>
        <w:jc w:val="both"/>
        <w:rPr>
          <w:b w:val="0"/>
          <w:bCs w:val="0"/>
          <w:color w:val="auto"/>
          <w:spacing w:val="-3"/>
        </w:rPr>
      </w:pPr>
      <w:r>
        <w:rPr>
          <w:b w:val="0"/>
          <w:bCs w:val="0"/>
          <w:color w:val="auto"/>
          <w:spacing w:val="-3"/>
        </w:rPr>
        <w:t>第二十</w:t>
      </w:r>
      <w:r>
        <w:rPr>
          <w:rFonts w:hint="eastAsia"/>
          <w:b w:val="0"/>
          <w:bCs w:val="0"/>
          <w:color w:val="auto"/>
          <w:spacing w:val="-3"/>
        </w:rPr>
        <w:t>六</w:t>
      </w:r>
      <w:r>
        <w:rPr>
          <w:b w:val="0"/>
          <w:bCs w:val="0"/>
          <w:color w:val="auto"/>
          <w:spacing w:val="-3"/>
        </w:rPr>
        <w:t>条</w:t>
      </w:r>
      <w:r>
        <w:rPr>
          <w:rFonts w:hint="eastAsia"/>
          <w:b w:val="0"/>
          <w:bCs w:val="0"/>
          <w:color w:val="auto"/>
          <w:spacing w:val="-3"/>
        </w:rPr>
        <w:t xml:space="preserve"> </w:t>
      </w:r>
      <w:r>
        <w:rPr>
          <w:b w:val="0"/>
          <w:bCs w:val="0"/>
          <w:color w:val="auto"/>
          <w:spacing w:val="-3"/>
        </w:rPr>
        <w:t>本会将获得</w:t>
      </w:r>
      <w:r>
        <w:rPr>
          <w:rFonts w:hint="eastAsia"/>
          <w:b w:val="0"/>
          <w:bCs w:val="0"/>
          <w:color w:val="auto"/>
          <w:spacing w:val="-3"/>
        </w:rPr>
        <w:t>“AA”级</w:t>
      </w:r>
      <w:r>
        <w:rPr>
          <w:b w:val="0"/>
          <w:bCs w:val="0"/>
          <w:color w:val="auto"/>
          <w:spacing w:val="-3"/>
        </w:rPr>
        <w:t>质量水平等级且</w:t>
      </w:r>
      <w:r>
        <w:rPr>
          <w:rFonts w:hint="eastAsia"/>
          <w:b w:val="0"/>
          <w:bCs w:val="0"/>
          <w:color w:val="auto"/>
          <w:spacing w:val="-3"/>
        </w:rPr>
        <w:t>特点鲜明</w:t>
      </w:r>
      <w:r>
        <w:rPr>
          <w:b w:val="0"/>
          <w:bCs w:val="0"/>
          <w:color w:val="auto"/>
          <w:spacing w:val="-3"/>
        </w:rPr>
        <w:t>的项目向有关</w:t>
      </w:r>
      <w:r>
        <w:rPr>
          <w:rFonts w:hint="eastAsia"/>
          <w:b w:val="0"/>
          <w:bCs w:val="0"/>
          <w:color w:val="auto"/>
          <w:spacing w:val="-3"/>
        </w:rPr>
        <w:t>单位和</w:t>
      </w:r>
      <w:r>
        <w:rPr>
          <w:b w:val="0"/>
          <w:bCs w:val="0"/>
          <w:color w:val="auto"/>
          <w:spacing w:val="-3"/>
        </w:rPr>
        <w:t>部门积极推荐，</w:t>
      </w:r>
      <w:r>
        <w:rPr>
          <w:rFonts w:hint="eastAsia"/>
          <w:b w:val="0"/>
          <w:bCs w:val="0"/>
          <w:color w:val="auto"/>
          <w:spacing w:val="-3"/>
        </w:rPr>
        <w:t>推广先进经验。</w:t>
      </w:r>
    </w:p>
    <w:p w14:paraId="0B8358CD">
      <w:pPr>
        <w:pStyle w:val="2"/>
        <w:spacing w:before="171" w:line="338" w:lineRule="auto"/>
        <w:jc w:val="both"/>
        <w:rPr>
          <w:color w:val="auto"/>
          <w:spacing w:val="-3"/>
        </w:rPr>
      </w:pPr>
      <w:r>
        <w:rPr>
          <w:color w:val="auto"/>
          <w:spacing w:val="-3"/>
        </w:rPr>
        <w:t>第二十</w:t>
      </w:r>
      <w:r>
        <w:rPr>
          <w:rFonts w:hint="eastAsia"/>
          <w:color w:val="auto"/>
          <w:spacing w:val="-3"/>
        </w:rPr>
        <w:t>七</w:t>
      </w:r>
      <w:r>
        <w:rPr>
          <w:color w:val="auto"/>
          <w:spacing w:val="-3"/>
        </w:rPr>
        <w:t>条 通过质量水平评价的项目可作为当年</w:t>
      </w:r>
      <w:r>
        <w:rPr>
          <w:rFonts w:hint="eastAsia"/>
          <w:color w:val="auto"/>
          <w:spacing w:val="-3"/>
        </w:rPr>
        <w:t>市</w:t>
      </w:r>
      <w:r>
        <w:rPr>
          <w:color w:val="auto"/>
          <w:spacing w:val="-3"/>
        </w:rPr>
        <w:t>级优良样板工程的认定依据，并作为推荐参选</w:t>
      </w:r>
      <w:r>
        <w:rPr>
          <w:rFonts w:hint="eastAsia"/>
          <w:color w:val="auto"/>
          <w:spacing w:val="-3"/>
        </w:rPr>
        <w:t>省</w:t>
      </w:r>
      <w:r>
        <w:rPr>
          <w:color w:val="auto"/>
          <w:spacing w:val="-3"/>
        </w:rPr>
        <w:t>级相关评价活动的依据。</w:t>
      </w:r>
    </w:p>
    <w:p w14:paraId="1EEC5350">
      <w:pPr>
        <w:pStyle w:val="2"/>
        <w:spacing w:before="5" w:line="338" w:lineRule="auto"/>
        <w:ind w:right="116"/>
        <w:rPr>
          <w:color w:val="auto"/>
        </w:rPr>
      </w:pPr>
      <w:r>
        <w:rPr>
          <w:color w:val="auto"/>
          <w:spacing w:val="-3"/>
        </w:rPr>
        <w:t>第二十</w:t>
      </w:r>
      <w:r>
        <w:rPr>
          <w:rFonts w:hint="eastAsia"/>
          <w:color w:val="auto"/>
          <w:spacing w:val="-3"/>
        </w:rPr>
        <w:t>八</w:t>
      </w:r>
      <w:r>
        <w:rPr>
          <w:color w:val="auto"/>
          <w:spacing w:val="-3"/>
        </w:rPr>
        <w:t>条 对已通过评价的项目，如发现其有重</w:t>
      </w:r>
      <w:r>
        <w:rPr>
          <w:color w:val="auto"/>
          <w:spacing w:val="6"/>
        </w:rPr>
        <w:t>大质量安全问题</w:t>
      </w:r>
      <w:r>
        <w:rPr>
          <w:color w:val="auto"/>
          <w:spacing w:val="-3"/>
        </w:rPr>
        <w:t>（</w:t>
      </w:r>
      <w:r>
        <w:rPr>
          <w:color w:val="auto"/>
        </w:rPr>
        <w:t>以行政主管部门发布的公告为准</w:t>
      </w:r>
      <w:r>
        <w:rPr>
          <w:color w:val="auto"/>
          <w:spacing w:val="-3"/>
        </w:rPr>
        <w:t>），中山市</w:t>
      </w:r>
      <w:r>
        <w:rPr>
          <w:color w:val="auto"/>
        </w:rPr>
        <w:t>市</w:t>
      </w:r>
      <w:r>
        <w:rPr>
          <w:color w:val="auto"/>
          <w:spacing w:val="-1"/>
          <w:w w:val="95"/>
        </w:rPr>
        <w:t>政行业协会有权取消其“中山市市政工程质量水平评价项目”</w:t>
      </w:r>
      <w:r>
        <w:rPr>
          <w:color w:val="auto"/>
          <w:spacing w:val="-1"/>
        </w:rPr>
        <w:t>的荣誉称号，并予以公告。</w:t>
      </w:r>
    </w:p>
    <w:p w14:paraId="75F0CA07">
      <w:pPr>
        <w:spacing w:line="360" w:lineRule="auto"/>
        <w:ind w:firstLine="620" w:firstLineChars="200"/>
        <w:rPr>
          <w:rFonts w:hint="eastAsia" w:ascii="仿宋" w:hAnsi="仿宋" w:eastAsia="仿宋" w:cs="仿宋"/>
          <w:sz w:val="31"/>
          <w:szCs w:val="31"/>
          <w:highlight w:val="none"/>
        </w:rPr>
      </w:pPr>
      <w:r>
        <w:rPr>
          <w:rFonts w:hint="eastAsia" w:ascii="仿宋" w:hAnsi="仿宋" w:eastAsia="仿宋" w:cs="仿宋"/>
          <w:sz w:val="31"/>
          <w:szCs w:val="31"/>
          <w:highlight w:val="none"/>
        </w:rPr>
        <w:t>第二十九条 本办法由中山市市政行业协会负责解释。本办法自公布之日起</w:t>
      </w:r>
      <w:r>
        <w:rPr>
          <w:rFonts w:hint="eastAsia" w:ascii="仿宋" w:hAnsi="仿宋" w:eastAsia="仿宋" w:cs="仿宋"/>
          <w:sz w:val="31"/>
          <w:szCs w:val="31"/>
          <w:highlight w:val="none"/>
          <w:lang w:val="en-US" w:eastAsia="zh-CN"/>
        </w:rPr>
        <w:t>执</w:t>
      </w:r>
      <w:r>
        <w:rPr>
          <w:rFonts w:hint="eastAsia" w:ascii="仿宋" w:hAnsi="仿宋" w:eastAsia="仿宋" w:cs="仿宋"/>
          <w:sz w:val="31"/>
          <w:szCs w:val="31"/>
          <w:highlight w:val="none"/>
        </w:rPr>
        <w:t>行</w:t>
      </w:r>
      <w:r>
        <w:rPr>
          <w:rFonts w:hint="eastAsia" w:ascii="仿宋" w:hAnsi="仿宋" w:eastAsia="仿宋" w:cs="仿宋"/>
          <w:sz w:val="31"/>
          <w:szCs w:val="31"/>
          <w:highlight w:val="none"/>
          <w:lang w:eastAsia="zh-CN"/>
        </w:rPr>
        <w:t>。自执行日起</w:t>
      </w:r>
      <w:r>
        <w:rPr>
          <w:rFonts w:hint="eastAsia" w:ascii="仿宋" w:hAnsi="仿宋" w:eastAsia="仿宋" w:cs="仿宋"/>
          <w:sz w:val="31"/>
          <w:szCs w:val="31"/>
          <w:highlight w:val="none"/>
          <w:lang w:val="en-US" w:eastAsia="zh-CN"/>
        </w:rPr>
        <w:t>原</w:t>
      </w:r>
      <w:r>
        <w:rPr>
          <w:rFonts w:hint="eastAsia" w:ascii="仿宋" w:hAnsi="仿宋" w:eastAsia="仿宋" w:cs="仿宋"/>
          <w:sz w:val="31"/>
          <w:szCs w:val="31"/>
          <w:highlight w:val="none"/>
        </w:rPr>
        <w:t>202</w:t>
      </w:r>
      <w:r>
        <w:rPr>
          <w:rFonts w:hint="eastAsia" w:cs="仿宋"/>
          <w:sz w:val="31"/>
          <w:szCs w:val="31"/>
          <w:highlight w:val="none"/>
          <w:lang w:val="en-US" w:eastAsia="zh-CN"/>
        </w:rPr>
        <w:t>2</w:t>
      </w:r>
      <w:r>
        <w:rPr>
          <w:rFonts w:hint="eastAsia" w:ascii="仿宋" w:hAnsi="仿宋" w:eastAsia="仿宋" w:cs="仿宋"/>
          <w:sz w:val="31"/>
          <w:szCs w:val="31"/>
          <w:highlight w:val="none"/>
        </w:rPr>
        <w:t>年版同时废止。</w:t>
      </w:r>
    </w:p>
    <w:p w14:paraId="226748CB">
      <w:pPr>
        <w:spacing w:line="360" w:lineRule="auto"/>
        <w:ind w:firstLine="620" w:firstLineChars="200"/>
        <w:rPr>
          <w:rFonts w:hint="eastAsia" w:ascii="仿宋" w:hAnsi="仿宋" w:eastAsia="仿宋" w:cs="仿宋"/>
          <w:sz w:val="31"/>
          <w:szCs w:val="31"/>
          <w:highlight w:val="none"/>
        </w:rPr>
      </w:pPr>
    </w:p>
    <w:p w14:paraId="3DBE45CE">
      <w:pPr>
        <w:spacing w:line="360" w:lineRule="auto"/>
        <w:ind w:firstLine="620" w:firstLineChars="200"/>
        <w:rPr>
          <w:rFonts w:hint="eastAsia" w:ascii="仿宋" w:hAnsi="仿宋" w:eastAsia="仿宋" w:cs="仿宋"/>
          <w:sz w:val="31"/>
          <w:szCs w:val="31"/>
          <w:highlight w:val="none"/>
        </w:rPr>
      </w:pPr>
    </w:p>
    <w:p w14:paraId="433461D2">
      <w:pPr>
        <w:pStyle w:val="2"/>
        <w:spacing w:line="338" w:lineRule="auto"/>
        <w:ind w:right="428"/>
        <w:jc w:val="right"/>
        <w:rPr>
          <w:color w:val="auto"/>
          <w:spacing w:val="-2"/>
        </w:rPr>
      </w:pPr>
      <w:r>
        <w:rPr>
          <w:rFonts w:hint="eastAsia"/>
          <w:color w:val="auto"/>
          <w:spacing w:val="-2"/>
        </w:rPr>
        <w:t>中山市</w:t>
      </w:r>
      <w:r>
        <w:rPr>
          <w:color w:val="auto"/>
          <w:spacing w:val="-2"/>
        </w:rPr>
        <w:t>市政行业协会</w:t>
      </w:r>
    </w:p>
    <w:p w14:paraId="7FC24FF2">
      <w:pPr>
        <w:pStyle w:val="2"/>
        <w:numPr>
          <w:ilvl w:val="0"/>
          <w:numId w:val="0"/>
        </w:numPr>
        <w:spacing w:line="338" w:lineRule="auto"/>
        <w:ind w:right="428" w:rightChars="0" w:firstLine="6200" w:firstLineChars="2000"/>
        <w:jc w:val="both"/>
        <w:rPr>
          <w:rFonts w:hint="eastAsia" w:ascii="仿宋" w:hAnsi="仿宋" w:eastAsia="仿宋" w:cs="仿宋"/>
          <w:sz w:val="31"/>
          <w:szCs w:val="31"/>
          <w:highlight w:val="none"/>
          <w:lang w:val="zh-CN" w:eastAsia="zh-CN" w:bidi="zh-CN"/>
        </w:rPr>
      </w:pPr>
      <w:r>
        <w:rPr>
          <w:rFonts w:hint="eastAsia" w:cs="仿宋"/>
          <w:sz w:val="31"/>
          <w:szCs w:val="31"/>
          <w:highlight w:val="none"/>
          <w:lang w:val="en-US" w:eastAsia="zh-CN" w:bidi="zh-CN"/>
        </w:rPr>
        <w:t>2</w:t>
      </w:r>
      <w:r>
        <w:rPr>
          <w:rFonts w:hint="eastAsia" w:ascii="仿宋" w:hAnsi="仿宋" w:eastAsia="仿宋" w:cs="仿宋"/>
          <w:sz w:val="31"/>
          <w:szCs w:val="31"/>
          <w:highlight w:val="none"/>
          <w:lang w:val="en-US" w:eastAsia="zh-CN" w:bidi="zh-CN"/>
        </w:rPr>
        <w:t>025</w:t>
      </w:r>
      <w:r>
        <w:rPr>
          <w:rFonts w:hint="eastAsia" w:ascii="仿宋" w:hAnsi="仿宋" w:eastAsia="仿宋" w:cs="仿宋"/>
          <w:sz w:val="31"/>
          <w:szCs w:val="31"/>
          <w:highlight w:val="none"/>
          <w:lang w:val="zh-CN" w:eastAsia="zh-CN" w:bidi="zh-CN"/>
        </w:rPr>
        <w:t>年</w:t>
      </w:r>
      <w:r>
        <w:rPr>
          <w:rFonts w:hint="eastAsia" w:ascii="仿宋" w:hAnsi="仿宋" w:eastAsia="仿宋" w:cs="仿宋"/>
          <w:sz w:val="31"/>
          <w:szCs w:val="31"/>
          <w:highlight w:val="none"/>
          <w:lang w:val="en-US" w:eastAsia="zh-CN" w:bidi="zh-CN"/>
        </w:rPr>
        <w:t>2</w:t>
      </w:r>
      <w:r>
        <w:rPr>
          <w:rFonts w:hint="eastAsia" w:ascii="仿宋" w:hAnsi="仿宋" w:eastAsia="仿宋" w:cs="仿宋"/>
          <w:sz w:val="31"/>
          <w:szCs w:val="31"/>
          <w:highlight w:val="none"/>
          <w:lang w:val="zh-CN" w:eastAsia="zh-CN" w:bidi="zh-CN"/>
        </w:rPr>
        <w:t>月</w:t>
      </w:r>
      <w:r>
        <w:rPr>
          <w:rFonts w:hint="eastAsia" w:ascii="仿宋" w:hAnsi="仿宋" w:eastAsia="仿宋" w:cs="仿宋"/>
          <w:sz w:val="31"/>
          <w:szCs w:val="31"/>
          <w:highlight w:val="none"/>
          <w:lang w:val="en-US" w:eastAsia="zh-CN" w:bidi="zh-CN"/>
        </w:rPr>
        <w:t>20</w:t>
      </w:r>
      <w:r>
        <w:rPr>
          <w:rFonts w:hint="eastAsia" w:ascii="仿宋" w:hAnsi="仿宋" w:eastAsia="仿宋" w:cs="仿宋"/>
          <w:sz w:val="31"/>
          <w:szCs w:val="31"/>
          <w:highlight w:val="none"/>
          <w:lang w:val="zh-CN" w:eastAsia="zh-CN" w:bidi="zh-CN"/>
        </w:rPr>
        <w:t>日</w:t>
      </w:r>
    </w:p>
    <w:p w14:paraId="617E8920">
      <w:pPr>
        <w:pStyle w:val="2"/>
        <w:numPr>
          <w:ilvl w:val="0"/>
          <w:numId w:val="0"/>
        </w:numPr>
        <w:spacing w:line="338" w:lineRule="auto"/>
        <w:ind w:left="755" w:leftChars="0" w:right="428" w:rightChars="0"/>
        <w:jc w:val="both"/>
        <w:rPr>
          <w:color w:val="auto"/>
          <w:spacing w:val="-41"/>
        </w:rPr>
      </w:pPr>
    </w:p>
    <w:p w14:paraId="6A0068D3">
      <w:pPr>
        <w:pStyle w:val="2"/>
        <w:numPr>
          <w:ilvl w:val="0"/>
          <w:numId w:val="0"/>
        </w:numPr>
        <w:spacing w:line="338" w:lineRule="auto"/>
        <w:ind w:left="755" w:leftChars="0" w:right="428" w:rightChars="0"/>
        <w:jc w:val="both"/>
        <w:rPr>
          <w:color w:val="auto"/>
          <w:spacing w:val="-41"/>
        </w:rPr>
      </w:pPr>
    </w:p>
    <w:p w14:paraId="0FC9B3E1">
      <w:pPr>
        <w:pStyle w:val="2"/>
        <w:numPr>
          <w:ilvl w:val="0"/>
          <w:numId w:val="0"/>
        </w:numPr>
        <w:spacing w:line="338" w:lineRule="auto"/>
        <w:ind w:left="755" w:leftChars="0" w:right="428" w:rightChars="0"/>
        <w:jc w:val="both"/>
        <w:rPr>
          <w:color w:val="auto"/>
          <w:spacing w:val="-41"/>
        </w:rPr>
      </w:pPr>
    </w:p>
    <w:p w14:paraId="204EC541">
      <w:pPr>
        <w:pStyle w:val="2"/>
        <w:numPr>
          <w:ilvl w:val="0"/>
          <w:numId w:val="0"/>
        </w:numPr>
        <w:spacing w:line="338" w:lineRule="auto"/>
        <w:ind w:left="755" w:leftChars="0" w:right="428" w:rightChars="0"/>
        <w:jc w:val="both"/>
        <w:rPr>
          <w:color w:val="auto"/>
          <w:spacing w:val="-41"/>
        </w:rPr>
      </w:pPr>
    </w:p>
    <w:p w14:paraId="455C59A1">
      <w:pPr>
        <w:pStyle w:val="2"/>
        <w:spacing w:line="338" w:lineRule="auto"/>
        <w:ind w:left="0" w:leftChars="0" w:right="428" w:firstLine="0" w:firstLineChars="0"/>
        <w:rPr>
          <w:color w:val="auto"/>
          <w:spacing w:val="-41"/>
          <w:sz w:val="30"/>
          <w:szCs w:val="30"/>
        </w:rPr>
      </w:pPr>
      <w:r>
        <w:rPr>
          <w:rFonts w:hint="eastAsia"/>
          <w:color w:val="auto"/>
          <w:spacing w:val="-41"/>
          <w:sz w:val="30"/>
          <w:szCs w:val="30"/>
        </w:rPr>
        <w:t>附件：</w:t>
      </w:r>
    </w:p>
    <w:p w14:paraId="45BA1180">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6"/>
          <w:sz w:val="30"/>
          <w:szCs w:val="30"/>
        </w:rPr>
      </w:pPr>
      <w:r>
        <w:rPr>
          <w:rFonts w:hint="eastAsia"/>
          <w:color w:val="auto"/>
          <w:spacing w:val="6"/>
          <w:sz w:val="30"/>
          <w:szCs w:val="30"/>
        </w:rPr>
        <w:t>1、中山市市政行业协会市政工程质量水平评价申报表</w:t>
      </w:r>
    </w:p>
    <w:p w14:paraId="5B20CCF9">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54" w:firstLineChars="300"/>
        <w:textAlignment w:val="auto"/>
        <w:rPr>
          <w:color w:val="auto"/>
          <w:spacing w:val="6"/>
          <w:sz w:val="30"/>
          <w:szCs w:val="30"/>
        </w:rPr>
      </w:pPr>
      <w:r>
        <w:rPr>
          <w:rFonts w:hint="eastAsia"/>
          <w:color w:val="auto"/>
          <w:spacing w:val="-41"/>
          <w:sz w:val="30"/>
          <w:szCs w:val="30"/>
        </w:rPr>
        <w:t>2、</w:t>
      </w:r>
      <w:r>
        <w:rPr>
          <w:rFonts w:hint="eastAsia"/>
          <w:color w:val="auto"/>
          <w:spacing w:val="6"/>
          <w:sz w:val="30"/>
          <w:szCs w:val="30"/>
        </w:rPr>
        <w:t>中山市市政行业协会市政工程质量水平评价现场管理人员一览表</w:t>
      </w:r>
    </w:p>
    <w:p w14:paraId="1ED3D8FC">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6"/>
          <w:sz w:val="30"/>
          <w:szCs w:val="30"/>
        </w:rPr>
      </w:pPr>
      <w:r>
        <w:rPr>
          <w:rFonts w:hint="eastAsia"/>
          <w:color w:val="auto"/>
          <w:spacing w:val="6"/>
          <w:sz w:val="30"/>
          <w:szCs w:val="30"/>
        </w:rPr>
        <w:t>3、中山市市政行业协会市政工程质量水平评价申报承诺书</w:t>
      </w:r>
    </w:p>
    <w:p w14:paraId="0F0061C3">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6"/>
          <w:sz w:val="30"/>
          <w:szCs w:val="30"/>
        </w:rPr>
      </w:pPr>
      <w:r>
        <w:rPr>
          <w:rFonts w:hint="eastAsia"/>
          <w:color w:val="auto"/>
          <w:spacing w:val="6"/>
          <w:sz w:val="30"/>
          <w:szCs w:val="30"/>
        </w:rPr>
        <w:t>4、中山市市政行业协会市政工程质量水平评价备案表</w:t>
      </w:r>
    </w:p>
    <w:p w14:paraId="71054260">
      <w:pPr>
        <w:pStyle w:val="2"/>
        <w:keepNext w:val="0"/>
        <w:keepLines w:val="0"/>
        <w:pageBreakBefore w:val="0"/>
        <w:widowControl w:val="0"/>
        <w:kinsoku/>
        <w:wordWrap/>
        <w:overflowPunct/>
        <w:topLinePunct w:val="0"/>
        <w:autoSpaceDE w:val="0"/>
        <w:autoSpaceDN w:val="0"/>
        <w:bidi w:val="0"/>
        <w:adjustRightInd/>
        <w:snapToGrid/>
        <w:spacing w:before="247" w:line="360" w:lineRule="auto"/>
        <w:ind w:left="0" w:leftChars="0" w:firstLine="624" w:firstLineChars="200"/>
        <w:textAlignment w:val="auto"/>
        <w:rPr>
          <w:color w:val="auto"/>
          <w:sz w:val="30"/>
          <w:szCs w:val="30"/>
        </w:rPr>
      </w:pPr>
      <w:r>
        <w:rPr>
          <w:rFonts w:hint="eastAsia"/>
          <w:color w:val="auto"/>
          <w:spacing w:val="6"/>
          <w:sz w:val="30"/>
          <w:szCs w:val="30"/>
        </w:rPr>
        <w:t>5、中山</w:t>
      </w:r>
      <w:r>
        <w:rPr>
          <w:color w:val="auto"/>
          <w:spacing w:val="6"/>
          <w:sz w:val="30"/>
          <w:szCs w:val="30"/>
        </w:rPr>
        <w:t>市</w:t>
      </w:r>
      <w:r>
        <w:rPr>
          <w:rFonts w:hint="eastAsia"/>
          <w:color w:val="auto"/>
          <w:spacing w:val="6"/>
          <w:sz w:val="30"/>
          <w:szCs w:val="30"/>
        </w:rPr>
        <w:t>市政行业协会</w:t>
      </w:r>
      <w:r>
        <w:rPr>
          <w:color w:val="auto"/>
          <w:spacing w:val="6"/>
          <w:sz w:val="30"/>
          <w:szCs w:val="30"/>
        </w:rPr>
        <w:t>市政工程</w:t>
      </w:r>
      <w:r>
        <w:rPr>
          <w:rFonts w:hint="eastAsia"/>
          <w:color w:val="auto"/>
          <w:spacing w:val="6"/>
          <w:sz w:val="30"/>
          <w:szCs w:val="30"/>
        </w:rPr>
        <w:t>质量水平评价</w:t>
      </w:r>
      <w:r>
        <w:rPr>
          <w:color w:val="auto"/>
          <w:spacing w:val="6"/>
          <w:sz w:val="30"/>
          <w:szCs w:val="30"/>
        </w:rPr>
        <w:t>中间过程检查评分表</w:t>
      </w:r>
    </w:p>
    <w:p w14:paraId="524BD634">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6"/>
          <w:sz w:val="30"/>
          <w:szCs w:val="30"/>
        </w:rPr>
      </w:pPr>
      <w:r>
        <w:rPr>
          <w:rFonts w:hint="eastAsia"/>
          <w:color w:val="auto"/>
          <w:spacing w:val="6"/>
          <w:sz w:val="30"/>
          <w:szCs w:val="30"/>
        </w:rPr>
        <w:t>6、中山</w:t>
      </w:r>
      <w:r>
        <w:rPr>
          <w:color w:val="auto"/>
          <w:spacing w:val="6"/>
          <w:sz w:val="30"/>
          <w:szCs w:val="30"/>
        </w:rPr>
        <w:t>市</w:t>
      </w:r>
      <w:r>
        <w:rPr>
          <w:rFonts w:hint="eastAsia"/>
          <w:color w:val="auto"/>
          <w:spacing w:val="6"/>
          <w:sz w:val="30"/>
          <w:szCs w:val="30"/>
        </w:rPr>
        <w:t>市政行业协会</w:t>
      </w:r>
      <w:r>
        <w:rPr>
          <w:color w:val="auto"/>
          <w:spacing w:val="6"/>
          <w:sz w:val="30"/>
          <w:szCs w:val="30"/>
        </w:rPr>
        <w:t>市政工程</w:t>
      </w:r>
      <w:r>
        <w:rPr>
          <w:rFonts w:hint="eastAsia"/>
          <w:color w:val="auto"/>
          <w:spacing w:val="6"/>
          <w:sz w:val="30"/>
          <w:szCs w:val="30"/>
        </w:rPr>
        <w:t>质量水平评价</w:t>
      </w:r>
      <w:r>
        <w:rPr>
          <w:color w:val="auto"/>
          <w:spacing w:val="6"/>
          <w:sz w:val="30"/>
          <w:szCs w:val="30"/>
        </w:rPr>
        <w:t>中间过程检查整改意见</w:t>
      </w:r>
    </w:p>
    <w:p w14:paraId="58787C8B">
      <w:pPr>
        <w:pStyle w:val="2"/>
        <w:keepNext w:val="0"/>
        <w:keepLines w:val="0"/>
        <w:pageBreakBefore w:val="0"/>
        <w:widowControl w:val="0"/>
        <w:kinsoku/>
        <w:wordWrap/>
        <w:overflowPunct/>
        <w:topLinePunct w:val="0"/>
        <w:autoSpaceDE w:val="0"/>
        <w:autoSpaceDN w:val="0"/>
        <w:bidi w:val="0"/>
        <w:adjustRightInd/>
        <w:snapToGrid/>
        <w:spacing w:before="254" w:line="360" w:lineRule="auto"/>
        <w:ind w:left="0" w:leftChars="0" w:right="16" w:firstLine="624" w:firstLineChars="200"/>
        <w:jc w:val="both"/>
        <w:textAlignment w:val="auto"/>
        <w:rPr>
          <w:color w:val="auto"/>
          <w:spacing w:val="-4"/>
          <w:sz w:val="30"/>
          <w:szCs w:val="30"/>
        </w:rPr>
      </w:pPr>
      <w:r>
        <w:rPr>
          <w:rFonts w:hint="eastAsia"/>
          <w:color w:val="auto"/>
          <w:spacing w:val="6"/>
          <w:sz w:val="30"/>
          <w:szCs w:val="30"/>
        </w:rPr>
        <w:t>7、</w:t>
      </w:r>
      <w:r>
        <w:rPr>
          <w:rFonts w:hint="eastAsia"/>
          <w:color w:val="auto"/>
          <w:spacing w:val="7"/>
          <w:sz w:val="30"/>
          <w:szCs w:val="30"/>
        </w:rPr>
        <w:t>中山</w:t>
      </w:r>
      <w:r>
        <w:rPr>
          <w:color w:val="auto"/>
          <w:spacing w:val="7"/>
          <w:sz w:val="30"/>
          <w:szCs w:val="30"/>
        </w:rPr>
        <w:t>市</w:t>
      </w:r>
      <w:r>
        <w:rPr>
          <w:rFonts w:hint="eastAsia"/>
          <w:color w:val="auto"/>
          <w:spacing w:val="7"/>
          <w:sz w:val="30"/>
          <w:szCs w:val="30"/>
        </w:rPr>
        <w:t>市政行业协会</w:t>
      </w:r>
      <w:r>
        <w:rPr>
          <w:color w:val="auto"/>
          <w:spacing w:val="7"/>
          <w:sz w:val="30"/>
          <w:szCs w:val="30"/>
        </w:rPr>
        <w:t>市政工程</w:t>
      </w:r>
      <w:r>
        <w:rPr>
          <w:rFonts w:hint="eastAsia"/>
          <w:color w:val="auto"/>
          <w:spacing w:val="6"/>
          <w:sz w:val="30"/>
          <w:szCs w:val="30"/>
        </w:rPr>
        <w:t>质量水平评价</w:t>
      </w:r>
      <w:r>
        <w:rPr>
          <w:color w:val="auto"/>
          <w:spacing w:val="7"/>
          <w:sz w:val="30"/>
          <w:szCs w:val="30"/>
        </w:rPr>
        <w:t>中间过程检查整改</w:t>
      </w:r>
      <w:r>
        <w:rPr>
          <w:color w:val="auto"/>
          <w:spacing w:val="-4"/>
          <w:sz w:val="30"/>
          <w:szCs w:val="30"/>
        </w:rPr>
        <w:t>回复</w:t>
      </w:r>
    </w:p>
    <w:p w14:paraId="4B1AA5AF">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rFonts w:hint="eastAsia"/>
          <w:color w:val="auto"/>
          <w:spacing w:val="6"/>
          <w:sz w:val="30"/>
          <w:szCs w:val="30"/>
        </w:rPr>
      </w:pPr>
      <w:r>
        <w:rPr>
          <w:rFonts w:hint="eastAsia"/>
          <w:color w:val="auto"/>
          <w:spacing w:val="6"/>
          <w:sz w:val="30"/>
          <w:szCs w:val="30"/>
        </w:rPr>
        <w:t>8、中山市市政行业协会市政工程质量水平评价资料评分表（市政通用）</w:t>
      </w:r>
    </w:p>
    <w:p w14:paraId="1CD825C4">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z w:val="30"/>
          <w:szCs w:val="30"/>
        </w:rPr>
      </w:pPr>
      <w:r>
        <w:rPr>
          <w:rFonts w:hint="eastAsia"/>
          <w:color w:val="auto"/>
          <w:spacing w:val="6"/>
          <w:sz w:val="30"/>
          <w:szCs w:val="30"/>
        </w:rPr>
        <w:t>9、中</w:t>
      </w:r>
      <w:r>
        <w:rPr>
          <w:rFonts w:hint="eastAsia"/>
          <w:color w:val="auto"/>
          <w:spacing w:val="5"/>
          <w:sz w:val="30"/>
          <w:szCs w:val="30"/>
        </w:rPr>
        <w:t>山</w:t>
      </w:r>
      <w:r>
        <w:rPr>
          <w:color w:val="auto"/>
          <w:spacing w:val="5"/>
          <w:sz w:val="30"/>
          <w:szCs w:val="30"/>
        </w:rPr>
        <w:t>市</w:t>
      </w:r>
      <w:r>
        <w:rPr>
          <w:rFonts w:hint="eastAsia"/>
          <w:color w:val="auto"/>
          <w:spacing w:val="5"/>
          <w:sz w:val="30"/>
          <w:szCs w:val="30"/>
        </w:rPr>
        <w:t>市政行业协会</w:t>
      </w:r>
      <w:r>
        <w:rPr>
          <w:color w:val="auto"/>
          <w:spacing w:val="5"/>
          <w:sz w:val="30"/>
          <w:szCs w:val="30"/>
        </w:rPr>
        <w:t>市政工程质量水平评价外观评分表</w:t>
      </w:r>
      <w:r>
        <w:rPr>
          <w:rFonts w:hint="eastAsia"/>
          <w:color w:val="auto"/>
          <w:spacing w:val="5"/>
          <w:sz w:val="30"/>
          <w:szCs w:val="30"/>
        </w:rPr>
        <w:t>（市政通用）</w:t>
      </w:r>
    </w:p>
    <w:p w14:paraId="03D70354">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6"/>
          <w:sz w:val="30"/>
          <w:szCs w:val="30"/>
        </w:rPr>
      </w:pPr>
      <w:r>
        <w:rPr>
          <w:rFonts w:hint="eastAsia"/>
          <w:color w:val="auto"/>
          <w:spacing w:val="6"/>
          <w:sz w:val="30"/>
          <w:szCs w:val="30"/>
        </w:rPr>
        <w:t>10、工程简介（或汇报资料）参考模板</w:t>
      </w:r>
    </w:p>
    <w:p w14:paraId="639F30E9">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rFonts w:hint="eastAsia"/>
          <w:color w:val="auto"/>
          <w:spacing w:val="6"/>
          <w:sz w:val="30"/>
          <w:szCs w:val="30"/>
        </w:rPr>
      </w:pPr>
      <w:r>
        <w:rPr>
          <w:rFonts w:hint="eastAsia"/>
          <w:color w:val="auto"/>
          <w:spacing w:val="6"/>
          <w:sz w:val="30"/>
          <w:szCs w:val="30"/>
        </w:rPr>
        <w:t>11、分包单位资格报审表</w:t>
      </w:r>
    </w:p>
    <w:p w14:paraId="5D4F331E">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rFonts w:hint="eastAsia"/>
          <w:color w:val="auto"/>
          <w:spacing w:val="6"/>
          <w:sz w:val="30"/>
          <w:szCs w:val="30"/>
          <w:lang w:val="en-US" w:eastAsia="zh-CN"/>
        </w:rPr>
      </w:pPr>
      <w:r>
        <w:rPr>
          <w:rFonts w:hint="eastAsia"/>
          <w:color w:val="auto"/>
          <w:spacing w:val="6"/>
          <w:sz w:val="30"/>
          <w:szCs w:val="30"/>
          <w:lang w:val="en-US" w:eastAsia="zh-CN"/>
        </w:rPr>
        <w:t>12、</w:t>
      </w:r>
      <w:r>
        <w:rPr>
          <w:rFonts w:hint="eastAsia"/>
          <w:color w:val="auto"/>
          <w:spacing w:val="6"/>
          <w:sz w:val="30"/>
          <w:szCs w:val="30"/>
        </w:rPr>
        <w:t>中山市市政行业协会市政工程</w:t>
      </w:r>
      <w:r>
        <w:rPr>
          <w:rFonts w:hint="eastAsia"/>
          <w:color w:val="auto"/>
          <w:spacing w:val="6"/>
          <w:sz w:val="30"/>
          <w:szCs w:val="30"/>
          <w:lang w:val="en-US" w:eastAsia="zh-CN"/>
        </w:rPr>
        <w:t>质量水平评价申报程序</w:t>
      </w:r>
    </w:p>
    <w:p w14:paraId="21F721B4">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rFonts w:hint="eastAsia"/>
          <w:color w:val="auto"/>
          <w:spacing w:val="6"/>
          <w:sz w:val="30"/>
          <w:szCs w:val="30"/>
        </w:rPr>
      </w:pPr>
      <w:r>
        <w:rPr>
          <w:rFonts w:hint="eastAsia"/>
          <w:color w:val="auto"/>
          <w:spacing w:val="6"/>
          <w:sz w:val="30"/>
          <w:szCs w:val="30"/>
          <w:lang w:val="en-US" w:eastAsia="zh-CN"/>
        </w:rPr>
        <w:t>13、</w:t>
      </w:r>
      <w:r>
        <w:rPr>
          <w:rFonts w:hint="eastAsia"/>
          <w:color w:val="auto"/>
          <w:spacing w:val="6"/>
          <w:sz w:val="30"/>
          <w:szCs w:val="30"/>
        </w:rPr>
        <w:t>中山市市政行业协会市政工程质量水平评价参建各方履责检查表</w:t>
      </w:r>
    </w:p>
    <w:p w14:paraId="7C0B3097">
      <w:pPr>
        <w:pStyle w:val="2"/>
        <w:keepNext w:val="0"/>
        <w:keepLines w:val="0"/>
        <w:pageBreakBefore w:val="0"/>
        <w:widowControl w:val="0"/>
        <w:kinsoku/>
        <w:wordWrap/>
        <w:overflowPunct/>
        <w:topLinePunct w:val="0"/>
        <w:autoSpaceDE w:val="0"/>
        <w:autoSpaceDN w:val="0"/>
        <w:bidi w:val="0"/>
        <w:adjustRightInd/>
        <w:snapToGrid/>
        <w:spacing w:before="255" w:line="360" w:lineRule="auto"/>
        <w:ind w:left="0" w:leftChars="0" w:firstLine="624" w:firstLineChars="200"/>
        <w:textAlignment w:val="auto"/>
        <w:rPr>
          <w:color w:val="auto"/>
          <w:spacing w:val="-41"/>
        </w:rPr>
      </w:pPr>
      <w:r>
        <w:rPr>
          <w:rFonts w:hint="eastAsia"/>
          <w:color w:val="auto"/>
          <w:spacing w:val="6"/>
          <w:sz w:val="30"/>
          <w:szCs w:val="30"/>
          <w:lang w:val="en-US" w:eastAsia="zh-CN"/>
        </w:rPr>
        <w:t>14、中山市市政行业协会市政工程质量水平评价中间检查评审申请表</w:t>
      </w:r>
    </w:p>
    <w:sectPr>
      <w:type w:val="continuous"/>
      <w:pgSz w:w="11910" w:h="16840"/>
      <w:pgMar w:top="1400" w:right="1360" w:bottom="1300" w:left="1680" w:header="720" w:footer="1115"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RlMGU4NDVmMzIzODNhOGJjNzgxZjAyZmUxYmEwNGUifQ=="/>
  </w:docVars>
  <w:rsids>
    <w:rsidRoot w:val="0087115B"/>
    <w:rsid w:val="00041F8B"/>
    <w:rsid w:val="00091756"/>
    <w:rsid w:val="001456DC"/>
    <w:rsid w:val="00193D4C"/>
    <w:rsid w:val="001A5903"/>
    <w:rsid w:val="003539F2"/>
    <w:rsid w:val="003D198D"/>
    <w:rsid w:val="003F5E90"/>
    <w:rsid w:val="00432D32"/>
    <w:rsid w:val="004362AC"/>
    <w:rsid w:val="004839D5"/>
    <w:rsid w:val="0049306F"/>
    <w:rsid w:val="004A1593"/>
    <w:rsid w:val="004F6174"/>
    <w:rsid w:val="006244D3"/>
    <w:rsid w:val="00705333"/>
    <w:rsid w:val="00747E9D"/>
    <w:rsid w:val="007B0AE0"/>
    <w:rsid w:val="008612C7"/>
    <w:rsid w:val="0087115B"/>
    <w:rsid w:val="008B254F"/>
    <w:rsid w:val="008D5A16"/>
    <w:rsid w:val="008E2169"/>
    <w:rsid w:val="008F19B9"/>
    <w:rsid w:val="008F3F32"/>
    <w:rsid w:val="00926980"/>
    <w:rsid w:val="009536A0"/>
    <w:rsid w:val="009B2977"/>
    <w:rsid w:val="00A4185E"/>
    <w:rsid w:val="00AC0A05"/>
    <w:rsid w:val="00BD6F67"/>
    <w:rsid w:val="00C11831"/>
    <w:rsid w:val="00E45353"/>
    <w:rsid w:val="00EB6C54"/>
    <w:rsid w:val="00F2272A"/>
    <w:rsid w:val="00F41590"/>
    <w:rsid w:val="00F46B22"/>
    <w:rsid w:val="00F650C5"/>
    <w:rsid w:val="00F9144A"/>
    <w:rsid w:val="00F93E1E"/>
    <w:rsid w:val="00FA716C"/>
    <w:rsid w:val="00FC5948"/>
    <w:rsid w:val="00FD058E"/>
    <w:rsid w:val="06EC383F"/>
    <w:rsid w:val="09EA01BD"/>
    <w:rsid w:val="0C347F54"/>
    <w:rsid w:val="0EEE5B3D"/>
    <w:rsid w:val="0F093963"/>
    <w:rsid w:val="11A911D2"/>
    <w:rsid w:val="14A3027A"/>
    <w:rsid w:val="172E65AE"/>
    <w:rsid w:val="1AB07EE8"/>
    <w:rsid w:val="1B9B5F36"/>
    <w:rsid w:val="1BAF79D0"/>
    <w:rsid w:val="1E7C54E3"/>
    <w:rsid w:val="205A6D01"/>
    <w:rsid w:val="206715F9"/>
    <w:rsid w:val="25DC565A"/>
    <w:rsid w:val="26A969B3"/>
    <w:rsid w:val="3FAB66C4"/>
    <w:rsid w:val="45E923C8"/>
    <w:rsid w:val="460D1E4F"/>
    <w:rsid w:val="4714208C"/>
    <w:rsid w:val="4C8F6949"/>
    <w:rsid w:val="556D286F"/>
    <w:rsid w:val="5B6A6592"/>
    <w:rsid w:val="60850507"/>
    <w:rsid w:val="73135980"/>
    <w:rsid w:val="752A20EF"/>
    <w:rsid w:val="78C4258A"/>
    <w:rsid w:val="7B9D59FC"/>
    <w:rsid w:val="7C325A14"/>
    <w:rsid w:val="7DA40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zh-CN" w:eastAsia="zh-CN" w:bidi="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qFormat/>
    <w:uiPriority w:val="1"/>
    <w:pPr>
      <w:ind w:left="117" w:right="435" w:firstLine="638"/>
    </w:pPr>
    <w:rPr>
      <w:sz w:val="32"/>
      <w:szCs w:val="32"/>
    </w:rPr>
  </w:style>
  <w:style w:type="paragraph" w:styleId="3">
    <w:name w:val="Date"/>
    <w:basedOn w:val="1"/>
    <w:next w:val="1"/>
    <w:link w:val="18"/>
    <w:semiHidden/>
    <w:unhideWhenUsed/>
    <w:qFormat/>
    <w:uiPriority w:val="99"/>
    <w:pPr>
      <w:ind w:left="100" w:leftChars="2500"/>
    </w:pPr>
  </w:style>
  <w:style w:type="paragraph" w:styleId="4">
    <w:name w:val="Balloon Text"/>
    <w:basedOn w:val="1"/>
    <w:link w:val="17"/>
    <w:semiHidden/>
    <w:unhideWhenUsed/>
    <w:qFormat/>
    <w:uiPriority w:val="99"/>
    <w:rPr>
      <w:sz w:val="18"/>
      <w:szCs w:val="18"/>
    </w:rPr>
  </w:style>
  <w:style w:type="paragraph" w:styleId="5">
    <w:name w:val="footer"/>
    <w:basedOn w:val="1"/>
    <w:link w:val="15"/>
    <w:semiHidden/>
    <w:unhideWhenUsed/>
    <w:qFormat/>
    <w:uiPriority w:val="99"/>
    <w:pPr>
      <w:tabs>
        <w:tab w:val="center" w:pos="4153"/>
        <w:tab w:val="right" w:pos="8306"/>
      </w:tabs>
      <w:snapToGrid w:val="0"/>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customStyle="1" w:styleId="10">
    <w:name w:val="Heading 1"/>
    <w:basedOn w:val="1"/>
    <w:qFormat/>
    <w:uiPriority w:val="1"/>
    <w:pPr>
      <w:spacing w:line="598" w:lineRule="exact"/>
      <w:ind w:left="955" w:right="1272"/>
      <w:jc w:val="center"/>
      <w:outlineLvl w:val="1"/>
    </w:pPr>
    <w:rPr>
      <w:rFonts w:ascii="PMingLiU" w:hAnsi="PMingLiU" w:eastAsia="PMingLiU" w:cs="PMingLiU"/>
      <w:sz w:val="44"/>
      <w:szCs w:val="44"/>
    </w:rPr>
  </w:style>
  <w:style w:type="paragraph" w:customStyle="1" w:styleId="11">
    <w:name w:val="Heading 2"/>
    <w:basedOn w:val="1"/>
    <w:qFormat/>
    <w:uiPriority w:val="1"/>
    <w:pPr>
      <w:ind w:left="3067"/>
      <w:outlineLvl w:val="2"/>
    </w:pPr>
    <w:rPr>
      <w:b/>
      <w:bCs/>
      <w:sz w:val="32"/>
      <w:szCs w:val="32"/>
    </w:r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Char"/>
    <w:basedOn w:val="8"/>
    <w:link w:val="6"/>
    <w:semiHidden/>
    <w:qFormat/>
    <w:uiPriority w:val="99"/>
    <w:rPr>
      <w:rFonts w:ascii="仿宋" w:hAnsi="仿宋" w:eastAsia="仿宋" w:cs="仿宋"/>
      <w:sz w:val="18"/>
      <w:szCs w:val="18"/>
      <w:lang w:val="zh-CN" w:eastAsia="zh-CN" w:bidi="zh-CN"/>
    </w:rPr>
  </w:style>
  <w:style w:type="character" w:customStyle="1" w:styleId="15">
    <w:name w:val="页脚 Char"/>
    <w:basedOn w:val="8"/>
    <w:link w:val="5"/>
    <w:semiHidden/>
    <w:qFormat/>
    <w:uiPriority w:val="99"/>
    <w:rPr>
      <w:rFonts w:ascii="仿宋" w:hAnsi="仿宋" w:eastAsia="仿宋" w:cs="仿宋"/>
      <w:sz w:val="18"/>
      <w:szCs w:val="18"/>
      <w:lang w:val="zh-CN" w:eastAsia="zh-CN" w:bidi="zh-CN"/>
    </w:rPr>
  </w:style>
  <w:style w:type="character" w:customStyle="1" w:styleId="16">
    <w:name w:val="正文文本 Char"/>
    <w:basedOn w:val="8"/>
    <w:link w:val="2"/>
    <w:qFormat/>
    <w:uiPriority w:val="1"/>
    <w:rPr>
      <w:rFonts w:ascii="仿宋" w:hAnsi="仿宋" w:eastAsia="仿宋" w:cs="仿宋"/>
      <w:sz w:val="32"/>
      <w:szCs w:val="32"/>
      <w:lang w:val="zh-CN" w:eastAsia="zh-CN" w:bidi="zh-CN"/>
    </w:rPr>
  </w:style>
  <w:style w:type="character" w:customStyle="1" w:styleId="17">
    <w:name w:val="批注框文本 Char"/>
    <w:basedOn w:val="8"/>
    <w:link w:val="4"/>
    <w:semiHidden/>
    <w:qFormat/>
    <w:uiPriority w:val="99"/>
    <w:rPr>
      <w:rFonts w:ascii="仿宋" w:hAnsi="仿宋" w:eastAsia="仿宋" w:cs="仿宋"/>
      <w:sz w:val="18"/>
      <w:szCs w:val="18"/>
      <w:lang w:val="zh-CN" w:eastAsia="zh-CN" w:bidi="zh-CN"/>
    </w:rPr>
  </w:style>
  <w:style w:type="character" w:customStyle="1" w:styleId="18">
    <w:name w:val="日期 Char"/>
    <w:basedOn w:val="8"/>
    <w:link w:val="3"/>
    <w:semiHidden/>
    <w:qFormat/>
    <w:uiPriority w:val="99"/>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11</Pages>
  <Words>4251</Words>
  <Characters>4320</Characters>
  <Lines>31</Lines>
  <Paragraphs>8</Paragraphs>
  <TotalTime>15</TotalTime>
  <ScaleCrop>false</ScaleCrop>
  <LinksUpToDate>false</LinksUpToDate>
  <CharactersWithSpaces>4403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2024-11-14T04:19:00Z</dcterms:created>
  <dc:creator>Xie</dc:creator>
  <cp:lastModifiedBy>过好每一天</cp:lastModifiedBy>
  <dcterms:modified xsi:type="dcterms:W3CDTF">2025-11-18T01:57:59Z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2024-11-14T00:00:00Z</vt:filetime>
  </property>
  <property fmtid="{D5CDD505-2E9C-101B-9397-08002B2CF9AE}" pid="3" name="Creator">
    <vt:lpwstr>Aspose Ltd.</vt:lpwstr>
  </property>
  <property fmtid="{D5CDD505-2E9C-101B-9397-08002B2CF9AE}" pid="4" name="LastSaved">
    <vt:filetime>2024-11-14T00:00:00Z</vt:filetime>
  </property>
  <property fmtid="{D5CDD505-2E9C-101B-9397-08002B2CF9AE}" pid="5" name="KSOProductBuildVer">
    <vt:lpwstr>2052-12.1.0.23542</vt:lpwstr>
  </property>
  <property fmtid="{D5CDD505-2E9C-101B-9397-08002B2CF9AE}" pid="6" name="ICV">
    <vt:lpwstr>ED9A71CD456A44BA9930AAD55148FC14_12</vt:lpwstr>
  </property>
  <property fmtid="{D5CDD505-2E9C-101B-9397-08002B2CF9AE}" pid="7" name="KSOTemplateDocerSaveRecord">
    <vt:lpwstr>eyJoZGlkIjoiMmJlODU5MThmYzZjZWU2NzFhODljNWZiM2Y0MDY5MWMiLCJ1c2VySWQiOiIxNjg5OTgwMjYyIn0=</vt:lpwstr>
  </property>
</Properties>
</file>